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D2" w:rsidRDefault="00BB0FBD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37F54EF3583440A9DCD13D487C47A77" style="width:450.35pt;height:393.95pt">
            <v:imagedata r:id="rId8" o:title=""/>
          </v:shape>
        </w:pict>
      </w:r>
      <w:bookmarkEnd w:id="1"/>
    </w:p>
    <w:bookmarkEnd w:id="0"/>
    <w:p w:rsidR="005762D2" w:rsidRDefault="005762D2">
      <w:pPr>
        <w:rPr>
          <w:noProof/>
        </w:rPr>
        <w:sectPr w:rsidR="005762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762D2" w:rsidRDefault="00BB0FB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lastRenderedPageBreak/>
        <w:t>Annex 1</w:t>
      </w:r>
      <w:r>
        <w:rPr>
          <w:rFonts w:ascii="Times New Roman" w:hAnsi="Times New Roman" w:cs="Times New Roman"/>
          <w:noProof/>
        </w:rPr>
        <w:t>: Daily inflows of migrants and refugees in Italy through the Central Mediterranean route</w:t>
      </w:r>
    </w:p>
    <w:p w:rsidR="005762D2" w:rsidRDefault="00BB0FBD">
      <w:pPr>
        <w:rPr>
          <w:rFonts w:ascii="Times New Roman" w:hAnsi="Times New Roman" w:cs="Times New Roman"/>
          <w:noProof/>
        </w:rPr>
      </w:pPr>
      <w:r>
        <w:rPr>
          <w:noProof/>
          <w:lang w:eastAsia="en-GB"/>
        </w:rPr>
        <w:drawing>
          <wp:inline distT="0" distB="0" distL="0" distR="0">
            <wp:extent cx="8668512" cy="5003597"/>
            <wp:effectExtent l="0" t="0" r="18415" b="260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62D2" w:rsidRDefault="005762D2">
      <w:pPr>
        <w:rPr>
          <w:noProof/>
        </w:rPr>
        <w:sectPr w:rsidR="005762D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00" w:orient="landscape"/>
          <w:pgMar w:top="1417" w:right="1417" w:bottom="1417" w:left="1417" w:header="708" w:footer="708" w:gutter="0"/>
          <w:pgNumType w:start="2"/>
          <w:cols w:space="720"/>
          <w:docGrid w:linePitch="360"/>
        </w:sectPr>
      </w:pPr>
    </w:p>
    <w:p w:rsidR="005762D2" w:rsidRDefault="005762D2">
      <w:pPr>
        <w:rPr>
          <w:noProof/>
        </w:rPr>
      </w:pPr>
    </w:p>
    <w:p w:rsidR="005762D2" w:rsidRDefault="00BB0FB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Annex 2</w:t>
      </w:r>
      <w:r>
        <w:rPr>
          <w:rFonts w:ascii="Times New Roman" w:hAnsi="Times New Roman" w:cs="Times New Roman"/>
          <w:noProof/>
        </w:rPr>
        <w:t>: Relocation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818"/>
      </w:tblGrid>
      <w:tr w:rsidR="005762D2">
        <w:tc>
          <w:tcPr>
            <w:tcW w:w="6912" w:type="dxa"/>
            <w:gridSpan w:val="2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Italy</w:t>
            </w:r>
          </w:p>
        </w:tc>
      </w:tr>
      <w:tr w:rsidR="005762D2">
        <w:trPr>
          <w:trHeight w:val="28"/>
        </w:trPr>
        <w:tc>
          <w:tcPr>
            <w:tcW w:w="3094" w:type="dxa"/>
            <w:vMerge w:val="restart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Completed relocations</w:t>
            </w: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Sweden (9 October, 19 persons)</w:t>
            </w:r>
          </w:p>
        </w:tc>
      </w:tr>
      <w:tr w:rsidR="005762D2">
        <w:trPr>
          <w:trHeight w:val="28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Sweden (21 October, 19 persons)</w:t>
            </w:r>
          </w:p>
        </w:tc>
      </w:tr>
      <w:tr w:rsidR="005762D2">
        <w:trPr>
          <w:trHeight w:val="28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Finland (21 October, 48 persons)</w:t>
            </w:r>
          </w:p>
        </w:tc>
      </w:tr>
      <w:tr w:rsidR="005762D2">
        <w:trPr>
          <w:trHeight w:val="28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France (5 November, 19 persons)</w:t>
            </w:r>
          </w:p>
        </w:tc>
      </w:tr>
      <w:tr w:rsidR="005762D2">
        <w:trPr>
          <w:trHeight w:val="28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Spain (8 </w:t>
            </w:r>
            <w:r>
              <w:rPr>
                <w:rFonts w:ascii="Times New Roman" w:hAnsi="Times New Roman" w:cs="Times New Roman"/>
                <w:noProof/>
              </w:rPr>
              <w:t>November, 12 persons)</w:t>
            </w:r>
          </w:p>
        </w:tc>
      </w:tr>
      <w:tr w:rsidR="005762D2">
        <w:trPr>
          <w:trHeight w:val="28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Germany (13 November, 11 persons)</w:t>
            </w:r>
          </w:p>
        </w:tc>
      </w:tr>
      <w:tr w:rsidR="005762D2">
        <w:trPr>
          <w:trHeight w:val="28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Sweden (19 November, 1 person)</w:t>
            </w:r>
          </w:p>
        </w:tc>
      </w:tr>
      <w:tr w:rsidR="005762D2">
        <w:trPr>
          <w:trHeight w:val="28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Finland (11 December, 14 persons)</w:t>
            </w:r>
          </w:p>
        </w:tc>
      </w:tr>
      <w:tr w:rsidR="005762D2">
        <w:trPr>
          <w:trHeight w:val="224"/>
        </w:trPr>
        <w:tc>
          <w:tcPr>
            <w:tcW w:w="3094" w:type="dxa"/>
            <w:vMerge w:val="restart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Planned relocations</w:t>
            </w: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Portugal (17 December, 4 persons)</w:t>
            </w:r>
          </w:p>
        </w:tc>
      </w:tr>
      <w:tr w:rsidR="005762D2">
        <w:trPr>
          <w:trHeight w:val="49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Belgium (17 December, 6 persons)</w:t>
            </w:r>
          </w:p>
        </w:tc>
      </w:tr>
      <w:tr w:rsidR="005762D2">
        <w:trPr>
          <w:trHeight w:val="49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Spain (22 December, 6 persons)</w:t>
            </w:r>
          </w:p>
        </w:tc>
      </w:tr>
      <w:tr w:rsidR="005762D2">
        <w:trPr>
          <w:trHeight w:val="49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France (December/January, 50 persons)</w:t>
            </w:r>
          </w:p>
        </w:tc>
      </w:tr>
      <w:tr w:rsidR="005762D2">
        <w:trPr>
          <w:trHeight w:val="49"/>
        </w:trPr>
        <w:tc>
          <w:tcPr>
            <w:tcW w:w="3094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Latvia (February, 20 persons)</w:t>
            </w:r>
          </w:p>
        </w:tc>
      </w:tr>
      <w:tr w:rsidR="005762D2">
        <w:tc>
          <w:tcPr>
            <w:tcW w:w="3094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Member States that have offered short-term relocation pledges to this country</w:t>
            </w:r>
          </w:p>
        </w:tc>
        <w:tc>
          <w:tcPr>
            <w:tcW w:w="3818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 w:cs="Times New Roman"/>
                <w:noProof/>
                <w:lang w:val="fr-FR"/>
              </w:rPr>
              <w:t xml:space="preserve">France (550), Finland (100), Portugal (100), Luxembourg (60), Netherlands (50), Spain (50), Bulgaria (40), </w:t>
            </w:r>
            <w:r>
              <w:rPr>
                <w:rFonts w:ascii="Times New Roman" w:hAnsi="Times New Roman" w:cs="Times New Roman"/>
                <w:noProof/>
                <w:lang w:val="fr-FR"/>
              </w:rPr>
              <w:t>Romania (30), Ireland (20), Lithuania (20), Cyprus (15), Malta (6), Latvia (146)</w:t>
            </w:r>
          </w:p>
        </w:tc>
      </w:tr>
      <w:tr w:rsidR="005762D2">
        <w:tc>
          <w:tcPr>
            <w:tcW w:w="3094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 number of relocation pledges by other Member States</w:t>
            </w:r>
          </w:p>
        </w:tc>
        <w:tc>
          <w:tcPr>
            <w:tcW w:w="3818" w:type="dxa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1041</w:t>
            </w:r>
          </w:p>
        </w:tc>
      </w:tr>
      <w:tr w:rsidR="005762D2">
        <w:tc>
          <w:tcPr>
            <w:tcW w:w="3094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Number of relocation applications submitted to other Member States</w:t>
            </w:r>
          </w:p>
        </w:tc>
        <w:tc>
          <w:tcPr>
            <w:tcW w:w="3818" w:type="dxa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171</w:t>
            </w:r>
          </w:p>
        </w:tc>
      </w:tr>
    </w:tbl>
    <w:p w:rsidR="005762D2" w:rsidRDefault="005762D2">
      <w:pPr>
        <w:rPr>
          <w:noProof/>
        </w:rPr>
      </w:pPr>
    </w:p>
    <w:p w:rsidR="005762D2" w:rsidRDefault="00BB0FBD">
      <w:pPr>
        <w:rPr>
          <w:noProof/>
        </w:rPr>
      </w:pPr>
      <w:r>
        <w:rPr>
          <w:noProof/>
        </w:rPr>
        <w:br w:type="page"/>
      </w:r>
    </w:p>
    <w:p w:rsidR="005762D2" w:rsidRDefault="00BB0FB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Annex 3</w:t>
      </w:r>
      <w:r>
        <w:rPr>
          <w:rFonts w:ascii="Times New Roman" w:hAnsi="Times New Roman" w:cs="Times New Roman"/>
          <w:noProof/>
        </w:rPr>
        <w:t>: Return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0"/>
      </w:tblGrid>
      <w:tr w:rsidR="005762D2">
        <w:tc>
          <w:tcPr>
            <w:tcW w:w="6962" w:type="dxa"/>
            <w:gridSpan w:val="3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Italy</w:t>
            </w:r>
          </w:p>
        </w:tc>
      </w:tr>
      <w:tr w:rsidR="005762D2">
        <w:trPr>
          <w:trHeight w:val="32"/>
        </w:trPr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 number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of forced returns in 2015</w:t>
            </w:r>
          </w:p>
        </w:tc>
        <w:tc>
          <w:tcPr>
            <w:tcW w:w="4641" w:type="dxa"/>
            <w:gridSpan w:val="2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14.113</w:t>
            </w:r>
          </w:p>
        </w:tc>
      </w:tr>
      <w:tr w:rsidR="005762D2">
        <w:trPr>
          <w:trHeight w:val="32"/>
        </w:trPr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 number of voluntary returns in 2015</w:t>
            </w:r>
          </w:p>
        </w:tc>
        <w:tc>
          <w:tcPr>
            <w:tcW w:w="4641" w:type="dxa"/>
            <w:gridSpan w:val="2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n/a</w:t>
            </w:r>
          </w:p>
        </w:tc>
      </w:tr>
      <w:tr w:rsidR="005762D2">
        <w:trPr>
          <w:trHeight w:val="84"/>
        </w:trPr>
        <w:tc>
          <w:tcPr>
            <w:tcW w:w="2321" w:type="dxa"/>
            <w:vMerge w:val="restart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 number of persons returned by nationality in 2015 in Joint Operations</w:t>
            </w: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Albania</w:t>
            </w:r>
          </w:p>
        </w:tc>
        <w:tc>
          <w:tcPr>
            <w:tcW w:w="232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</w:t>
            </w:r>
          </w:p>
        </w:tc>
      </w:tr>
      <w:tr w:rsidR="005762D2">
        <w:trPr>
          <w:trHeight w:val="84"/>
        </w:trPr>
        <w:tc>
          <w:tcPr>
            <w:tcW w:w="232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Egypt</w:t>
            </w:r>
          </w:p>
        </w:tc>
        <w:tc>
          <w:tcPr>
            <w:tcW w:w="232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93</w:t>
            </w:r>
          </w:p>
        </w:tc>
      </w:tr>
      <w:tr w:rsidR="005762D2">
        <w:trPr>
          <w:trHeight w:val="84"/>
        </w:trPr>
        <w:tc>
          <w:tcPr>
            <w:tcW w:w="232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Georgia</w:t>
            </w:r>
          </w:p>
        </w:tc>
        <w:tc>
          <w:tcPr>
            <w:tcW w:w="232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</w:t>
            </w:r>
          </w:p>
        </w:tc>
      </w:tr>
      <w:tr w:rsidR="005762D2">
        <w:trPr>
          <w:trHeight w:val="84"/>
        </w:trPr>
        <w:tc>
          <w:tcPr>
            <w:tcW w:w="232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Nigeria</w:t>
            </w:r>
          </w:p>
        </w:tc>
        <w:tc>
          <w:tcPr>
            <w:tcW w:w="232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197</w:t>
            </w:r>
          </w:p>
        </w:tc>
      </w:tr>
      <w:tr w:rsidR="005762D2">
        <w:trPr>
          <w:trHeight w:val="84"/>
        </w:trPr>
        <w:tc>
          <w:tcPr>
            <w:tcW w:w="232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Tunisia</w:t>
            </w:r>
          </w:p>
        </w:tc>
        <w:tc>
          <w:tcPr>
            <w:tcW w:w="232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60</w:t>
            </w:r>
          </w:p>
        </w:tc>
      </w:tr>
    </w:tbl>
    <w:p w:rsidR="005762D2" w:rsidRDefault="005762D2">
      <w:pPr>
        <w:rPr>
          <w:noProof/>
        </w:rPr>
      </w:pPr>
    </w:p>
    <w:p w:rsidR="005762D2" w:rsidRDefault="00BB0FBD">
      <w:pPr>
        <w:rPr>
          <w:noProof/>
        </w:rPr>
      </w:pPr>
      <w:r>
        <w:rPr>
          <w:noProof/>
        </w:rPr>
        <w:br w:type="page"/>
      </w:r>
    </w:p>
    <w:p w:rsidR="005762D2" w:rsidRDefault="00BB0FB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</w:rPr>
        <w:t>Annex 4</w:t>
      </w:r>
      <w:r>
        <w:rPr>
          <w:rFonts w:ascii="Times New Roman" w:hAnsi="Times New Roman" w:cs="Times New Roman"/>
          <w:noProof/>
        </w:rPr>
        <w:t xml:space="preserve">: EURODAC fingerprinting and registration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700"/>
        <w:gridCol w:w="2321"/>
      </w:tblGrid>
      <w:tr w:rsidR="005762D2">
        <w:tc>
          <w:tcPr>
            <w:tcW w:w="6962" w:type="dxa"/>
            <w:gridSpan w:val="3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Italy</w:t>
            </w:r>
          </w:p>
        </w:tc>
      </w:tr>
      <w:tr w:rsidR="005762D2">
        <w:trPr>
          <w:trHeight w:val="112"/>
        </w:trPr>
        <w:tc>
          <w:tcPr>
            <w:tcW w:w="2941" w:type="dxa"/>
            <w:vMerge w:val="restart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Number of EURODAC fingerprinting machines per hotspot as of 14 December</w:t>
            </w:r>
          </w:p>
        </w:tc>
        <w:tc>
          <w:tcPr>
            <w:tcW w:w="1700" w:type="dxa"/>
            <w:vMerge w:val="restart"/>
          </w:tcPr>
          <w:p w:rsidR="005762D2" w:rsidRDefault="005762D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Lampedusa: 5 </w:t>
            </w:r>
          </w:p>
        </w:tc>
      </w:tr>
      <w:tr w:rsidR="005762D2">
        <w:trPr>
          <w:trHeight w:val="110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Pozzallo:     3</w:t>
            </w:r>
          </w:p>
        </w:tc>
      </w:tr>
      <w:tr w:rsidR="005762D2">
        <w:trPr>
          <w:trHeight w:val="110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Porto Empedocle: na</w:t>
            </w:r>
          </w:p>
        </w:tc>
      </w:tr>
      <w:tr w:rsidR="005762D2">
        <w:trPr>
          <w:trHeight w:val="110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Trapani: na</w:t>
            </w:r>
          </w:p>
        </w:tc>
      </w:tr>
      <w:tr w:rsidR="005762D2">
        <w:trPr>
          <w:trHeight w:val="110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Augusta: na</w:t>
            </w:r>
          </w:p>
        </w:tc>
      </w:tr>
      <w:tr w:rsidR="005762D2">
        <w:trPr>
          <w:trHeight w:val="110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Taranto: na</w:t>
            </w:r>
          </w:p>
        </w:tc>
      </w:tr>
      <w:tr w:rsidR="005762D2">
        <w:trPr>
          <w:trHeight w:val="110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321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Total: 8</w:t>
            </w:r>
          </w:p>
        </w:tc>
      </w:tr>
      <w:tr w:rsidR="005762D2">
        <w:trPr>
          <w:trHeight w:val="49"/>
        </w:trPr>
        <w:tc>
          <w:tcPr>
            <w:tcW w:w="2941" w:type="dxa"/>
            <w:vMerge w:val="restart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 number of new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arrivals per month (Frontex data)</w:t>
            </w: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January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3613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February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4338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March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2268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April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16106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May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21004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June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25117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July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22582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August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21313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September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16119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October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noProof/>
              </w:rPr>
              <w:t>8 529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November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noProof/>
              </w:rPr>
              <w:t>3 227</w:t>
            </w:r>
          </w:p>
        </w:tc>
      </w:tr>
      <w:tr w:rsidR="005762D2">
        <w:trPr>
          <w:trHeight w:val="49"/>
        </w:trPr>
        <w:tc>
          <w:tcPr>
            <w:tcW w:w="2941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0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December 2015</w:t>
            </w:r>
          </w:p>
        </w:tc>
        <w:tc>
          <w:tcPr>
            <w:tcW w:w="2321" w:type="dxa"/>
          </w:tcPr>
          <w:p w:rsidR="005762D2" w:rsidRDefault="00BB0FBD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5448</w:t>
            </w:r>
          </w:p>
        </w:tc>
      </w:tr>
    </w:tbl>
    <w:p w:rsidR="005762D2" w:rsidRDefault="005762D2">
      <w:pPr>
        <w:rPr>
          <w:rFonts w:ascii="Times New Roman" w:hAnsi="Times New Roman" w:cs="Times New Roman"/>
          <w:noProof/>
        </w:rPr>
      </w:pPr>
    </w:p>
    <w:p w:rsidR="005762D2" w:rsidRDefault="00BB0FBD">
      <w:pPr>
        <w:rPr>
          <w:rFonts w:ascii="Times New Roman" w:hAnsi="Times New Roman" w:cs="Times New Roman"/>
          <w:noProof/>
        </w:rPr>
      </w:pPr>
      <w:r>
        <w:rPr>
          <w:noProof/>
        </w:rPr>
        <w:br w:type="page"/>
      </w:r>
      <w:r>
        <w:rPr>
          <w:rFonts w:ascii="Times New Roman" w:hAnsi="Times New Roman" w:cs="Times New Roman"/>
          <w:b/>
          <w:noProof/>
        </w:rPr>
        <w:t>Annex 5</w:t>
      </w:r>
      <w:r>
        <w:rPr>
          <w:rFonts w:ascii="Times New Roman" w:hAnsi="Times New Roman" w:cs="Times New Roman"/>
          <w:noProof/>
        </w:rPr>
        <w:t>: EU Presence at the hotspots</w:t>
      </w:r>
    </w:p>
    <w:tbl>
      <w:tblPr>
        <w:tblStyle w:val="TableGrid"/>
        <w:tblW w:w="6384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5762D2">
        <w:trPr>
          <w:trHeight w:val="243"/>
        </w:trPr>
        <w:tc>
          <w:tcPr>
            <w:tcW w:w="6384" w:type="dxa"/>
            <w:gridSpan w:val="2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Italy</w:t>
            </w:r>
          </w:p>
        </w:tc>
      </w:tr>
      <w:tr w:rsidR="005762D2">
        <w:trPr>
          <w:trHeight w:val="84"/>
        </w:trPr>
        <w:tc>
          <w:tcPr>
            <w:tcW w:w="3192" w:type="dxa"/>
            <w:vMerge w:val="restart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Number of Frontex officers deployed per hotspot</w:t>
            </w: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Lampedusa: 24</w:t>
            </w:r>
          </w:p>
        </w:tc>
      </w:tr>
      <w:tr w:rsidR="005762D2">
        <w:trPr>
          <w:trHeight w:val="84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Pozzallo: 14</w:t>
            </w:r>
          </w:p>
        </w:tc>
      </w:tr>
      <w:tr w:rsidR="005762D2">
        <w:trPr>
          <w:trHeight w:val="84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Porto Empedocle: 0</w:t>
            </w:r>
          </w:p>
        </w:tc>
      </w:tr>
      <w:tr w:rsidR="005762D2">
        <w:trPr>
          <w:trHeight w:val="84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Trapani: 8</w:t>
            </w:r>
          </w:p>
        </w:tc>
      </w:tr>
      <w:tr w:rsidR="005762D2">
        <w:trPr>
          <w:trHeight w:val="84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Augusta: 0</w:t>
            </w:r>
          </w:p>
        </w:tc>
      </w:tr>
      <w:tr w:rsidR="005762D2">
        <w:trPr>
          <w:trHeight w:val="84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Taranto: 6</w:t>
            </w:r>
          </w:p>
        </w:tc>
      </w:tr>
      <w:tr w:rsidR="005762D2">
        <w:trPr>
          <w:trHeight w:val="84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Total: 52</w:t>
            </w:r>
          </w:p>
        </w:tc>
      </w:tr>
      <w:tr w:rsidR="005762D2">
        <w:trPr>
          <w:trHeight w:val="762"/>
        </w:trPr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Number of Frontex officers and staff </w:t>
            </w:r>
            <w:r>
              <w:rPr>
                <w:rFonts w:ascii="Times New Roman" w:hAnsi="Times New Roman" w:cs="Times New Roman"/>
                <w:b/>
                <w:noProof/>
              </w:rPr>
              <w:t>members deployed outside hotspot areas</w:t>
            </w:r>
          </w:p>
        </w:tc>
        <w:tc>
          <w:tcPr>
            <w:tcW w:w="3192" w:type="dxa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248</w:t>
            </w:r>
          </w:p>
        </w:tc>
      </w:tr>
      <w:tr w:rsidR="005762D2">
        <w:trPr>
          <w:trHeight w:val="762"/>
        </w:trPr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 number of Frontex officers and staff members deployed in the country</w:t>
            </w:r>
          </w:p>
        </w:tc>
        <w:tc>
          <w:tcPr>
            <w:tcW w:w="3192" w:type="dxa"/>
          </w:tcPr>
          <w:p w:rsidR="005762D2" w:rsidRDefault="00BB0FBD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300</w:t>
            </w:r>
            <w:r>
              <w:rPr>
                <w:rStyle w:val="FootnoteReference"/>
                <w:rFonts w:ascii="Times New Roman" w:hAnsi="Times New Roman" w:cs="Times New Roman"/>
                <w:noProof/>
              </w:rPr>
              <w:footnoteReference w:id="1"/>
            </w:r>
          </w:p>
        </w:tc>
      </w:tr>
      <w:tr w:rsidR="005762D2">
        <w:trPr>
          <w:trHeight w:val="762"/>
        </w:trPr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Number of additional Frontex officers required</w:t>
            </w:r>
          </w:p>
        </w:tc>
        <w:tc>
          <w:tcPr>
            <w:tcW w:w="3192" w:type="dxa"/>
          </w:tcPr>
          <w:p w:rsidR="005762D2" w:rsidRDefault="00BB0FBD"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bCs/>
                <w:noProof/>
              </w:rPr>
              <w:t>Approximately 60</w:t>
            </w:r>
          </w:p>
        </w:tc>
      </w:tr>
      <w:tr w:rsidR="005762D2">
        <w:trPr>
          <w:trHeight w:val="762"/>
        </w:trPr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Number of additional Frontex officers pledged by Member States an</w:t>
            </w:r>
            <w:r>
              <w:rPr>
                <w:rFonts w:ascii="Times New Roman" w:hAnsi="Times New Roman" w:cs="Times New Roman"/>
                <w:b/>
                <w:noProof/>
              </w:rPr>
              <w:t>d percentage of the Frontex requests covered by current pledges</w:t>
            </w:r>
          </w:p>
        </w:tc>
        <w:tc>
          <w:tcPr>
            <w:tcW w:w="3192" w:type="dxa"/>
          </w:tcPr>
          <w:p w:rsidR="005762D2" w:rsidRDefault="00BB0FBD"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447 (23698 man-days: 31% coverage) </w:t>
            </w:r>
            <w:r>
              <w:rPr>
                <w:bCs/>
                <w:noProof/>
              </w:rPr>
              <w:t>(for both Italy and Greece)</w:t>
            </w:r>
          </w:p>
        </w:tc>
      </w:tr>
      <w:tr w:rsidR="005762D2">
        <w:trPr>
          <w:trHeight w:val="100"/>
        </w:trPr>
        <w:tc>
          <w:tcPr>
            <w:tcW w:w="3192" w:type="dxa"/>
            <w:vMerge w:val="restart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Number of EASO experts and staff members deployed </w:t>
            </w: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Lampedusa:          2</w:t>
            </w:r>
          </w:p>
        </w:tc>
      </w:tr>
      <w:tr w:rsidR="005762D2">
        <w:trPr>
          <w:trHeight w:val="96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Pozzallo:               0</w:t>
            </w:r>
          </w:p>
        </w:tc>
      </w:tr>
      <w:tr w:rsidR="005762D2">
        <w:trPr>
          <w:trHeight w:val="96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Porto Empedocle: 0</w:t>
            </w:r>
          </w:p>
        </w:tc>
      </w:tr>
      <w:tr w:rsidR="005762D2">
        <w:trPr>
          <w:trHeight w:val="96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Trapani:                0</w:t>
            </w:r>
          </w:p>
        </w:tc>
      </w:tr>
      <w:tr w:rsidR="005762D2">
        <w:trPr>
          <w:trHeight w:val="96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Augusta:               0</w:t>
            </w:r>
          </w:p>
        </w:tc>
      </w:tr>
      <w:tr w:rsidR="005762D2">
        <w:trPr>
          <w:trHeight w:val="96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Taranto:                0</w:t>
            </w:r>
          </w:p>
        </w:tc>
      </w:tr>
      <w:tr w:rsidR="005762D2">
        <w:trPr>
          <w:trHeight w:val="96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Elsewhere in Italy: 17</w:t>
            </w:r>
          </w:p>
        </w:tc>
      </w:tr>
      <w:tr w:rsidR="005762D2">
        <w:trPr>
          <w:trHeight w:val="96"/>
        </w:trPr>
        <w:tc>
          <w:tcPr>
            <w:tcW w:w="3192" w:type="dxa"/>
            <w:vMerge/>
          </w:tcPr>
          <w:p w:rsidR="005762D2" w:rsidRDefault="005762D2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Total: 19</w:t>
            </w:r>
          </w:p>
        </w:tc>
      </w:tr>
      <w:tr w:rsidR="005762D2">
        <w:trPr>
          <w:trHeight w:val="774"/>
        </w:trPr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Number of EASO experts and staff members required </w:t>
            </w:r>
          </w:p>
        </w:tc>
        <w:tc>
          <w:tcPr>
            <w:tcW w:w="3192" w:type="dxa"/>
          </w:tcPr>
          <w:p w:rsidR="005762D2" w:rsidRDefault="00BB0FBD"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bCs/>
                <w:noProof/>
              </w:rPr>
              <w:t>243</w:t>
            </w:r>
          </w:p>
        </w:tc>
      </w:tr>
      <w:tr w:rsidR="005762D2">
        <w:trPr>
          <w:trHeight w:val="762"/>
        </w:trPr>
        <w:tc>
          <w:tcPr>
            <w:tcW w:w="3192" w:type="dxa"/>
          </w:tcPr>
          <w:p w:rsidR="005762D2" w:rsidRDefault="00BB0FBD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Number of additional EASO experts pledged by Member States and percentage of the </w:t>
            </w:r>
            <w:r>
              <w:rPr>
                <w:rFonts w:ascii="Times New Roman" w:hAnsi="Times New Roman" w:cs="Times New Roman"/>
                <w:b/>
                <w:noProof/>
              </w:rPr>
              <w:t>EASO requests covered by current pledges</w:t>
            </w:r>
          </w:p>
        </w:tc>
        <w:tc>
          <w:tcPr>
            <w:tcW w:w="3192" w:type="dxa"/>
          </w:tcPr>
          <w:p w:rsidR="005762D2" w:rsidRDefault="00BB0FBD">
            <w:pPr>
              <w:spacing w:before="24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176 (47% coverage) </w:t>
            </w:r>
            <w:r>
              <w:rPr>
                <w:bCs/>
                <w:noProof/>
              </w:rPr>
              <w:t>for both Italy and Greece</w:t>
            </w:r>
          </w:p>
        </w:tc>
      </w:tr>
    </w:tbl>
    <w:p w:rsidR="005762D2" w:rsidRDefault="005762D2">
      <w:pPr>
        <w:rPr>
          <w:noProof/>
        </w:rPr>
      </w:pPr>
    </w:p>
    <w:p w:rsidR="005762D2" w:rsidRDefault="005762D2">
      <w:pPr>
        <w:rPr>
          <w:noProof/>
        </w:rPr>
      </w:pPr>
    </w:p>
    <w:sectPr w:rsidR="005762D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D2" w:rsidRDefault="00BB0FBD">
      <w:pPr>
        <w:spacing w:after="0" w:line="240" w:lineRule="auto"/>
      </w:pPr>
      <w:r>
        <w:separator/>
      </w:r>
    </w:p>
  </w:endnote>
  <w:endnote w:type="continuationSeparator" w:id="0">
    <w:p w:rsidR="005762D2" w:rsidRDefault="00BB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BB0FBD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05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62D2" w:rsidRDefault="00BB0F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2D2" w:rsidRDefault="005762D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753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62D2" w:rsidRDefault="00BB0F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762D2" w:rsidRDefault="005762D2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D2" w:rsidRDefault="00BB0FBD">
      <w:pPr>
        <w:spacing w:after="0" w:line="240" w:lineRule="auto"/>
      </w:pPr>
      <w:r>
        <w:separator/>
      </w:r>
    </w:p>
  </w:footnote>
  <w:footnote w:type="continuationSeparator" w:id="0">
    <w:p w:rsidR="005762D2" w:rsidRDefault="00BB0FBD">
      <w:pPr>
        <w:spacing w:after="0" w:line="240" w:lineRule="auto"/>
      </w:pPr>
      <w:r>
        <w:continuationSeparator/>
      </w:r>
    </w:p>
  </w:footnote>
  <w:footnote w:id="1">
    <w:p w:rsidR="005762D2" w:rsidRDefault="00BB0FBD">
      <w:pPr>
        <w:pStyle w:val="FootnoteText"/>
      </w:pPr>
      <w:r>
        <w:rPr>
          <w:rStyle w:val="FootnoteReference"/>
        </w:rPr>
        <w:footnoteRef/>
      </w:r>
      <w:r>
        <w:t xml:space="preserve"> This figure takes into account the turnover of experts to reach the overall number of man-days indicated in the frontex call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D2" w:rsidRDefault="00576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B37F54EF3583440A9DCD13D487C47A77"/>
    <w:docVar w:name="LW_CROSSREFERENCE" w:val="&lt;UNUSED&gt;"/>
    <w:docVar w:name="LW_DocType" w:val="NORMAL"/>
    <w:docVar w:name="LW_EMISSION" w:val="15.12.2015"/>
    <w:docVar w:name="LW_EMISSION_ISODATE" w:val="2015-12-15"/>
    <w:docVar w:name="LW_EMISSION_LOCATION" w:val="STR"/>
    <w:docVar w:name="LW_EMISSION_PREFIX" w:val="Strasbourg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Progress Report on the Implementation of the hotspots in Italy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679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COMMUNICATION FROM THE COMMISSION TO THE EUROPEAN PARLIAMENT AND THE COUNCIL_x000b_"/>
  </w:docVars>
  <w:rsids>
    <w:rsidRoot w:val="005762D2"/>
    <w:rsid w:val="005762D2"/>
    <w:rsid w:val="00AA4F82"/>
    <w:rsid w:val="00BB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net1.cec.eu.int\Homes\048\VITASRO\My%20Documents\Home%20-%20statistika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800" b="1" i="0" u="none" strike="noStrike" baseline="0">
                <a:effectLst/>
              </a:rPr>
              <a:t>Daily inflows of migrants in Italy through the Central Mediterranean route</a:t>
            </a:r>
            <a:endParaRPr lang="en-US"/>
          </a:p>
        </c:rich>
      </c:tx>
      <c:layout>
        <c:manualLayout>
          <c:xMode val="edge"/>
          <c:yMode val="edge"/>
          <c:x val="0.46361370716510902"/>
          <c:y val="1.312551384578073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Sheet3!$I$3</c:f>
              <c:strCache>
                <c:ptCount val="1"/>
                <c:pt idx="0">
                  <c:v>Number of arrivals per day</c:v>
                </c:pt>
              </c:strCache>
            </c:strRef>
          </c:tx>
          <c:marker>
            <c:symbol val="none"/>
          </c:marker>
          <c:cat>
            <c:numRef>
              <c:f>Sheet3!$B$4:$B$46</c:f>
              <c:numCache>
                <c:formatCode>d\-mmm\-yy</c:formatCode>
                <c:ptCount val="43"/>
                <c:pt idx="0">
                  <c:v>42303</c:v>
                </c:pt>
                <c:pt idx="1">
                  <c:v>42304</c:v>
                </c:pt>
                <c:pt idx="2">
                  <c:v>42305</c:v>
                </c:pt>
                <c:pt idx="3">
                  <c:v>42308</c:v>
                </c:pt>
                <c:pt idx="4">
                  <c:v>42309</c:v>
                </c:pt>
                <c:pt idx="5">
                  <c:v>42310</c:v>
                </c:pt>
                <c:pt idx="6">
                  <c:v>42311</c:v>
                </c:pt>
                <c:pt idx="7">
                  <c:v>42312</c:v>
                </c:pt>
                <c:pt idx="8">
                  <c:v>42313</c:v>
                </c:pt>
                <c:pt idx="9">
                  <c:v>42314</c:v>
                </c:pt>
                <c:pt idx="10">
                  <c:v>42315</c:v>
                </c:pt>
                <c:pt idx="11">
                  <c:v>42316</c:v>
                </c:pt>
                <c:pt idx="12">
                  <c:v>42317</c:v>
                </c:pt>
                <c:pt idx="13">
                  <c:v>42318</c:v>
                </c:pt>
                <c:pt idx="14">
                  <c:v>42319</c:v>
                </c:pt>
                <c:pt idx="15">
                  <c:v>42320</c:v>
                </c:pt>
                <c:pt idx="16">
                  <c:v>42321</c:v>
                </c:pt>
                <c:pt idx="17">
                  <c:v>42322</c:v>
                </c:pt>
                <c:pt idx="18">
                  <c:v>42323</c:v>
                </c:pt>
                <c:pt idx="19">
                  <c:v>42324</c:v>
                </c:pt>
                <c:pt idx="20">
                  <c:v>42325</c:v>
                </c:pt>
                <c:pt idx="21">
                  <c:v>42326</c:v>
                </c:pt>
                <c:pt idx="22">
                  <c:v>42327</c:v>
                </c:pt>
                <c:pt idx="23">
                  <c:v>42328</c:v>
                </c:pt>
                <c:pt idx="24">
                  <c:v>42329</c:v>
                </c:pt>
                <c:pt idx="25">
                  <c:v>42330</c:v>
                </c:pt>
                <c:pt idx="26">
                  <c:v>42331</c:v>
                </c:pt>
                <c:pt idx="27">
                  <c:v>42332</c:v>
                </c:pt>
                <c:pt idx="28">
                  <c:v>42333</c:v>
                </c:pt>
                <c:pt idx="29">
                  <c:v>42334</c:v>
                </c:pt>
                <c:pt idx="30">
                  <c:v>42335</c:v>
                </c:pt>
                <c:pt idx="31">
                  <c:v>42336</c:v>
                </c:pt>
                <c:pt idx="32">
                  <c:v>42337</c:v>
                </c:pt>
                <c:pt idx="33">
                  <c:v>42338</c:v>
                </c:pt>
                <c:pt idx="34">
                  <c:v>42339</c:v>
                </c:pt>
                <c:pt idx="35">
                  <c:v>42340</c:v>
                </c:pt>
                <c:pt idx="36">
                  <c:v>42341</c:v>
                </c:pt>
                <c:pt idx="37">
                  <c:v>42342</c:v>
                </c:pt>
                <c:pt idx="38">
                  <c:v>42343</c:v>
                </c:pt>
                <c:pt idx="39">
                  <c:v>42344</c:v>
                </c:pt>
                <c:pt idx="40">
                  <c:v>42345</c:v>
                </c:pt>
                <c:pt idx="41">
                  <c:v>42346</c:v>
                </c:pt>
                <c:pt idx="42">
                  <c:v>42347</c:v>
                </c:pt>
              </c:numCache>
            </c:numRef>
          </c:cat>
          <c:val>
            <c:numRef>
              <c:f>Sheet3!$I$4:$I$46</c:f>
              <c:numCache>
                <c:formatCode>General</c:formatCode>
                <c:ptCount val="43"/>
                <c:pt idx="0">
                  <c:v>0</c:v>
                </c:pt>
                <c:pt idx="1">
                  <c:v>0</c:v>
                </c:pt>
                <c:pt idx="2">
                  <c:v>225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514</c:v>
                </c:pt>
                <c:pt idx="9">
                  <c:v>950</c:v>
                </c:pt>
                <c:pt idx="10">
                  <c:v>0</c:v>
                </c:pt>
                <c:pt idx="11">
                  <c:v>7</c:v>
                </c:pt>
                <c:pt idx="12">
                  <c:v>0</c:v>
                </c:pt>
                <c:pt idx="13">
                  <c:v>0</c:v>
                </c:pt>
                <c:pt idx="14">
                  <c:v>15</c:v>
                </c:pt>
                <c:pt idx="15">
                  <c:v>15</c:v>
                </c:pt>
                <c:pt idx="16">
                  <c:v>0</c:v>
                </c:pt>
                <c:pt idx="17">
                  <c:v>611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89</c:v>
                </c:pt>
                <c:pt idx="28">
                  <c:v>401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1396</c:v>
                </c:pt>
                <c:pt idx="37">
                  <c:v>628</c:v>
                </c:pt>
                <c:pt idx="38">
                  <c:v>394</c:v>
                </c:pt>
                <c:pt idx="39">
                  <c:v>0</c:v>
                </c:pt>
                <c:pt idx="40">
                  <c:v>806</c:v>
                </c:pt>
                <c:pt idx="41">
                  <c:v>0</c:v>
                </c:pt>
                <c:pt idx="4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912832"/>
        <c:axId val="71928064"/>
      </c:lineChart>
      <c:dateAx>
        <c:axId val="71912832"/>
        <c:scaling>
          <c:orientation val="minMax"/>
        </c:scaling>
        <c:delete val="0"/>
        <c:axPos val="b"/>
        <c:numFmt formatCode="d\-mmm\-yy" sourceLinked="1"/>
        <c:majorTickMark val="out"/>
        <c:minorTickMark val="none"/>
        <c:tickLblPos val="nextTo"/>
        <c:crossAx val="71928064"/>
        <c:crosses val="autoZero"/>
        <c:auto val="1"/>
        <c:lblOffset val="100"/>
        <c:baseTimeUnit val="days"/>
      </c:dateAx>
      <c:valAx>
        <c:axId val="7192806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GB"/>
                  <a:t>Number of</a:t>
                </a:r>
              </a:p>
              <a:p>
                <a:pPr>
                  <a:defRPr/>
                </a:pPr>
                <a:r>
                  <a:rPr lang="en-GB"/>
                  <a:t> arrivals per day</a:t>
                </a:r>
              </a:p>
            </c:rich>
          </c:tx>
          <c:layout>
            <c:manualLayout>
              <c:xMode val="edge"/>
              <c:yMode val="edge"/>
              <c:x val="9.5408467501490787E-3"/>
              <c:y val="0.1031455242256162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71912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0.00984</cdr:x>
      <cdr:y>0.76948</cdr:y>
    </cdr:from>
    <cdr:to>
      <cdr:x>0.09571</cdr:x>
      <cdr:y>0.92699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" y="44672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0.02147</cdr:x>
      <cdr:y>0.81214</cdr:y>
    </cdr:from>
    <cdr:to>
      <cdr:x>0.10733</cdr:x>
      <cdr:y>0.96965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8600" y="47148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Source : </a:t>
          </a:r>
        </a:p>
        <a:p xmlns:a="http://schemas.openxmlformats.org/drawingml/2006/main">
          <a:r>
            <a:rPr lang="en-GB" sz="1100"/>
            <a:t>Frontex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41AB-E508-4EB6-9B2C-9ACE020A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457</Words>
  <Characters>2450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DANULESCU Andreea (HOME)</dc:creator>
  <cp:lastModifiedBy>Stefanie Heilemann</cp:lastModifiedBy>
  <cp:revision>3</cp:revision>
  <cp:lastPrinted>2015-12-15T09:59:00Z</cp:lastPrinted>
  <dcterms:created xsi:type="dcterms:W3CDTF">2015-12-15T09:58:00Z</dcterms:created>
  <dcterms:modified xsi:type="dcterms:W3CDTF">2015-12-15T09:59:00Z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5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