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A5" w:rsidRDefault="00ED15D6">
      <w:pPr>
        <w:pStyle w:val="Pagedecouverture"/>
        <w:rPr>
          <w:noProof/>
          <w:lang w:val="en-GB"/>
        </w:rPr>
      </w:pPr>
      <w:bookmarkStart w:id="0" w:name="LW_BM_COVERPAGE"/>
      <w:bookmarkStart w:id="1" w:name="_GoBack"/>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AB089C834F4F67ACEA646053F48121" style="width:450.4pt;height:320.65pt">
            <v:imagedata r:id="rId8" o:title=""/>
          </v:shape>
        </w:pict>
      </w:r>
      <w:bookmarkEnd w:id="1"/>
    </w:p>
    <w:bookmarkEnd w:id="0"/>
    <w:p w:rsidR="009908A5" w:rsidRDefault="009908A5">
      <w:pPr>
        <w:pStyle w:val="Pagedecouverture"/>
        <w:rPr>
          <w:noProof/>
          <w:lang w:val="en-GB"/>
        </w:rPr>
        <w:sectPr w:rsidR="009908A5">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26"/>
        </w:sectPr>
      </w:pPr>
    </w:p>
    <w:p w:rsidR="009908A5" w:rsidRDefault="00ED15D6">
      <w:pPr>
        <w:pStyle w:val="Heading"/>
        <w:rPr>
          <w:noProof/>
          <w:lang w:val="en-GB"/>
        </w:rPr>
      </w:pPr>
      <w:r>
        <w:rPr>
          <w:noProof/>
          <w:lang w:val="en-GB"/>
        </w:rPr>
        <w:lastRenderedPageBreak/>
        <w:t xml:space="preserve">I. </w:t>
      </w:r>
      <w:r>
        <w:rPr>
          <w:noProof/>
          <w:lang w:val="en-GB"/>
        </w:rPr>
        <w:tab/>
        <w:t>Introduction</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 xml:space="preserve">The creation of the Schengen area of free movement without internal borders is a </w:t>
      </w:r>
      <w:r>
        <w:rPr>
          <w:rFonts w:ascii="Times New Roman" w:hAnsi="Times New Roman"/>
          <w:noProof/>
          <w:lang w:val="en-GB"/>
        </w:rPr>
        <w:t>historic achievement and one that remains emblematic of the European values which tore down walls and united a continent. The speed with which people, goods and services can travel across the borders of our Member States also helps drive our competitivenes</w:t>
      </w:r>
      <w:r>
        <w:rPr>
          <w:rFonts w:ascii="Times New Roman" w:hAnsi="Times New Roman"/>
          <w:noProof/>
          <w:lang w:val="en-GB"/>
        </w:rPr>
        <w:t>s as the world's largest economic area, creating jobs and growth. However, with the decision to share a common internal area of free movement comes a shared responsibility to provide high and consistent standards of border management and security at the ex</w:t>
      </w:r>
      <w:r>
        <w:rPr>
          <w:rFonts w:ascii="Times New Roman" w:hAnsi="Times New Roman"/>
          <w:noProof/>
          <w:lang w:val="en-GB"/>
        </w:rPr>
        <w:t>ternal borders. Indeed, we can only have a Schengen area without internal borders if its external borders are effectively secured and protected.</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Citizens' confidence in our collective ability to manage our common external borders has been put to the test b</w:t>
      </w:r>
      <w:r>
        <w:rPr>
          <w:rFonts w:ascii="Times New Roman" w:hAnsi="Times New Roman"/>
          <w:noProof/>
          <w:lang w:val="en-GB"/>
        </w:rPr>
        <w:t>y the events of this year and in particular by the unprecedented rise in flows of migrants and refugees. The crisis has exposed weaknesses and gaps in existing border management mechanisms, which have proved insufficient to guarantee effective and integrat</w:t>
      </w:r>
      <w:r>
        <w:rPr>
          <w:rFonts w:ascii="Times New Roman" w:hAnsi="Times New Roman"/>
          <w:noProof/>
          <w:lang w:val="en-GB"/>
        </w:rPr>
        <w:t xml:space="preserve">ed border management. Some Member States have not been able to ensure effective border control and the identification and registration of irregular migrants. And the crisis has shown that the limitations of Frontex – inadequate resources in terms of staff </w:t>
      </w:r>
      <w:r>
        <w:rPr>
          <w:rFonts w:ascii="Times New Roman" w:hAnsi="Times New Roman"/>
          <w:noProof/>
          <w:lang w:val="en-GB"/>
        </w:rPr>
        <w:t>and equipment, an inability to initiate and carry out return or border management operations and the absence of an explicit role to conduct search and rescue operations – have hindered its ability to effectively address and remedy the situation.</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Between Ja</w:t>
      </w:r>
      <w:r>
        <w:rPr>
          <w:rFonts w:ascii="Times New Roman" w:hAnsi="Times New Roman"/>
          <w:noProof/>
          <w:lang w:val="en-GB"/>
        </w:rPr>
        <w:t>nuary and November 2015, more than 1.5 million illegal border crossings</w:t>
      </w:r>
      <w:r>
        <w:rPr>
          <w:rFonts w:ascii="Times New Roman" w:eastAsia="Times New Roman" w:hAnsi="Times New Roman" w:cs="Times New Roman"/>
          <w:noProof/>
          <w:vertAlign w:val="superscript"/>
          <w:lang w:val="en-GB"/>
        </w:rPr>
        <w:footnoteReference w:id="2"/>
      </w:r>
      <w:r>
        <w:rPr>
          <w:rFonts w:ascii="Times New Roman" w:hAnsi="Times New Roman"/>
          <w:noProof/>
          <w:lang w:val="en-GB"/>
        </w:rPr>
        <w:t xml:space="preserve"> were detected, representing an all-time peak</w:t>
      </w:r>
      <w:r>
        <w:rPr>
          <w:rStyle w:val="FootnoteReference"/>
          <w:rFonts w:ascii="Times New Roman" w:hAnsi="Times New Roman"/>
          <w:noProof/>
          <w:lang w:val="en-GB"/>
        </w:rPr>
        <w:footnoteReference w:id="3"/>
      </w:r>
      <w:r>
        <w:rPr>
          <w:rFonts w:ascii="Times New Roman" w:hAnsi="Times New Roman"/>
          <w:noProof/>
          <w:lang w:val="en-GB"/>
        </w:rPr>
        <w:t xml:space="preserve"> of arrivals in the EU. Third-country nationals have been able to cross the external borders of the EU illegally and then continue their j</w:t>
      </w:r>
      <w:r>
        <w:rPr>
          <w:rFonts w:ascii="Times New Roman" w:hAnsi="Times New Roman"/>
          <w:noProof/>
          <w:lang w:val="en-GB"/>
        </w:rPr>
        <w:t>ourney across the EU, without having been first identified, registered and subject to adequate security checks. The scale of these huge secondary movements of migrants within the EU has fundamentally put into question the coherence of the Schengen area, an</w:t>
      </w:r>
      <w:r>
        <w:rPr>
          <w:rFonts w:ascii="Times New Roman" w:hAnsi="Times New Roman"/>
          <w:noProof/>
          <w:lang w:val="en-GB"/>
        </w:rPr>
        <w:t xml:space="preserve">d, as a result, some Member States have chosen to reintroduce temporary controls at their internal borders – a situation that cannot and should not endure in the long term. Security concerns following the terrorist attacks of this year, and the phenomenon </w:t>
      </w:r>
      <w:r>
        <w:rPr>
          <w:rFonts w:ascii="Times New Roman" w:hAnsi="Times New Roman"/>
          <w:noProof/>
          <w:lang w:val="en-GB"/>
        </w:rPr>
        <w:t xml:space="preserve">of foreign terrorist fighters, have added to citizens' concerns. </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It has become increasingly clear that the challenges these movements represent cannot be adequately dealt with by individual Member States acting in an uncoordinated manner. We need Union st</w:t>
      </w:r>
      <w:r>
        <w:rPr>
          <w:rFonts w:ascii="Times New Roman" w:hAnsi="Times New Roman"/>
          <w:noProof/>
          <w:lang w:val="en-GB"/>
        </w:rPr>
        <w:t xml:space="preserve">andards and a unified system of shared responsibility for external border management. </w:t>
      </w:r>
    </w:p>
    <w:p w:rsidR="009908A5" w:rsidRDefault="00ED15D6">
      <w:pPr>
        <w:pStyle w:val="BodyA"/>
        <w:spacing w:after="120"/>
        <w:jc w:val="both"/>
        <w:rPr>
          <w:rFonts w:ascii="Times New Roman" w:hAnsi="Times New Roman"/>
          <w:noProof/>
        </w:rPr>
      </w:pPr>
      <w:r>
        <w:rPr>
          <w:rFonts w:ascii="Times New Roman" w:hAnsi="Times New Roman"/>
          <w:noProof/>
          <w:lang w:val="en-GB"/>
        </w:rPr>
        <w:t>The European Commission's European Agenda on Migration of May 2015</w:t>
      </w:r>
      <w:r>
        <w:rPr>
          <w:rStyle w:val="FootnoteReference"/>
          <w:rFonts w:ascii="Times New Roman" w:hAnsi="Times New Roman"/>
          <w:noProof/>
          <w:lang w:val="en-GB"/>
        </w:rPr>
        <w:footnoteReference w:id="4"/>
      </w:r>
      <w:r>
        <w:rPr>
          <w:rFonts w:ascii="Times New Roman" w:hAnsi="Times New Roman"/>
          <w:noProof/>
          <w:lang w:val="en-GB"/>
        </w:rPr>
        <w:t xml:space="preserve"> identified the need to move to a shared management of the external borders, in line with the objectiv</w:t>
      </w:r>
      <w:r>
        <w:rPr>
          <w:rFonts w:ascii="Times New Roman" w:hAnsi="Times New Roman"/>
          <w:noProof/>
          <w:lang w:val="en-GB"/>
        </w:rPr>
        <w:t xml:space="preserve">e of the "gradual introduction of an integrated management system for external borders" set out in Article 77 of the Treaty on the Functioning of the European Union. In his State of the Union speech in September, European Commission </w:t>
      </w:r>
      <w:r>
        <w:rPr>
          <w:rFonts w:ascii="Times New Roman" w:hAnsi="Times New Roman"/>
          <w:noProof/>
        </w:rPr>
        <w:t>President Jean-Claude J</w:t>
      </w:r>
      <w:r>
        <w:rPr>
          <w:rFonts w:ascii="Times New Roman" w:hAnsi="Times New Roman"/>
          <w:noProof/>
        </w:rPr>
        <w:t>uncker announced that the Commission would present ambitious steps in this respect before the end of the year in the form of a fully operational European Border and Coast Guard, as was subsequently confirmed in the 2016 Commission Work Programme</w:t>
      </w:r>
      <w:r>
        <w:rPr>
          <w:rStyle w:val="FootnoteReference"/>
          <w:rFonts w:ascii="Times New Roman" w:hAnsi="Times New Roman"/>
          <w:noProof/>
        </w:rPr>
        <w:footnoteReference w:id="5"/>
      </w:r>
      <w:r>
        <w:rPr>
          <w:rFonts w:ascii="Times New Roman" w:hAnsi="Times New Roman"/>
          <w:noProof/>
        </w:rPr>
        <w:t>.</w:t>
      </w:r>
    </w:p>
    <w:p w:rsidR="009908A5" w:rsidRDefault="00ED15D6">
      <w:pPr>
        <w:pStyle w:val="BodyA"/>
        <w:spacing w:after="120"/>
        <w:jc w:val="both"/>
        <w:rPr>
          <w:rFonts w:ascii="Times New Roman" w:hAnsi="Times New Roman"/>
          <w:noProof/>
          <w:lang w:val="en-GB"/>
        </w:rPr>
      </w:pPr>
      <w:r>
        <w:rPr>
          <w:rFonts w:ascii="Times New Roman" w:hAnsi="Times New Roman"/>
          <w:noProof/>
        </w:rPr>
        <w:lastRenderedPageBreak/>
        <w:t>This obj</w:t>
      </w:r>
      <w:r>
        <w:rPr>
          <w:rFonts w:ascii="Times New Roman" w:hAnsi="Times New Roman"/>
          <w:noProof/>
        </w:rPr>
        <w:t>ective has also been signaled by the European Parliament</w:t>
      </w:r>
      <w:r>
        <w:rPr>
          <w:rStyle w:val="FootnoteReference"/>
          <w:rFonts w:ascii="Times New Roman" w:hAnsi="Times New Roman"/>
          <w:noProof/>
        </w:rPr>
        <w:footnoteReference w:id="6"/>
      </w:r>
      <w:r>
        <w:rPr>
          <w:rFonts w:ascii="Times New Roman" w:hAnsi="Times New Roman"/>
          <w:noProof/>
        </w:rPr>
        <w:t xml:space="preserve"> and endorsed in the clear orientations set out by the European Council on 23 September and 15 October</w:t>
      </w:r>
      <w:r>
        <w:rPr>
          <w:rStyle w:val="FootnoteReference"/>
          <w:rFonts w:ascii="Times New Roman" w:hAnsi="Times New Roman"/>
          <w:noProof/>
        </w:rPr>
        <w:footnoteReference w:id="7"/>
      </w:r>
      <w:r>
        <w:rPr>
          <w:rFonts w:ascii="Times New Roman" w:hAnsi="Times New Roman"/>
          <w:noProof/>
        </w:rPr>
        <w:t xml:space="preserve">. </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This Communication, and the measures which accompany it, provide for a strong and unified pol</w:t>
      </w:r>
      <w:r>
        <w:rPr>
          <w:rFonts w:ascii="Times New Roman" w:hAnsi="Times New Roman"/>
          <w:noProof/>
          <w:lang w:val="en-GB"/>
        </w:rPr>
        <w:t>icy on the management of the EU's external borders based on the principle of shared responsibility. A permanent integrated system for border management will ensure the Union and its Member States are prepared in face of exceptional situations at the extern</w:t>
      </w:r>
      <w:r>
        <w:rPr>
          <w:rFonts w:ascii="Times New Roman" w:hAnsi="Times New Roman"/>
          <w:noProof/>
          <w:lang w:val="en-GB"/>
        </w:rPr>
        <w:t>al borders and able to react effectively and in time should they arise. It will be underpinned by a steady crisis prevention mechanism relying on constant monitoring of the capacities of the Member States, including through a robust and regular risk analys</w:t>
      </w:r>
      <w:r>
        <w:rPr>
          <w:rFonts w:ascii="Times New Roman" w:hAnsi="Times New Roman"/>
          <w:noProof/>
          <w:lang w:val="en-GB"/>
        </w:rPr>
        <w:t xml:space="preserve">is. </w:t>
      </w:r>
    </w:p>
    <w:p w:rsidR="009908A5" w:rsidRDefault="00ED15D6">
      <w:pPr>
        <w:pStyle w:val="BodyA"/>
        <w:spacing w:after="120"/>
        <w:jc w:val="both"/>
        <w:rPr>
          <w:rFonts w:ascii="Times New Roman" w:hAnsi="Times New Roman"/>
          <w:noProof/>
          <w:lang w:val="en-GB"/>
        </w:rPr>
      </w:pPr>
      <w:r>
        <w:rPr>
          <w:rFonts w:ascii="Times New Roman" w:hAnsi="Times New Roman"/>
          <w:noProof/>
          <w:lang w:val="en-GB"/>
        </w:rPr>
        <w:t>The benefits of an area of free movement without internal borders have been shared for many years now. It is now time to make effective management of the external borders a truly common responsibility. It is time for a decisive step towards an integra</w:t>
      </w:r>
      <w:r>
        <w:rPr>
          <w:rFonts w:ascii="Times New Roman" w:hAnsi="Times New Roman"/>
          <w:noProof/>
          <w:lang w:val="en-GB"/>
        </w:rPr>
        <w:t>ted management system for external borders.</w:t>
      </w:r>
    </w:p>
    <w:p w:rsidR="009908A5" w:rsidRDefault="00ED15D6">
      <w:pPr>
        <w:pStyle w:val="Heading"/>
        <w:ind w:left="720" w:hanging="720"/>
        <w:rPr>
          <w:noProof/>
          <w:lang w:val="en-GB"/>
        </w:rPr>
      </w:pPr>
      <w:r>
        <w:rPr>
          <w:noProof/>
          <w:lang w:val="en-GB"/>
        </w:rPr>
        <w:t>II.</w:t>
      </w:r>
      <w:r>
        <w:rPr>
          <w:noProof/>
          <w:lang w:val="en-GB"/>
        </w:rPr>
        <w:tab/>
        <w:t>The European Border and Coast Guard and the Principle of Shared Responsibility</w:t>
      </w:r>
    </w:p>
    <w:p w:rsidR="009908A5" w:rsidRDefault="00ED15D6">
      <w:pPr>
        <w:pStyle w:val="BodyAA"/>
        <w:rPr>
          <w:rFonts w:ascii="Times New Roman" w:eastAsia="Times New Roman" w:hAnsi="Times New Roman" w:cs="Times New Roman"/>
          <w:noProof/>
          <w:lang w:val="en-GB"/>
        </w:rPr>
      </w:pPr>
      <w:r>
        <w:rPr>
          <w:rFonts w:ascii="Times New Roman" w:hAnsi="Times New Roman"/>
          <w:noProof/>
          <w:lang w:val="en-GB"/>
        </w:rPr>
        <w:t xml:space="preserve">Today the Commission is proposing to establish a genuine European integrated border management designed in a way that meets the </w:t>
      </w:r>
      <w:r>
        <w:rPr>
          <w:rFonts w:ascii="Times New Roman" w:hAnsi="Times New Roman"/>
          <w:noProof/>
          <w:lang w:val="en-GB"/>
        </w:rPr>
        <w:t>new challenges and political realities faced by the EU, both as regards migration and internal security.</w:t>
      </w:r>
    </w:p>
    <w:p w:rsidR="009908A5" w:rsidRDefault="00ED15D6">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noProof/>
          <w:lang w:val="en-GB"/>
        </w:rPr>
      </w:pPr>
      <w:r>
        <w:rPr>
          <w:rFonts w:ascii="Times New Roman" w:hAnsi="Times New Roman"/>
          <w:noProof/>
          <w:lang w:val="en-GB"/>
        </w:rPr>
        <w:t xml:space="preserve">A </w:t>
      </w:r>
      <w:r>
        <w:rPr>
          <w:rFonts w:ascii="Times New Roman" w:hAnsi="Times New Roman"/>
          <w:b/>
          <w:noProof/>
          <w:lang w:val="en-GB"/>
        </w:rPr>
        <w:t>European Border and Coast Guard</w:t>
      </w:r>
      <w:r>
        <w:rPr>
          <w:rFonts w:ascii="Times New Roman" w:hAnsi="Times New Roman"/>
          <w:noProof/>
          <w:lang w:val="en-GB"/>
        </w:rPr>
        <w:t xml:space="preserve"> will be set up to ensure the effective application of strong common border management standards and to provide for op</w:t>
      </w:r>
      <w:r>
        <w:rPr>
          <w:rFonts w:ascii="Times New Roman" w:hAnsi="Times New Roman"/>
          <w:noProof/>
          <w:lang w:val="en-GB"/>
        </w:rPr>
        <w:t>erational support and intervention where necessary to promptly respond to emerging crises at the external border. The European Border and Coast Guard will bring together a European Border and Coast Guard Agency built from Frontex and the Member States’ aut</w:t>
      </w:r>
      <w:r>
        <w:rPr>
          <w:rFonts w:ascii="Times New Roman" w:hAnsi="Times New Roman"/>
          <w:noProof/>
          <w:lang w:val="en-GB"/>
        </w:rPr>
        <w:t>horities responsible for border management, who will continue to exercise the day-to-day management of the external border. National coastguard authorities are also part of the European Border and Coast Guard in so far as they perform maritime border surve</w:t>
      </w:r>
      <w:r>
        <w:rPr>
          <w:rFonts w:ascii="Times New Roman" w:hAnsi="Times New Roman"/>
          <w:noProof/>
          <w:lang w:val="en-GB"/>
        </w:rPr>
        <w:t>illance. The role of the Agency to contribute to</w:t>
      </w:r>
      <w:r>
        <w:rPr>
          <w:rFonts w:ascii="Times New Roman" w:hAnsi="Times New Roman"/>
          <w:b/>
          <w:noProof/>
          <w:lang w:val="en-GB"/>
        </w:rPr>
        <w:t xml:space="preserve"> search and rescue operations</w:t>
      </w:r>
      <w:r>
        <w:rPr>
          <w:rFonts w:ascii="Times New Roman" w:hAnsi="Times New Roman"/>
          <w:noProof/>
          <w:lang w:val="en-GB"/>
        </w:rPr>
        <w:t xml:space="preserve"> will now be significantly strengthened.</w:t>
      </w:r>
    </w:p>
    <w:p w:rsidR="009908A5" w:rsidRDefault="00ED15D6">
      <w:pPr>
        <w:pStyle w:val="BodyA"/>
        <w:jc w:val="both"/>
        <w:rPr>
          <w:rFonts w:ascii="Times New Roman" w:hAnsi="Times New Roman"/>
          <w:noProof/>
          <w:lang w:val="en-GB"/>
        </w:rPr>
      </w:pPr>
      <w:r>
        <w:rPr>
          <w:rFonts w:ascii="Times New Roman" w:hAnsi="Times New Roman"/>
          <w:noProof/>
          <w:lang w:val="en-GB"/>
        </w:rPr>
        <w:t>The new European Border and Coast Guard Agency ('the Agency') will be at the heart of making a more integrated system of border management</w:t>
      </w:r>
      <w:r>
        <w:rPr>
          <w:rFonts w:ascii="Times New Roman" w:hAnsi="Times New Roman"/>
          <w:noProof/>
          <w:lang w:val="en-GB"/>
        </w:rPr>
        <w:t xml:space="preserve"> work. It needs to be a centre of operational capacity and expertise, a practical support to national border guard authorities, and a guarantor that the system will perform effectively. The Commission's proposal provides for a toolbox of measures to empowe</w:t>
      </w:r>
      <w:r>
        <w:rPr>
          <w:rFonts w:ascii="Times New Roman" w:hAnsi="Times New Roman"/>
          <w:noProof/>
          <w:lang w:val="en-GB"/>
        </w:rPr>
        <w:t>r the Agency to act in a manner that effectively responds to current challenges, drawing on the recommendations made by the Management Board of Frontex in November 2015</w:t>
      </w:r>
      <w:r>
        <w:rPr>
          <w:rStyle w:val="FootnoteReference"/>
          <w:rFonts w:ascii="Times New Roman" w:hAnsi="Times New Roman"/>
          <w:noProof/>
          <w:lang w:val="en-GB"/>
        </w:rPr>
        <w:footnoteReference w:id="8"/>
      </w:r>
      <w:r>
        <w:rPr>
          <w:rFonts w:ascii="Times New Roman" w:hAnsi="Times New Roman"/>
          <w:noProof/>
          <w:lang w:val="en-GB"/>
        </w:rPr>
        <w:t>.</w:t>
      </w:r>
    </w:p>
    <w:p w:rsidR="009908A5" w:rsidRDefault="00ED15D6">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noProof/>
          <w:lang w:val="en-GB"/>
        </w:rPr>
      </w:pPr>
      <w:r>
        <w:rPr>
          <w:rFonts w:ascii="Times New Roman" w:eastAsia="Times New Roman" w:hAnsi="Times New Roman" w:cs="Times New Roman"/>
          <w:noProof/>
          <w:lang w:val="en-GB"/>
        </w:rPr>
        <w:t>For the European Border and Coast Guard to be effective, it needs to work in all phas</w:t>
      </w:r>
      <w:r>
        <w:rPr>
          <w:rFonts w:ascii="Times New Roman" w:eastAsia="Times New Roman" w:hAnsi="Times New Roman" w:cs="Times New Roman"/>
          <w:noProof/>
          <w:lang w:val="en-GB"/>
        </w:rPr>
        <w:t>es of border management. Firstly, common standards need to be set which meet the test of robust border management capable of reacting at times of crises. The integration of national and Union levels within the European Border and Coast Guard should make th</w:t>
      </w:r>
      <w:r>
        <w:rPr>
          <w:rFonts w:ascii="Times New Roman" w:eastAsia="Times New Roman" w:hAnsi="Times New Roman" w:cs="Times New Roman"/>
          <w:noProof/>
          <w:lang w:val="en-GB"/>
        </w:rPr>
        <w:t xml:space="preserve">e work of constantly improving standards part of the core work of border guard authorities, including coastguards to the extent that they carry out border control tasks, at all levels. </w:t>
      </w:r>
      <w:r>
        <w:rPr>
          <w:rFonts w:ascii="Times New Roman" w:hAnsi="Times New Roman"/>
          <w:noProof/>
          <w:lang w:val="en-GB"/>
        </w:rPr>
        <w:t>The relevant national authorities will perform their regular tasks in l</w:t>
      </w:r>
      <w:r>
        <w:rPr>
          <w:rFonts w:ascii="Times New Roman" w:hAnsi="Times New Roman"/>
          <w:noProof/>
          <w:lang w:val="en-GB"/>
        </w:rPr>
        <w:t xml:space="preserve">ine with these standards, and a strong EU level will help ensure uniform implementation across Member States. </w:t>
      </w:r>
      <w:r>
        <w:rPr>
          <w:rFonts w:ascii="Times New Roman" w:eastAsia="Times New Roman" w:hAnsi="Times New Roman" w:cs="Times New Roman"/>
          <w:noProof/>
          <w:lang w:val="en-GB"/>
        </w:rPr>
        <w:t xml:space="preserve">Secondly, there needs to be a system where deficiencies are identified well in advance so that remedial action is taken. Thirdly, it is essential </w:t>
      </w:r>
      <w:r>
        <w:rPr>
          <w:rFonts w:ascii="Times New Roman" w:eastAsia="Times New Roman" w:hAnsi="Times New Roman" w:cs="Times New Roman"/>
          <w:noProof/>
          <w:lang w:val="en-GB"/>
        </w:rPr>
        <w:t>to have a strong and responsive system to ensure crises are adequately addressed whenever needed.</w:t>
      </w:r>
      <w:r>
        <w:rPr>
          <w:rFonts w:ascii="Times New Roman" w:hAnsi="Times New Roman"/>
          <w:noProof/>
          <w:lang w:val="en-GB"/>
        </w:rPr>
        <w:t xml:space="preserve"> </w:t>
      </w:r>
      <w:r>
        <w:rPr>
          <w:rFonts w:ascii="Times New Roman" w:hAnsi="Times New Roman" w:cs="Times New Roman"/>
          <w:noProof/>
          <w:lang w:val="en-GB"/>
        </w:rPr>
        <w:t>In exceptional situations, the assistance rendered to frontline</w:t>
      </w:r>
      <w:r>
        <w:rPr>
          <w:rFonts w:ascii="Times New Roman" w:hAnsi="Times New Roman"/>
          <w:noProof/>
          <w:lang w:val="en-GB"/>
        </w:rPr>
        <w:t xml:space="preserve"> Member States must be regarded as a responsibility which the EU and the Member States need to </w:t>
      </w:r>
      <w:r>
        <w:rPr>
          <w:rFonts w:ascii="Times New Roman" w:hAnsi="Times New Roman"/>
          <w:noProof/>
          <w:lang w:val="en-GB"/>
        </w:rPr>
        <w:t>share and shoulder together. In this respect, the European Border and Coast Guard needs to be able to intervene when the national border guards of frontline Member States are not, for whichever reasons, effectively coping with the challenges they face on t</w:t>
      </w:r>
      <w:r>
        <w:rPr>
          <w:rFonts w:ascii="Times New Roman" w:hAnsi="Times New Roman"/>
          <w:noProof/>
          <w:lang w:val="en-GB"/>
        </w:rPr>
        <w:t>heir own.</w:t>
      </w:r>
    </w:p>
    <w:p w:rsidR="009908A5" w:rsidRDefault="00ED15D6">
      <w:pPr>
        <w:pStyle w:val="ManualHeading1"/>
        <w:spacing w:before="240"/>
        <w:ind w:left="851" w:hanging="851"/>
        <w:rPr>
          <w:noProof/>
          <w:lang w:val="en-GB"/>
        </w:rPr>
      </w:pPr>
      <w:r>
        <w:rPr>
          <w:noProof/>
          <w:lang w:val="en-GB"/>
        </w:rPr>
        <w:t xml:space="preserve">III. </w:t>
      </w:r>
      <w:r>
        <w:rPr>
          <w:noProof/>
          <w:lang w:val="en-GB"/>
        </w:rPr>
        <w:tab/>
        <w:t xml:space="preserve">A single system of integrated external border management </w:t>
      </w:r>
    </w:p>
    <w:p w:rsidR="009908A5" w:rsidRDefault="00ED15D6">
      <w:pPr>
        <w:pStyle w:val="ManualHeading1"/>
        <w:tabs>
          <w:tab w:val="clear" w:pos="850"/>
        </w:tabs>
        <w:spacing w:before="240"/>
        <w:ind w:left="851" w:hanging="851"/>
        <w:rPr>
          <w:noProof/>
          <w:lang w:val="en-GB"/>
        </w:rPr>
      </w:pPr>
      <w:r>
        <w:rPr>
          <w:noProof/>
          <w:lang w:val="en-GB"/>
        </w:rPr>
        <w:t xml:space="preserve">1. </w:t>
      </w:r>
      <w:r>
        <w:rPr>
          <w:noProof/>
          <w:lang w:val="en-GB"/>
        </w:rPr>
        <w:tab/>
        <w:t xml:space="preserve">Effective Implementation of Integrated Border Management  </w:t>
      </w:r>
    </w:p>
    <w:p w:rsidR="009908A5" w:rsidRDefault="00ED15D6">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noProof/>
          <w:lang w:val="en-GB"/>
        </w:rPr>
      </w:pPr>
      <w:r>
        <w:rPr>
          <w:rFonts w:ascii="Times New Roman" w:hAnsi="Times New Roman"/>
          <w:noProof/>
          <w:lang w:val="en-GB"/>
        </w:rPr>
        <w:t>Integrated border management goes beyond border control performed solely at the external border. It includes measures i</w:t>
      </w:r>
      <w:r>
        <w:rPr>
          <w:rFonts w:ascii="Times New Roman" w:hAnsi="Times New Roman"/>
          <w:noProof/>
          <w:lang w:val="en-GB"/>
        </w:rPr>
        <w:t>n third countries, measures with neighbouring third countries, and measures within the area of free movement, including return of irregular migrants from the EU to their countries of origin. Proper border management is also supported by a number of element</w:t>
      </w:r>
      <w:r>
        <w:rPr>
          <w:rFonts w:ascii="Times New Roman" w:hAnsi="Times New Roman"/>
          <w:noProof/>
          <w:lang w:val="en-GB"/>
        </w:rPr>
        <w:t xml:space="preserve">s such as strong and regular risk analysis, improved inter-agency cooperation and the use of state-of-the-art technology.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As a first step, it is necessary to ensure that the common EU rules in place are fully and duly implemented. Implementation of these </w:t>
      </w:r>
      <w:r>
        <w:rPr>
          <w:rFonts w:ascii="Times New Roman" w:hAnsi="Times New Roman"/>
          <w:noProof/>
          <w:lang w:val="en-GB"/>
        </w:rPr>
        <w:t xml:space="preserve">rules is also essential in normal circumstances when there is no increased pressure but the area of free movement needs to be equally secured.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To ensure the constant monitoring of the management of the external borders in the Member States, the Commission</w:t>
      </w:r>
      <w:r>
        <w:rPr>
          <w:rFonts w:ascii="Times New Roman" w:hAnsi="Times New Roman"/>
          <w:noProof/>
          <w:lang w:val="en-GB"/>
        </w:rPr>
        <w:t xml:space="preserve"> is proposing to reinforce the obligations of cooperation and information sharing between the new European Border and Coast Guard Agency and national authorities. In particular, a monitoring and risk analysis centre will be set up in the Agency to follow t</w:t>
      </w:r>
      <w:r>
        <w:rPr>
          <w:rFonts w:ascii="Times New Roman" w:hAnsi="Times New Roman"/>
          <w:noProof/>
          <w:lang w:val="en-GB"/>
        </w:rPr>
        <w:t xml:space="preserve">he migratory flows towards and within the European Union. This tool will go hand in hand with a reliable and up-to-date </w:t>
      </w:r>
      <w:r>
        <w:rPr>
          <w:rFonts w:ascii="Times New Roman" w:hAnsi="Times New Roman"/>
          <w:b/>
          <w:bCs/>
          <w:noProof/>
          <w:lang w:val="en-GB"/>
        </w:rPr>
        <w:t>risk analysis</w:t>
      </w:r>
      <w:r>
        <w:rPr>
          <w:rFonts w:ascii="Times New Roman" w:hAnsi="Times New Roman"/>
          <w:bCs/>
          <w:noProof/>
          <w:lang w:val="en-GB"/>
        </w:rPr>
        <w:t>.</w:t>
      </w:r>
      <w:r>
        <w:rPr>
          <w:rFonts w:ascii="Times New Roman" w:hAnsi="Times New Roman"/>
          <w:noProof/>
          <w:lang w:val="en-GB"/>
        </w:rPr>
        <w:t xml:space="preserve"> The use of the Common Integrated Risk Analysis Model (CIRAM) developed by the Agency, in close cooperation with the Membe</w:t>
      </w:r>
      <w:r>
        <w:rPr>
          <w:rFonts w:ascii="Times New Roman" w:hAnsi="Times New Roman"/>
          <w:noProof/>
          <w:lang w:val="en-GB"/>
        </w:rPr>
        <w:t>r States, will be made compulsory.</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To support the development of an integrated approach and to further strengthen the regular monitoring of the management of the external borders by the Member States, </w:t>
      </w:r>
      <w:r>
        <w:rPr>
          <w:rFonts w:ascii="Times New Roman" w:hAnsi="Times New Roman"/>
          <w:b/>
          <w:noProof/>
          <w:lang w:val="en-GB"/>
        </w:rPr>
        <w:t>liaison officers</w:t>
      </w:r>
      <w:r>
        <w:rPr>
          <w:rFonts w:ascii="Times New Roman" w:hAnsi="Times New Roman"/>
          <w:noProof/>
          <w:lang w:val="en-GB"/>
        </w:rPr>
        <w:t xml:space="preserve"> will be seconded by the Agency to spec</w:t>
      </w:r>
      <w:r>
        <w:rPr>
          <w:rFonts w:ascii="Times New Roman" w:hAnsi="Times New Roman"/>
          <w:noProof/>
          <w:lang w:val="en-GB"/>
        </w:rPr>
        <w:t>ific Member States determined on the basis of risk analysis and in consultation with the Management Board. Cooperating with the national border guard authorities (as well as the coastguards to the extent that they carry out border control tasks) and acting</w:t>
      </w:r>
      <w:r>
        <w:rPr>
          <w:rFonts w:ascii="Times New Roman" w:hAnsi="Times New Roman"/>
          <w:noProof/>
          <w:lang w:val="en-GB"/>
        </w:rPr>
        <w:t xml:space="preserve"> as an interface between them and the Agency, these liaison officers </w:t>
      </w:r>
      <w:r>
        <w:rPr>
          <w:rFonts w:ascii="Times New Roman" w:hAnsi="Times New Roman"/>
          <w:noProof/>
          <w:color w:val="auto"/>
          <w:lang w:val="en-GB"/>
        </w:rPr>
        <w:t xml:space="preserve">will be fully integrated </w:t>
      </w:r>
      <w:r>
        <w:rPr>
          <w:rFonts w:ascii="Times New Roman" w:hAnsi="Times New Roman"/>
          <w:noProof/>
          <w:lang w:val="en-GB"/>
        </w:rPr>
        <w:t>into the national authorities' work and information systems and able to ensure the Agency is fully informed in real time. They will identify possible weaknesses i</w:t>
      </w:r>
      <w:r>
        <w:rPr>
          <w:rFonts w:ascii="Times New Roman" w:hAnsi="Times New Roman"/>
          <w:noProof/>
          <w:lang w:val="en-GB"/>
        </w:rPr>
        <w:t xml:space="preserve">n the national border management systems and will prepare recommendations to address them. This will help identify necessary preventive steps in a common and proactive way and help prevent potential shortcomings from becoming a problem.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To guarantee</w:t>
      </w:r>
      <w:r>
        <w:rPr>
          <w:rFonts w:ascii="Times New Roman" w:hAnsi="Times New Roman"/>
          <w:b/>
          <w:bCs/>
          <w:noProof/>
          <w:lang w:val="en-GB"/>
        </w:rPr>
        <w:t xml:space="preserve"> </w:t>
      </w:r>
      <w:r>
        <w:rPr>
          <w:rFonts w:ascii="Times New Roman" w:hAnsi="Times New Roman"/>
          <w:noProof/>
          <w:lang w:val="en-GB"/>
        </w:rPr>
        <w:t>an ef</w:t>
      </w:r>
      <w:r>
        <w:rPr>
          <w:rFonts w:ascii="Times New Roman" w:hAnsi="Times New Roman"/>
          <w:noProof/>
          <w:lang w:val="en-GB"/>
        </w:rPr>
        <w:t>ficient implementation of the European integrated border management, the Agency will develop a broad overview of the capacity of Member States, including as regards allocation of staff and equipment at the external border. To help identify and address weak</w:t>
      </w:r>
      <w:r>
        <w:rPr>
          <w:rFonts w:ascii="Times New Roman" w:hAnsi="Times New Roman"/>
          <w:noProof/>
          <w:lang w:val="en-GB"/>
        </w:rPr>
        <w:t xml:space="preserve">nesses, the Commission is proposing to significantly strengthen the Agency's ‘vulnerability test’ (as compared to the current Frontex situation) by transforming it into a mandatory mechanism of </w:t>
      </w:r>
      <w:r>
        <w:rPr>
          <w:rFonts w:ascii="Times New Roman" w:hAnsi="Times New Roman"/>
          <w:b/>
          <w:bCs/>
          <w:noProof/>
          <w:lang w:val="en-GB"/>
        </w:rPr>
        <w:t xml:space="preserve">vulnerability assessment. </w:t>
      </w:r>
      <w:r>
        <w:rPr>
          <w:rFonts w:ascii="Times New Roman" w:hAnsi="Times New Roman"/>
          <w:noProof/>
          <w:lang w:val="en-GB"/>
        </w:rPr>
        <w:t>It will be designed in a way so as t</w:t>
      </w:r>
      <w:r>
        <w:rPr>
          <w:rFonts w:ascii="Times New Roman" w:hAnsi="Times New Roman"/>
          <w:noProof/>
          <w:lang w:val="en-GB"/>
        </w:rPr>
        <w:t>o complement the Schengen evaluation mechanism</w:t>
      </w:r>
      <w:r>
        <w:rPr>
          <w:rFonts w:ascii="Times New Roman" w:eastAsia="Times New Roman" w:hAnsi="Times New Roman" w:cs="Times New Roman"/>
          <w:noProof/>
          <w:vertAlign w:val="superscript"/>
          <w:lang w:val="en-GB"/>
        </w:rPr>
        <w:footnoteReference w:id="9"/>
      </w:r>
      <w:r>
        <w:rPr>
          <w:rFonts w:ascii="Times New Roman" w:hAnsi="Times New Roman"/>
          <w:noProof/>
          <w:lang w:val="en-GB"/>
        </w:rPr>
        <w:t xml:space="preserve"> and will ensure that the specific needs of those sections of the external border exposed to threats, such as disproportionate migratory pressures, can be adequately met. The information necessary for carrying out this vulnerability assessment will be comp</w:t>
      </w:r>
      <w:r>
        <w:rPr>
          <w:rFonts w:ascii="Times New Roman" w:hAnsi="Times New Roman"/>
          <w:noProof/>
          <w:lang w:val="en-GB"/>
        </w:rPr>
        <w:t xml:space="preserve">lemented by the seconded liaison officers who will be feeding in data collected during their work on the ground. </w:t>
      </w:r>
    </w:p>
    <w:p w:rsidR="009908A5" w:rsidRDefault="00ED15D6">
      <w:pPr>
        <w:pStyle w:val="BodyA"/>
        <w:spacing w:after="120"/>
        <w:jc w:val="both"/>
        <w:rPr>
          <w:rFonts w:ascii="Times New Roman" w:eastAsia="Times New Roman" w:hAnsi="Times New Roman" w:cs="Times New Roman"/>
          <w:noProof/>
          <w:lang w:val="en-GB"/>
        </w:rPr>
      </w:pPr>
      <w:r>
        <w:rPr>
          <w:rFonts w:ascii="Times New Roman" w:hAnsi="Times New Roman"/>
          <w:noProof/>
          <w:lang w:val="en-GB"/>
        </w:rPr>
        <w:t>By assessing the resources and equipment of the Member States as well as their contingency planning, the Agency will determine whether they ar</w:t>
      </w:r>
      <w:r>
        <w:rPr>
          <w:rFonts w:ascii="Times New Roman" w:hAnsi="Times New Roman"/>
          <w:noProof/>
          <w:lang w:val="en-GB"/>
        </w:rPr>
        <w:t>e well prepared to meet potential challenges and to identify existing weaknesses. Following the outcome of this assessment, if necessary, the Agency will determine any corrective actions needed to address emerging or existing gaps. The decisions of the Age</w:t>
      </w:r>
      <w:r>
        <w:rPr>
          <w:rFonts w:ascii="Times New Roman" w:hAnsi="Times New Roman"/>
          <w:noProof/>
          <w:lang w:val="en-GB"/>
        </w:rPr>
        <w:t>ncy will be binding on the Member State concerned. If the necessary corrective action is not taken within the time limits set by the Agency, the European Commission may authorise the Agency to take further action, including the deployment of European Borde</w:t>
      </w:r>
      <w:r>
        <w:rPr>
          <w:rFonts w:ascii="Times New Roman" w:hAnsi="Times New Roman"/>
          <w:noProof/>
          <w:lang w:val="en-GB"/>
        </w:rPr>
        <w:t>r and Coast Guard Teams (see below).</w:t>
      </w:r>
    </w:p>
    <w:p w:rsidR="009908A5" w:rsidRDefault="00ED15D6">
      <w:pPr>
        <w:pStyle w:val="ManualHeading1"/>
        <w:spacing w:before="240"/>
        <w:ind w:left="851" w:hanging="851"/>
        <w:rPr>
          <w:noProof/>
          <w:lang w:val="en-GB"/>
        </w:rPr>
      </w:pPr>
      <w:r>
        <w:rPr>
          <w:noProof/>
          <w:lang w:val="en-GB"/>
        </w:rPr>
        <w:t>2.</w:t>
      </w:r>
      <w:r>
        <w:rPr>
          <w:noProof/>
          <w:lang w:val="en-GB"/>
        </w:rPr>
        <w:tab/>
        <w:t xml:space="preserve">Crisis Prevention and Intervention at the External Border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The situation at the external border must not be allowed to deteriorate to the extent of jeopardising the functioning of the Schengen area. </w:t>
      </w:r>
    </w:p>
    <w:p w:rsidR="009908A5" w:rsidRDefault="00ED15D6">
      <w:pPr>
        <w:pStyle w:val="BodyA"/>
        <w:jc w:val="both"/>
        <w:rPr>
          <w:rFonts w:ascii="Times New Roman" w:hAnsi="Times New Roman"/>
          <w:noProof/>
          <w:lang w:val="en-GB"/>
        </w:rPr>
      </w:pPr>
      <w:r>
        <w:rPr>
          <w:rFonts w:ascii="Times New Roman" w:hAnsi="Times New Roman"/>
          <w:noProof/>
          <w:lang w:val="en-GB"/>
        </w:rPr>
        <w:t>In cases of urge</w:t>
      </w:r>
      <w:r>
        <w:rPr>
          <w:rFonts w:ascii="Times New Roman" w:hAnsi="Times New Roman"/>
          <w:noProof/>
          <w:lang w:val="en-GB"/>
        </w:rPr>
        <w:t>nt or exceptional migratory pressure, Member States can already today avail themselves of the possibility to request the deployment of Agency resources</w:t>
      </w:r>
      <w:r>
        <w:rPr>
          <w:rStyle w:val="FootnoteReference"/>
          <w:rFonts w:ascii="Times New Roman" w:hAnsi="Times New Roman"/>
          <w:noProof/>
          <w:lang w:val="en-GB"/>
        </w:rPr>
        <w:footnoteReference w:id="10"/>
      </w:r>
      <w:r>
        <w:rPr>
          <w:rFonts w:ascii="Times New Roman" w:hAnsi="Times New Roman"/>
          <w:noProof/>
          <w:lang w:val="en-GB"/>
        </w:rPr>
        <w:t xml:space="preserve">. </w:t>
      </w:r>
      <w:r>
        <w:rPr>
          <w:rFonts w:ascii="Times New Roman" w:hAnsi="Times New Roman"/>
          <w:b/>
          <w:bCs/>
          <w:noProof/>
          <w:lang w:val="en-GB"/>
        </w:rPr>
        <w:t>Member States may request joint operations and rapid border interventions,</w:t>
      </w:r>
      <w:r>
        <w:rPr>
          <w:rFonts w:ascii="Times New Roman" w:hAnsi="Times New Roman"/>
          <w:bCs/>
          <w:noProof/>
          <w:lang w:val="en-GB"/>
        </w:rPr>
        <w:t xml:space="preserve"> and deployment of the Europ</w:t>
      </w:r>
      <w:r>
        <w:rPr>
          <w:rFonts w:ascii="Times New Roman" w:hAnsi="Times New Roman"/>
          <w:bCs/>
          <w:noProof/>
          <w:lang w:val="en-GB"/>
        </w:rPr>
        <w:t>ean Border and Coast Guard Teams to support these</w:t>
      </w:r>
      <w:r>
        <w:rPr>
          <w:rFonts w:ascii="Times New Roman" w:hAnsi="Times New Roman"/>
          <w:noProof/>
          <w:lang w:val="en-GB"/>
        </w:rPr>
        <w:t xml:space="preserve">. </w:t>
      </w:r>
    </w:p>
    <w:p w:rsidR="009908A5" w:rsidRDefault="00ED15D6">
      <w:pPr>
        <w:pStyle w:val="BodyA"/>
        <w:jc w:val="both"/>
        <w:rPr>
          <w:rFonts w:ascii="Times New Roman" w:hAnsi="Times New Roman"/>
          <w:noProof/>
          <w:lang w:val="en-GB"/>
        </w:rPr>
      </w:pPr>
      <w:r>
        <w:rPr>
          <w:rFonts w:ascii="Times New Roman" w:hAnsi="Times New Roman"/>
          <w:noProof/>
          <w:lang w:val="en-GB"/>
        </w:rPr>
        <w:t>However, the refugee crisis has exposed two fundamental problems with the existing structures. This is because the deployment of Agency resources relies, firstly, on the willingness of Member States to se</w:t>
      </w:r>
      <w:r>
        <w:rPr>
          <w:rFonts w:ascii="Times New Roman" w:hAnsi="Times New Roman"/>
          <w:noProof/>
          <w:lang w:val="en-GB"/>
        </w:rPr>
        <w:t>nd resources to the external border at a given moment in time and, secondly, on a formal request from a frontline Member State. The structure and mandate of the new European Border and Coast Guard is designed to mitigate both issues. On the one hand, these</w:t>
      </w:r>
      <w:r>
        <w:rPr>
          <w:rFonts w:ascii="Times New Roman" w:hAnsi="Times New Roman"/>
          <w:noProof/>
          <w:lang w:val="en-GB"/>
        </w:rPr>
        <w:t xml:space="preserve"> weaknesses were exposed notably in the case of Greece where Frontex asked Member States to supply 743 guest officers to work at the external border in Greece and to this day only 447 have been provided. On the other hand, and despite several political cal</w:t>
      </w:r>
      <w:r>
        <w:rPr>
          <w:rFonts w:ascii="Times New Roman" w:hAnsi="Times New Roman"/>
          <w:noProof/>
          <w:lang w:val="en-GB"/>
        </w:rPr>
        <w:t xml:space="preserve">ls to do so, some Member States have not activated the available border intervention mechanisms, leaving Frontex unable to intervene. </w:t>
      </w:r>
    </w:p>
    <w:p w:rsidR="009908A5" w:rsidRDefault="00ED15D6">
      <w:pPr>
        <w:pStyle w:val="BodyA"/>
        <w:jc w:val="both"/>
        <w:rPr>
          <w:rFonts w:ascii="Times New Roman" w:hAnsi="Times New Roman"/>
          <w:b/>
          <w:i/>
          <w:noProof/>
          <w:lang w:val="en-GB"/>
        </w:rPr>
      </w:pPr>
      <w:r>
        <w:rPr>
          <w:rFonts w:ascii="Times New Roman" w:hAnsi="Times New Roman"/>
          <w:b/>
          <w:i/>
          <w:noProof/>
          <w:lang w:val="en-GB"/>
        </w:rPr>
        <w:t>A reserve of European Border Guards</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The Agency therefore needs to have at its immediate and direct disposal a sufficient </w:t>
      </w:r>
      <w:r>
        <w:rPr>
          <w:rFonts w:ascii="Times New Roman" w:hAnsi="Times New Roman"/>
          <w:noProof/>
          <w:lang w:val="en-GB"/>
        </w:rPr>
        <w:t>number of well-trained experts with the appropriate profiles as well as the relevant technical equipment. Currently, contributions of assets and experts to Frontex are, in principle, provided on a voluntary basis. This method of working, in combination wit</w:t>
      </w:r>
      <w:r>
        <w:rPr>
          <w:rFonts w:ascii="Times New Roman" w:hAnsi="Times New Roman"/>
          <w:noProof/>
          <w:lang w:val="en-GB"/>
        </w:rPr>
        <w:t xml:space="preserve">h the current migration crisis, has recently led to shortages which have prevented Frontex from performing its operational tasks at maximum capacity. Such deficiencies must be remedied. </w:t>
      </w:r>
    </w:p>
    <w:p w:rsidR="009908A5" w:rsidRDefault="00ED15D6">
      <w:pPr>
        <w:pStyle w:val="BodyA"/>
        <w:jc w:val="both"/>
        <w:rPr>
          <w:rFonts w:ascii="Times New Roman" w:hAnsi="Times New Roman"/>
          <w:noProof/>
          <w:lang w:val="en-GB"/>
        </w:rPr>
      </w:pPr>
      <w:r>
        <w:rPr>
          <w:rFonts w:ascii="Times New Roman" w:hAnsi="Times New Roman"/>
          <w:noProof/>
          <w:lang w:val="en-GB"/>
        </w:rPr>
        <w:t>To secure the capacity of the Agency to perform its tasks in respondi</w:t>
      </w:r>
      <w:r>
        <w:rPr>
          <w:rFonts w:ascii="Times New Roman" w:hAnsi="Times New Roman"/>
          <w:noProof/>
          <w:lang w:val="en-GB"/>
        </w:rPr>
        <w:t xml:space="preserve">ng to emergency situations, a </w:t>
      </w:r>
      <w:r>
        <w:rPr>
          <w:rFonts w:ascii="Times New Roman" w:hAnsi="Times New Roman"/>
          <w:b/>
          <w:bCs/>
          <w:noProof/>
          <w:lang w:val="en-GB"/>
        </w:rPr>
        <w:t>rapid reserve pool</w:t>
      </w:r>
      <w:r>
        <w:rPr>
          <w:rFonts w:ascii="Times New Roman" w:hAnsi="Times New Roman"/>
          <w:noProof/>
          <w:lang w:val="en-GB"/>
        </w:rPr>
        <w:t xml:space="preserve"> of experts will be created as a standing corps put at the disposal of the Agency. As the body assigned to implement the European integrated border management, the Agency will be able to call on this pool wit</w:t>
      </w:r>
      <w:r>
        <w:rPr>
          <w:rFonts w:ascii="Times New Roman" w:hAnsi="Times New Roman"/>
          <w:noProof/>
          <w:lang w:val="en-GB"/>
        </w:rPr>
        <w:t xml:space="preserve">hin a very </w:t>
      </w:r>
      <w:r>
        <w:rPr>
          <w:rFonts w:ascii="Times New Roman" w:hAnsi="Times New Roman"/>
          <w:b/>
          <w:bCs/>
          <w:noProof/>
          <w:lang w:val="en-GB"/>
        </w:rPr>
        <w:t>limited timeframe</w:t>
      </w:r>
      <w:r>
        <w:rPr>
          <w:rFonts w:ascii="Times New Roman" w:hAnsi="Times New Roman"/>
          <w:noProof/>
          <w:lang w:val="en-GB"/>
        </w:rPr>
        <w:t xml:space="preserve"> in circumstances requiring </w:t>
      </w:r>
      <w:r>
        <w:rPr>
          <w:rFonts w:ascii="Times New Roman" w:hAnsi="Times New Roman"/>
          <w:b/>
          <w:bCs/>
          <w:noProof/>
          <w:lang w:val="en-GB"/>
        </w:rPr>
        <w:t>immediate response</w:t>
      </w:r>
      <w:r>
        <w:rPr>
          <w:rFonts w:ascii="Times New Roman" w:hAnsi="Times New Roman"/>
          <w:noProof/>
          <w:lang w:val="en-GB"/>
        </w:rPr>
        <w:t>. Member States will have to make available at least 1 500 border guards to be deployed by the Agency in rapid border interventions within days. Similarly, the Agency will have at it</w:t>
      </w:r>
      <w:r>
        <w:rPr>
          <w:rFonts w:ascii="Times New Roman" w:hAnsi="Times New Roman"/>
          <w:noProof/>
          <w:lang w:val="en-GB"/>
        </w:rPr>
        <w:t xml:space="preserve">s disposal </w:t>
      </w:r>
      <w:r>
        <w:rPr>
          <w:rFonts w:ascii="Times New Roman" w:hAnsi="Times New Roman"/>
          <w:b/>
          <w:noProof/>
          <w:lang w:val="en-GB"/>
        </w:rPr>
        <w:t>a technical equipment pool</w:t>
      </w:r>
      <w:r>
        <w:rPr>
          <w:rFonts w:ascii="Times New Roman" w:hAnsi="Times New Roman"/>
          <w:noProof/>
          <w:lang w:val="en-GB"/>
        </w:rPr>
        <w:t xml:space="preserve"> where Member States will be required to make available at immediate notice operational equipment acquired at a 90% co-financing rate under the additional allocations of </w:t>
      </w:r>
      <w:r>
        <w:rPr>
          <w:rFonts w:ascii="Times New Roman" w:hAnsi="Times New Roman"/>
          <w:b/>
          <w:bCs/>
          <w:noProof/>
          <w:lang w:val="en-GB"/>
        </w:rPr>
        <w:t>specific actions</w:t>
      </w:r>
      <w:r>
        <w:rPr>
          <w:rFonts w:ascii="Times New Roman" w:eastAsia="Times New Roman" w:hAnsi="Times New Roman" w:cs="Times New Roman"/>
          <w:noProof/>
          <w:vertAlign w:val="superscript"/>
          <w:lang w:val="en-GB"/>
        </w:rPr>
        <w:footnoteReference w:id="11"/>
      </w:r>
      <w:r>
        <w:rPr>
          <w:rFonts w:ascii="Times New Roman" w:hAnsi="Times New Roman"/>
          <w:noProof/>
          <w:lang w:val="en-GB"/>
        </w:rPr>
        <w:t xml:space="preserve"> of the Internal Security Fund. </w:t>
      </w:r>
      <w:r>
        <w:rPr>
          <w:rFonts w:ascii="Times New Roman" w:hAnsi="Times New Roman"/>
          <w:noProof/>
          <w:lang w:val="en-GB"/>
        </w:rPr>
        <w:t xml:space="preserve">This will ensure that the current situation where frontline Member States face shortages of essential fingerprinting equipment but Frontex is unable to supply them since it relies on Member States to make these resources available, is put to an end. </w:t>
      </w:r>
    </w:p>
    <w:p w:rsidR="009908A5" w:rsidRDefault="00ED15D6">
      <w:pPr>
        <w:pStyle w:val="BodyA"/>
        <w:jc w:val="both"/>
        <w:rPr>
          <w:rFonts w:ascii="Times New Roman" w:hAnsi="Times New Roman"/>
          <w:b/>
          <w:i/>
          <w:noProof/>
          <w:lang w:val="en-GB"/>
        </w:rPr>
      </w:pPr>
      <w:r>
        <w:rPr>
          <w:rFonts w:ascii="Times New Roman" w:hAnsi="Times New Roman"/>
          <w:b/>
          <w:i/>
          <w:noProof/>
          <w:lang w:val="en-GB"/>
        </w:rPr>
        <w:t>The r</w:t>
      </w:r>
      <w:r>
        <w:rPr>
          <w:rFonts w:ascii="Times New Roman" w:hAnsi="Times New Roman"/>
          <w:b/>
          <w:i/>
          <w:noProof/>
          <w:lang w:val="en-GB"/>
        </w:rPr>
        <w:t>ight to intervene</w:t>
      </w:r>
    </w:p>
    <w:p w:rsidR="009908A5" w:rsidRDefault="00ED15D6">
      <w:pPr>
        <w:pStyle w:val="BodyA"/>
        <w:jc w:val="both"/>
        <w:rPr>
          <w:rFonts w:ascii="Times New Roman" w:hAnsi="Times New Roman"/>
          <w:noProof/>
          <w:lang w:val="en-GB"/>
        </w:rPr>
      </w:pPr>
      <w:r>
        <w:rPr>
          <w:rFonts w:ascii="Times New Roman" w:hAnsi="Times New Roman"/>
          <w:noProof/>
          <w:lang w:val="en-GB"/>
        </w:rPr>
        <w:t>In urgent situations, the Agency must be able to step in to ensure that action is taken on the ground even where there is no request for assistance from the Member State concerned or where that Member State considers that there is no need</w:t>
      </w:r>
      <w:r>
        <w:rPr>
          <w:rFonts w:ascii="Times New Roman" w:hAnsi="Times New Roman"/>
          <w:noProof/>
          <w:lang w:val="en-GB"/>
        </w:rPr>
        <w:t xml:space="preserve"> for additional intervention. </w:t>
      </w:r>
    </w:p>
    <w:p w:rsidR="009908A5" w:rsidRDefault="00ED15D6">
      <w:pPr>
        <w:pStyle w:val="BodyA"/>
        <w:jc w:val="both"/>
        <w:rPr>
          <w:rFonts w:ascii="Times New Roman" w:hAnsi="Times New Roman"/>
          <w:noProof/>
          <w:lang w:val="en-GB"/>
        </w:rPr>
      </w:pPr>
      <w:r>
        <w:rPr>
          <w:rFonts w:ascii="Times New Roman" w:hAnsi="Times New Roman"/>
          <w:noProof/>
          <w:lang w:val="en-GB"/>
        </w:rPr>
        <w:t>On the one hand, such action could be necessary due to a disproportionate increase in the pressure at that section of the external border where the national border guard authorities (and coastguards to the extent that they ha</w:t>
      </w:r>
      <w:r>
        <w:rPr>
          <w:rFonts w:ascii="Times New Roman" w:hAnsi="Times New Roman"/>
          <w:noProof/>
          <w:lang w:val="en-GB"/>
        </w:rPr>
        <w:t>ve border control tasks) are not able to cope with the crisis which has developed. On the other hand, the requirement of urgent action at a particular section of the external border could be due to a deficiency in the border management system of a Member S</w:t>
      </w:r>
      <w:r>
        <w:rPr>
          <w:rFonts w:ascii="Times New Roman" w:hAnsi="Times New Roman"/>
          <w:noProof/>
          <w:lang w:val="en-GB"/>
        </w:rPr>
        <w:t>tate which the Agency had identified as a result of a vulnerability assessment and had recommended corrective measures which the Member State concerned failed to implement within the set time limits.</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When deficiencies are identified and in order to take </w:t>
      </w:r>
      <w:r>
        <w:rPr>
          <w:rFonts w:ascii="Times New Roman" w:hAnsi="Times New Roman"/>
          <w:b/>
          <w:bCs/>
          <w:noProof/>
          <w:lang w:val="en-GB"/>
        </w:rPr>
        <w:t>timely corrective action</w:t>
      </w:r>
      <w:r>
        <w:rPr>
          <w:rFonts w:ascii="Times New Roman" w:hAnsi="Times New Roman"/>
          <w:noProof/>
          <w:lang w:val="en-GB"/>
        </w:rPr>
        <w:t xml:space="preserve"> and to avoid reaching a crisis situation, the Agency will in a first instance be empowered to </w:t>
      </w:r>
      <w:r>
        <w:rPr>
          <w:rFonts w:ascii="Times New Roman" w:hAnsi="Times New Roman"/>
          <w:b/>
          <w:bCs/>
          <w:noProof/>
          <w:lang w:val="en-GB"/>
        </w:rPr>
        <w:t>recommend</w:t>
      </w:r>
      <w:r>
        <w:rPr>
          <w:rFonts w:ascii="Times New Roman" w:hAnsi="Times New Roman"/>
          <w:noProof/>
          <w:lang w:val="en-GB"/>
        </w:rPr>
        <w:t xml:space="preserve"> Member States launch joint operations or rapid border interventions. </w:t>
      </w:r>
    </w:p>
    <w:p w:rsidR="009908A5" w:rsidRDefault="00ED15D6">
      <w:pPr>
        <w:pStyle w:val="BodyA"/>
        <w:jc w:val="both"/>
        <w:rPr>
          <w:rFonts w:ascii="Times New Roman" w:hAnsi="Times New Roman"/>
          <w:noProof/>
          <w:lang w:val="en-GB"/>
        </w:rPr>
      </w:pPr>
      <w:r>
        <w:rPr>
          <w:rFonts w:ascii="Times New Roman" w:hAnsi="Times New Roman"/>
          <w:noProof/>
          <w:lang w:val="en-GB"/>
        </w:rPr>
        <w:t>Where deficiencies persist and national action is not forthcoming, the Commission will be able to adopt an implementing decision determining that the situation at a particular section of the external borders requires urgent action and entrusting the Agency</w:t>
      </w:r>
      <w:r>
        <w:rPr>
          <w:rFonts w:ascii="Times New Roman" w:hAnsi="Times New Roman"/>
          <w:noProof/>
          <w:lang w:val="en-GB"/>
        </w:rPr>
        <w:t xml:space="preserve"> with the task of carrying out appropriate operational measures. This will allow the Agency to </w:t>
      </w:r>
      <w:r>
        <w:rPr>
          <w:rFonts w:ascii="Times New Roman" w:hAnsi="Times New Roman"/>
          <w:b/>
          <w:noProof/>
          <w:lang w:val="en-GB"/>
        </w:rPr>
        <w:t>intervene immediately in crises situations</w:t>
      </w:r>
      <w:r>
        <w:rPr>
          <w:rFonts w:ascii="Times New Roman" w:hAnsi="Times New Roman"/>
          <w:noProof/>
          <w:lang w:val="en-GB"/>
        </w:rPr>
        <w:t xml:space="preserve"> by deploying European Border and Coast Guard Teams at the external border. </w:t>
      </w:r>
    </w:p>
    <w:p w:rsidR="009908A5" w:rsidRDefault="00ED15D6">
      <w:pPr>
        <w:pStyle w:val="BodyA"/>
        <w:jc w:val="both"/>
        <w:rPr>
          <w:rFonts w:ascii="Times New Roman" w:eastAsia="Times New Roman" w:hAnsi="Times New Roman" w:cs="Times New Roman"/>
          <w:b/>
          <w:i/>
          <w:noProof/>
          <w:lang w:val="en-GB"/>
        </w:rPr>
      </w:pPr>
      <w:r>
        <w:rPr>
          <w:rFonts w:ascii="Times New Roman" w:hAnsi="Times New Roman"/>
          <w:b/>
          <w:i/>
          <w:noProof/>
          <w:lang w:val="en-GB"/>
        </w:rPr>
        <w:t>Implementing the hotspot approach and work</w:t>
      </w:r>
      <w:r>
        <w:rPr>
          <w:rFonts w:ascii="Times New Roman" w:hAnsi="Times New Roman"/>
          <w:b/>
          <w:i/>
          <w:noProof/>
          <w:lang w:val="en-GB"/>
        </w:rPr>
        <w:t>ing with third countries</w:t>
      </w:r>
    </w:p>
    <w:p w:rsidR="009908A5" w:rsidRDefault="00ED15D6">
      <w:pPr>
        <w:pStyle w:val="BodyA"/>
        <w:jc w:val="both"/>
        <w:rPr>
          <w:rFonts w:ascii="Times New Roman" w:hAnsi="Times New Roman"/>
          <w:noProof/>
          <w:lang w:val="en-GB"/>
        </w:rPr>
      </w:pPr>
      <w:r>
        <w:rPr>
          <w:rFonts w:ascii="Times New Roman" w:hAnsi="Times New Roman"/>
          <w:noProof/>
          <w:lang w:val="en-GB"/>
        </w:rPr>
        <w:t>The development of the hotspot approach, initially introduced by the European Agenda on Migration, will become a key task of the Agency, which will be able to deploy European Border and Coast Guard Teams in the framework of the mig</w:t>
      </w:r>
      <w:r>
        <w:rPr>
          <w:rFonts w:ascii="Times New Roman" w:hAnsi="Times New Roman"/>
          <w:noProof/>
          <w:lang w:val="en-GB"/>
        </w:rPr>
        <w:t xml:space="preserve">ration management teams at hotspots.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Furthermore, the Commission proposal provides for an enhanced role for the Agency as regards </w:t>
      </w:r>
      <w:r>
        <w:rPr>
          <w:rFonts w:ascii="Times New Roman" w:hAnsi="Times New Roman"/>
          <w:b/>
          <w:bCs/>
          <w:noProof/>
          <w:lang w:val="en-GB"/>
        </w:rPr>
        <w:t>cooperation with third countries</w:t>
      </w:r>
      <w:r>
        <w:rPr>
          <w:rFonts w:ascii="Times New Roman" w:hAnsi="Times New Roman"/>
          <w:noProof/>
          <w:lang w:val="en-GB"/>
        </w:rPr>
        <w:t xml:space="preserve"> where it can coordinate operational cooperation between Member States and neighbouring third</w:t>
      </w:r>
      <w:r>
        <w:rPr>
          <w:rFonts w:ascii="Times New Roman" w:hAnsi="Times New Roman"/>
          <w:noProof/>
          <w:lang w:val="en-GB"/>
        </w:rPr>
        <w:t xml:space="preserve"> countries in the field of border management, including by deploying liaison officers to third countries or launching joint operations on Union territory or on the territory of third countries. This will notably remedy the situation which is currently face</w:t>
      </w:r>
      <w:r>
        <w:rPr>
          <w:rFonts w:ascii="Times New Roman" w:hAnsi="Times New Roman"/>
          <w:noProof/>
          <w:lang w:val="en-GB"/>
        </w:rPr>
        <w:t>d in the cooperation with the Western Balkan countries where, despite the agreement of the third countries in question, Frontex is unable to provide operational assistance as it does not have the mandate to send border guard teams to countries such as Serb</w:t>
      </w:r>
      <w:r>
        <w:rPr>
          <w:rFonts w:ascii="Times New Roman" w:hAnsi="Times New Roman"/>
          <w:noProof/>
          <w:lang w:val="en-GB"/>
        </w:rPr>
        <w:t xml:space="preserve">ia or the former Yugoslav Republic of Macedonia. </w:t>
      </w:r>
    </w:p>
    <w:p w:rsidR="009908A5" w:rsidRDefault="00ED15D6">
      <w:pPr>
        <w:pStyle w:val="ManualHeading1"/>
        <w:spacing w:before="240"/>
        <w:ind w:left="851" w:hanging="851"/>
        <w:rPr>
          <w:noProof/>
          <w:lang w:val="en-GB"/>
        </w:rPr>
      </w:pPr>
      <w:r>
        <w:rPr>
          <w:noProof/>
          <w:lang w:val="en-GB"/>
        </w:rPr>
        <w:t>3.</w:t>
      </w:r>
      <w:r>
        <w:rPr>
          <w:noProof/>
          <w:lang w:val="en-GB"/>
        </w:rPr>
        <w:tab/>
        <w:t>Coast Guard Functions</w:t>
      </w:r>
    </w:p>
    <w:p w:rsidR="009908A5" w:rsidRDefault="00ED15D6">
      <w:pPr>
        <w:pStyle w:val="BodyA"/>
        <w:jc w:val="both"/>
        <w:rPr>
          <w:rFonts w:ascii="Times New Roman" w:hAnsi="Times New Roman"/>
          <w:noProof/>
          <w:lang w:val="en-GB"/>
        </w:rPr>
      </w:pPr>
      <w:r>
        <w:rPr>
          <w:rFonts w:ascii="Times New Roman" w:hAnsi="Times New Roman"/>
          <w:noProof/>
          <w:lang w:val="en-GB"/>
        </w:rPr>
        <w:t>Coast guards have a crucial role to play in securing maritime borders and in rescue at sea. The current crisis has demonstrated the need for a more coordinated response from the rel</w:t>
      </w:r>
      <w:r>
        <w:rPr>
          <w:rFonts w:ascii="Times New Roman" w:hAnsi="Times New Roman"/>
          <w:noProof/>
          <w:lang w:val="en-GB"/>
        </w:rPr>
        <w:t xml:space="preserve">evant Union Agencies and the wide range of national authorities performing coast guard functions. Better coordination can both bring results in terms of addressing crises at sea and helping those authorities to work efficiently. This should include better </w:t>
      </w:r>
      <w:r>
        <w:rPr>
          <w:rFonts w:ascii="Times New Roman" w:hAnsi="Times New Roman"/>
          <w:noProof/>
          <w:lang w:val="en-GB"/>
        </w:rPr>
        <w:t xml:space="preserve">coordination and pooling of relevant coastguard functions at EU level. </w:t>
      </w:r>
    </w:p>
    <w:p w:rsidR="009908A5" w:rsidRDefault="00ED15D6">
      <w:pPr>
        <w:pStyle w:val="BodyA"/>
        <w:jc w:val="both"/>
        <w:rPr>
          <w:rFonts w:ascii="Times New Roman" w:hAnsi="Times New Roman"/>
          <w:noProof/>
          <w:lang w:val="en-GB"/>
        </w:rPr>
      </w:pPr>
      <w:r>
        <w:rPr>
          <w:rFonts w:ascii="Times New Roman" w:hAnsi="Times New Roman"/>
          <w:noProof/>
          <w:lang w:val="en-GB"/>
        </w:rPr>
        <w:t>There are currently more than 300 civilian and military authorities in the Member States responsible for carrying out coastguard functions in a wide range of areas such as maritime saf</w:t>
      </w:r>
      <w:r>
        <w:rPr>
          <w:rFonts w:ascii="Times New Roman" w:hAnsi="Times New Roman"/>
          <w:noProof/>
          <w:lang w:val="en-GB"/>
        </w:rPr>
        <w:t xml:space="preserve">ety, security, search and rescue, border control, fisheries control, customs control, general law enforcement and environmental protection. Relevant EU Agencies support the national authorities in the exercise of most of these functions. A </w:t>
      </w:r>
      <w:r>
        <w:rPr>
          <w:rFonts w:ascii="Times New Roman" w:hAnsi="Times New Roman"/>
          <w:b/>
          <w:bCs/>
          <w:noProof/>
          <w:lang w:val="en-GB"/>
        </w:rPr>
        <w:t>functional appro</w:t>
      </w:r>
      <w:r>
        <w:rPr>
          <w:rFonts w:ascii="Times New Roman" w:hAnsi="Times New Roman"/>
          <w:b/>
          <w:bCs/>
          <w:noProof/>
          <w:lang w:val="en-GB"/>
        </w:rPr>
        <w:t xml:space="preserve">ach </w:t>
      </w:r>
      <w:r>
        <w:rPr>
          <w:rFonts w:ascii="Times New Roman" w:hAnsi="Times New Roman"/>
          <w:bCs/>
          <w:noProof/>
          <w:lang w:val="en-GB"/>
        </w:rPr>
        <w:t>is needed so that the national coastguards will be part of the European Border and Coast Guard to the extent that they carry out border control tasks.</w:t>
      </w:r>
      <w:r>
        <w:rPr>
          <w:rFonts w:ascii="Times New Roman" w:hAnsi="Times New Roman"/>
          <w:b/>
          <w:bCs/>
          <w:noProof/>
          <w:lang w:val="en-GB"/>
        </w:rPr>
        <w:t xml:space="preserve"> </w:t>
      </w:r>
      <w:r>
        <w:rPr>
          <w:rFonts w:ascii="Times New Roman" w:hAnsi="Times New Roman"/>
          <w:bCs/>
          <w:noProof/>
          <w:lang w:val="en-GB"/>
        </w:rPr>
        <w:t xml:space="preserve">The Commission therefore proposes to bring together </w:t>
      </w:r>
      <w:r>
        <w:rPr>
          <w:rFonts w:ascii="Times New Roman" w:hAnsi="Times New Roman"/>
          <w:noProof/>
          <w:lang w:val="en-GB"/>
        </w:rPr>
        <w:t>the existing bodies and agencies carrying out coa</w:t>
      </w:r>
      <w:r>
        <w:rPr>
          <w:rFonts w:ascii="Times New Roman" w:hAnsi="Times New Roman"/>
          <w:noProof/>
          <w:lang w:val="en-GB"/>
        </w:rPr>
        <w:t>stguard tasks more closely. At EU level, this will be achieved by aligning the mandates of the European Maritime Safety Agency</w:t>
      </w:r>
      <w:r>
        <w:rPr>
          <w:rFonts w:ascii="Times New Roman" w:hAnsi="Times New Roman"/>
          <w:noProof/>
          <w:vertAlign w:val="superscript"/>
          <w:lang w:val="en-GB"/>
        </w:rPr>
        <w:t xml:space="preserve"> </w:t>
      </w:r>
      <w:r>
        <w:rPr>
          <w:rFonts w:ascii="Times New Roman" w:hAnsi="Times New Roman"/>
          <w:noProof/>
          <w:lang w:val="en-GB"/>
        </w:rPr>
        <w:t>and the European Fisheries Control Agency with the provisions of the new Agency and enhancing their capacities, notably through j</w:t>
      </w:r>
      <w:r>
        <w:rPr>
          <w:rFonts w:ascii="Times New Roman" w:hAnsi="Times New Roman"/>
          <w:noProof/>
          <w:lang w:val="en-GB"/>
        </w:rPr>
        <w:t xml:space="preserve">ointly planned surveillance operations and streamlined sharing of information and capacity building as well as providing surveillance and communication services based on state-of-the-art technology </w:t>
      </w:r>
      <w:r>
        <w:rPr>
          <w:rFonts w:ascii="Times New Roman" w:eastAsia="Times New Roman" w:hAnsi="Times New Roman" w:cs="Times New Roman"/>
          <w:noProof/>
          <w:shd w:val="clear" w:color="auto" w:fill="FFFFFF" w:themeFill="background1"/>
          <w:lang w:val="en-GB"/>
        </w:rPr>
        <w:t>such as Remotely Piloted Aircraft Systems (drones)</w:t>
      </w:r>
      <w:r>
        <w:rPr>
          <w:rFonts w:ascii="Times New Roman" w:hAnsi="Times New Roman"/>
          <w:noProof/>
          <w:lang w:val="en-GB"/>
        </w:rPr>
        <w:t xml:space="preserve">. </w:t>
      </w:r>
    </w:p>
    <w:p w:rsidR="009908A5" w:rsidRDefault="00ED15D6">
      <w:pPr>
        <w:pStyle w:val="BodyA"/>
        <w:jc w:val="both"/>
        <w:rPr>
          <w:rFonts w:ascii="Times New Roman" w:eastAsia="Times New Roman" w:hAnsi="Times New Roman" w:cs="Times New Roman"/>
          <w:noProof/>
          <w:color w:val="auto"/>
        </w:rPr>
      </w:pPr>
      <w:r>
        <w:rPr>
          <w:rFonts w:ascii="Times New Roman" w:eastAsia="Times New Roman" w:hAnsi="Times New Roman" w:cs="Times New Roman"/>
          <w:noProof/>
          <w:lang w:val="en-GB"/>
        </w:rPr>
        <w:t xml:space="preserve">This </w:t>
      </w:r>
      <w:r>
        <w:rPr>
          <w:rFonts w:ascii="Times New Roman" w:eastAsia="Times New Roman" w:hAnsi="Times New Roman" w:cs="Times New Roman"/>
          <w:noProof/>
          <w:lang w:val="en-GB"/>
        </w:rPr>
        <w:t xml:space="preserve">will mean that the Agency will, for example, be able to access new information on vessels used for illegal immigration and cross-border crime which have been detected during maritime surveillance operations whose primary mission is not border control, but </w:t>
      </w:r>
      <w:r>
        <w:rPr>
          <w:rFonts w:ascii="Times New Roman" w:eastAsia="Times New Roman" w:hAnsi="Times New Roman" w:cs="Times New Roman"/>
          <w:noProof/>
          <w:lang w:val="en-GB"/>
        </w:rPr>
        <w:t xml:space="preserve">fisheries control or oil spill detection. </w:t>
      </w:r>
      <w:r>
        <w:rPr>
          <w:rFonts w:ascii="Times New Roman" w:hAnsi="Times New Roman"/>
          <w:noProof/>
          <w:color w:val="auto"/>
        </w:rPr>
        <w:t>This pragmatic cross-sector cooperation to pool resources and information will allow border management to draw from capacities which are not strictly border control related.</w:t>
      </w:r>
    </w:p>
    <w:p w:rsidR="009908A5" w:rsidRDefault="00ED15D6">
      <w:pPr>
        <w:pStyle w:val="ManualHeading1"/>
        <w:rPr>
          <w:noProof/>
          <w:lang w:val="en-GB"/>
        </w:rPr>
      </w:pPr>
      <w:r>
        <w:rPr>
          <w:noProof/>
          <w:lang w:val="en-GB"/>
        </w:rPr>
        <w:t>4.</w:t>
      </w:r>
      <w:r>
        <w:rPr>
          <w:noProof/>
          <w:lang w:val="en-GB"/>
        </w:rPr>
        <w:tab/>
        <w:t xml:space="preserve">Strengthened Role for the Agency in </w:t>
      </w:r>
      <w:r>
        <w:rPr>
          <w:noProof/>
          <w:lang w:val="en-GB"/>
        </w:rPr>
        <w:t>the Field of Return</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Improving the effectiveness of return procedures has been recognised as a key objective of migration management. An enhanced role for the European Border and Coast Guard Agency in the field of return will improve the capacity of the EU </w:t>
      </w:r>
      <w:r>
        <w:rPr>
          <w:rFonts w:ascii="Times New Roman" w:hAnsi="Times New Roman"/>
          <w:noProof/>
          <w:lang w:val="en-GB"/>
        </w:rPr>
        <w:t>to successfully return illegally staying third-country nationals. As set out in the EU Action Plan on Return</w:t>
      </w:r>
      <w:r>
        <w:rPr>
          <w:rFonts w:ascii="Times New Roman" w:eastAsia="Times New Roman" w:hAnsi="Times New Roman" w:cs="Times New Roman"/>
          <w:noProof/>
          <w:vertAlign w:val="superscript"/>
          <w:lang w:val="en-GB"/>
        </w:rPr>
        <w:footnoteReference w:id="12"/>
      </w:r>
      <w:r>
        <w:rPr>
          <w:rFonts w:ascii="Times New Roman" w:hAnsi="Times New Roman"/>
          <w:noProof/>
          <w:lang w:val="en-GB"/>
        </w:rPr>
        <w:t xml:space="preserve">, the Agency should be able to initiate return operations and to assist Member States with the acquisition of travel documents.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The Agency will co</w:t>
      </w:r>
      <w:r>
        <w:rPr>
          <w:rFonts w:ascii="Times New Roman" w:hAnsi="Times New Roman"/>
          <w:noProof/>
          <w:lang w:val="en-GB"/>
        </w:rPr>
        <w:t xml:space="preserve">ordinate all the tasks related to return and will provide Member States with all the necessary technical and operational reinforcement to effectively return illegally staying third country nationals. For these purposes, a dedicated </w:t>
      </w:r>
      <w:r>
        <w:rPr>
          <w:rFonts w:ascii="Times New Roman" w:hAnsi="Times New Roman"/>
          <w:b/>
          <w:bCs/>
          <w:noProof/>
          <w:lang w:val="en-GB"/>
        </w:rPr>
        <w:t xml:space="preserve">Return Office </w:t>
      </w:r>
      <w:r>
        <w:rPr>
          <w:rFonts w:ascii="Times New Roman" w:hAnsi="Times New Roman"/>
          <w:bCs/>
          <w:noProof/>
          <w:lang w:val="en-GB"/>
        </w:rPr>
        <w:t>will be cr</w:t>
      </w:r>
      <w:r>
        <w:rPr>
          <w:rFonts w:ascii="Times New Roman" w:hAnsi="Times New Roman"/>
          <w:bCs/>
          <w:noProof/>
          <w:lang w:val="en-GB"/>
        </w:rPr>
        <w:t>eated within the structure of the Agency</w:t>
      </w:r>
      <w:r>
        <w:rPr>
          <w:rFonts w:ascii="Times New Roman" w:hAnsi="Times New Roman"/>
          <w:b/>
          <w:bCs/>
          <w:noProof/>
          <w:lang w:val="en-GB"/>
        </w:rPr>
        <w:t xml:space="preserve"> </w:t>
      </w:r>
      <w:r>
        <w:rPr>
          <w:rFonts w:ascii="Times New Roman" w:hAnsi="Times New Roman"/>
          <w:noProof/>
          <w:lang w:val="en-GB"/>
        </w:rPr>
        <w:t>to cooperate with the Member States in conducting identification and return procedures, including through financing and co-financing, coordinating and organising return operations as well as cooperating with relevan</w:t>
      </w:r>
      <w:r>
        <w:rPr>
          <w:rFonts w:ascii="Times New Roman" w:hAnsi="Times New Roman"/>
          <w:noProof/>
          <w:lang w:val="en-GB"/>
        </w:rPr>
        <w:t xml:space="preserve">t third-country authorities in the area of return.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The Agency will also be play a key and direct role in return interventions. </w:t>
      </w:r>
      <w:r>
        <w:rPr>
          <w:rFonts w:ascii="Times New Roman" w:hAnsi="Times New Roman"/>
          <w:b/>
          <w:noProof/>
          <w:lang w:val="en-GB"/>
        </w:rPr>
        <w:t>European Return Intervention Teams</w:t>
      </w:r>
      <w:r>
        <w:rPr>
          <w:rFonts w:ascii="Times New Roman" w:hAnsi="Times New Roman"/>
          <w:noProof/>
          <w:lang w:val="en-GB"/>
        </w:rPr>
        <w:t xml:space="preserve">, composed of escorts, monitors and return specialists, will be able to be deployed to Member </w:t>
      </w:r>
      <w:r>
        <w:rPr>
          <w:rFonts w:ascii="Times New Roman" w:hAnsi="Times New Roman"/>
          <w:noProof/>
          <w:lang w:val="en-GB"/>
        </w:rPr>
        <w:t>States subject to particular pressure on their return system. In urgent situations Rapid European Return Intervention Teams could be deployed either upon the request of a Member State or on the Agency's own initiative.</w:t>
      </w:r>
    </w:p>
    <w:p w:rsidR="009908A5" w:rsidRDefault="00ED15D6">
      <w:pPr>
        <w:pStyle w:val="ManualHeading1"/>
        <w:spacing w:before="240"/>
        <w:ind w:left="851" w:hanging="851"/>
        <w:rPr>
          <w:noProof/>
          <w:lang w:val="en-GB"/>
        </w:rPr>
      </w:pPr>
      <w:r>
        <w:rPr>
          <w:noProof/>
          <w:lang w:val="en-GB"/>
        </w:rPr>
        <w:t>5.</w:t>
      </w:r>
      <w:r>
        <w:rPr>
          <w:noProof/>
          <w:lang w:val="en-GB"/>
        </w:rPr>
        <w:tab/>
        <w:t>Fundamental Rights and A Complaint</w:t>
      </w:r>
      <w:r>
        <w:rPr>
          <w:noProof/>
          <w:lang w:val="en-GB"/>
        </w:rPr>
        <w:t xml:space="preserve"> Mechanism for the Agency</w:t>
      </w:r>
    </w:p>
    <w:p w:rsidR="009908A5" w:rsidRDefault="00ED15D6">
      <w:pPr>
        <w:pStyle w:val="BodyAA"/>
        <w:rPr>
          <w:rFonts w:ascii="Times New Roman" w:eastAsia="Times New Roman" w:hAnsi="Times New Roman" w:cs="Times New Roman"/>
          <w:noProof/>
          <w:lang w:val="en-GB"/>
        </w:rPr>
      </w:pPr>
      <w:r>
        <w:rPr>
          <w:rFonts w:ascii="Times New Roman" w:hAnsi="Times New Roman"/>
          <w:noProof/>
          <w:lang w:val="en-GB"/>
        </w:rPr>
        <w:t xml:space="preserve">Given the stronger role and enhanced operational tasks of the Agency, it is important to have an adequate complaint mechanism in case a person considers himself or herself to have been subject to a violation of fundamental rights </w:t>
      </w:r>
      <w:r>
        <w:rPr>
          <w:rFonts w:ascii="Times New Roman" w:hAnsi="Times New Roman"/>
          <w:noProof/>
          <w:lang w:val="en-GB"/>
        </w:rPr>
        <w:t>in the course of operational engagement by the Agency. Both the European Parliament and the European Ombudsman have stressed the importance of such a mechanism.</w:t>
      </w:r>
    </w:p>
    <w:p w:rsidR="009908A5" w:rsidRDefault="00ED15D6">
      <w:pPr>
        <w:pStyle w:val="BodyAA"/>
        <w:rPr>
          <w:b/>
          <w:bCs/>
          <w:smallCaps/>
          <w:noProof/>
          <w:lang w:val="en-GB"/>
        </w:rPr>
      </w:pPr>
      <w:r>
        <w:rPr>
          <w:rFonts w:ascii="Times New Roman" w:hAnsi="Times New Roman"/>
          <w:noProof/>
          <w:lang w:val="en-GB"/>
        </w:rPr>
        <w:t>Under the mechanism a dedicated Fundamental Rights Officer in the Agency will receive complaint</w:t>
      </w:r>
      <w:r>
        <w:rPr>
          <w:rFonts w:ascii="Times New Roman" w:hAnsi="Times New Roman"/>
          <w:noProof/>
          <w:lang w:val="en-GB"/>
        </w:rPr>
        <w:t>s in a structured manner and refer these to the Executive Director and the Member States concerned. Member States will be required to provide information on the outcome and follow up to the complaint. This administrative process will be without prejudice t</w:t>
      </w:r>
      <w:r>
        <w:rPr>
          <w:rFonts w:ascii="Times New Roman" w:hAnsi="Times New Roman"/>
          <w:noProof/>
          <w:lang w:val="en-GB"/>
        </w:rPr>
        <w:t>o any judicial remedies.</w:t>
      </w:r>
      <w:r>
        <w:rPr>
          <w:rFonts w:cs="Times New Roman"/>
          <w:noProof/>
          <w:lang w:val="en-GB"/>
        </w:rPr>
        <w:t xml:space="preserve"> </w:t>
      </w:r>
      <w:r>
        <w:rPr>
          <w:rFonts w:ascii="Times New Roman" w:hAnsi="Times New Roman" w:cs="Times New Roman"/>
          <w:noProof/>
          <w:lang w:val="en-GB"/>
        </w:rPr>
        <w:t>Moreover, in cases of violations of fundamental rights or international protection obligations which are of a serious nature or are likely to persist, the Executive Director of the Agency would be able to decide not only on the sus</w:t>
      </w:r>
      <w:r>
        <w:rPr>
          <w:rFonts w:ascii="Times New Roman" w:hAnsi="Times New Roman" w:cs="Times New Roman"/>
          <w:noProof/>
          <w:lang w:val="en-GB"/>
        </w:rPr>
        <w:t>pension or termination of the operational activities led by the Agency, but also on the withdrawal of financial support for the operation in question.</w:t>
      </w:r>
    </w:p>
    <w:p w:rsidR="009908A5" w:rsidRDefault="00ED15D6">
      <w:pPr>
        <w:pStyle w:val="ManualHeading1"/>
        <w:spacing w:before="240"/>
        <w:ind w:left="851" w:hanging="851"/>
        <w:rPr>
          <w:noProof/>
        </w:rPr>
      </w:pPr>
      <w:r>
        <w:rPr>
          <w:noProof/>
          <w:lang w:val="en-GB"/>
        </w:rPr>
        <w:t>IV.</w:t>
      </w:r>
      <w:r>
        <w:rPr>
          <w:noProof/>
          <w:lang w:val="en-GB"/>
        </w:rPr>
        <w:tab/>
        <w:t xml:space="preserve">Uniform Implementation of the Schengen rules </w:t>
      </w:r>
    </w:p>
    <w:p w:rsidR="009908A5" w:rsidRDefault="00ED15D6">
      <w:pPr>
        <w:pStyle w:val="BodyA"/>
        <w:jc w:val="both"/>
        <w:rPr>
          <w:rFonts w:ascii="Times New Roman" w:hAnsi="Times New Roman"/>
          <w:noProof/>
          <w:lang w:val="en-GB"/>
        </w:rPr>
      </w:pPr>
      <w:r>
        <w:rPr>
          <w:rFonts w:ascii="Times New Roman" w:hAnsi="Times New Roman"/>
          <w:noProof/>
          <w:lang w:val="en-GB"/>
        </w:rPr>
        <w:t>The uniform implementation of all the rules in the fiel</w:t>
      </w:r>
      <w:r>
        <w:rPr>
          <w:rFonts w:ascii="Times New Roman" w:hAnsi="Times New Roman"/>
          <w:noProof/>
          <w:lang w:val="en-GB"/>
        </w:rPr>
        <w:t>d of border management needs to be regularly monitored. With the establishment of the European Border and Coast Guard, the coherent application of the Schengen rules as well as the harmonised performance of border management tasks across Member States beco</w:t>
      </w:r>
      <w:r>
        <w:rPr>
          <w:rFonts w:ascii="Times New Roman" w:hAnsi="Times New Roman"/>
          <w:noProof/>
          <w:lang w:val="en-GB"/>
        </w:rPr>
        <w:t>mes even more important.</w:t>
      </w:r>
    </w:p>
    <w:p w:rsidR="009908A5" w:rsidRDefault="00ED15D6">
      <w:pPr>
        <w:pStyle w:val="BodyA"/>
        <w:jc w:val="both"/>
        <w:rPr>
          <w:rFonts w:ascii="Times New Roman" w:hAnsi="Times New Roman"/>
          <w:noProof/>
          <w:lang w:val="en-GB"/>
        </w:rPr>
      </w:pPr>
      <w:r>
        <w:rPr>
          <w:rFonts w:ascii="Times New Roman" w:hAnsi="Times New Roman"/>
          <w:noProof/>
          <w:lang w:val="en-GB"/>
        </w:rPr>
        <w:t>The laws governing the Schengen area constitute a dynamic set of rules which have developed over time and are incorporated in legal acts as well as in a number of 'soft law' documents such as handbooks, guidelines, catalogues, best</w:t>
      </w:r>
      <w:r>
        <w:rPr>
          <w:rFonts w:ascii="Times New Roman" w:hAnsi="Times New Roman"/>
          <w:noProof/>
          <w:lang w:val="en-GB"/>
        </w:rPr>
        <w:t xml:space="preserve"> practices. Their full and correct application by the Member States is regularly verified through the Schengen evaluation mechanism serving as a quality control tool. Schengen evaluations are carried out on the basis of multi-annual and annual programmes a</w:t>
      </w:r>
      <w:r>
        <w:rPr>
          <w:rFonts w:ascii="Times New Roman" w:hAnsi="Times New Roman"/>
          <w:noProof/>
          <w:lang w:val="en-GB"/>
        </w:rPr>
        <w:t>dopted by the Commission. Following evaluation missions, the teams responsible for these evaluations</w:t>
      </w:r>
      <w:r>
        <w:rPr>
          <w:rStyle w:val="FootnoteReference"/>
          <w:rFonts w:ascii="Times New Roman" w:hAnsi="Times New Roman"/>
          <w:noProof/>
          <w:lang w:val="en-GB"/>
        </w:rPr>
        <w:footnoteReference w:id="13"/>
      </w:r>
      <w:r>
        <w:rPr>
          <w:rFonts w:ascii="Times New Roman" w:hAnsi="Times New Roman"/>
          <w:noProof/>
          <w:lang w:val="en-GB"/>
        </w:rPr>
        <w:t xml:space="preserve"> ("Schengen Evaluation teams") put forward recommendations to the Member States to address possible identified deficiencies in their national border management systems. </w:t>
      </w:r>
    </w:p>
    <w:p w:rsidR="009908A5" w:rsidRDefault="00ED15D6">
      <w:pPr>
        <w:pStyle w:val="BodyA"/>
        <w:jc w:val="both"/>
        <w:rPr>
          <w:rFonts w:ascii="Times New Roman" w:hAnsi="Times New Roman"/>
          <w:noProof/>
          <w:lang w:val="en-GB"/>
        </w:rPr>
      </w:pPr>
      <w:r>
        <w:rPr>
          <w:rFonts w:ascii="Times New Roman" w:hAnsi="Times New Roman"/>
          <w:noProof/>
          <w:lang w:val="en-GB"/>
        </w:rPr>
        <w:t>In this context, the Schengen evaluation reports have often signalled as a weakness in</w:t>
      </w:r>
      <w:r>
        <w:rPr>
          <w:rFonts w:ascii="Times New Roman" w:hAnsi="Times New Roman"/>
          <w:noProof/>
          <w:lang w:val="en-GB"/>
        </w:rPr>
        <w:t xml:space="preserve"> the implementation process the fact that a considerable part of the Schengen rules are included in non-binding documents. Combining ‘soft law’ measures and legally binding rules has not always proven efficient especially due to the fact that 'soft law' co</w:t>
      </w:r>
      <w:r>
        <w:rPr>
          <w:rFonts w:ascii="Times New Roman" w:hAnsi="Times New Roman"/>
          <w:noProof/>
          <w:lang w:val="en-GB"/>
        </w:rPr>
        <w:t>uld often be interpreted and implemented differently.</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To avoid possible discrepancies and to guarantee that the European Border and Coast Guard performs its tasks in a consistent manner, it is important to ensure that the Schengen rules are applied in the </w:t>
      </w:r>
      <w:r>
        <w:rPr>
          <w:rFonts w:ascii="Times New Roman" w:hAnsi="Times New Roman"/>
          <w:noProof/>
          <w:lang w:val="en-GB"/>
        </w:rPr>
        <w:t xml:space="preserve">same way across the EU. To achieve uniform and more harmonised implementation of the existing rules and better consolidate the Schengen </w:t>
      </w:r>
      <w:r>
        <w:rPr>
          <w:rFonts w:ascii="Times New Roman" w:hAnsi="Times New Roman"/>
          <w:i/>
          <w:noProof/>
          <w:lang w:val="en-GB"/>
        </w:rPr>
        <w:t>acquis</w:t>
      </w:r>
      <w:r>
        <w:rPr>
          <w:rFonts w:ascii="Times New Roman" w:hAnsi="Times New Roman"/>
          <w:noProof/>
          <w:lang w:val="en-GB"/>
        </w:rPr>
        <w:t xml:space="preserve"> as a 'single rulebook' of measures for border management, the Commission will work towards replacing the ‘soft la</w:t>
      </w:r>
      <w:r>
        <w:rPr>
          <w:rFonts w:ascii="Times New Roman" w:hAnsi="Times New Roman"/>
          <w:noProof/>
          <w:lang w:val="en-GB"/>
        </w:rPr>
        <w:t xml:space="preserve">w’ provisions by legally binding measures. </w:t>
      </w:r>
    </w:p>
    <w:p w:rsidR="009908A5" w:rsidRDefault="00ED15D6">
      <w:pPr>
        <w:pStyle w:val="Heading"/>
        <w:spacing w:before="240"/>
        <w:rPr>
          <w:noProof/>
          <w:lang w:val="en-GB"/>
        </w:rPr>
      </w:pPr>
      <w:r>
        <w:rPr>
          <w:noProof/>
          <w:lang w:val="en-GB"/>
        </w:rPr>
        <w:t>V.</w:t>
      </w:r>
      <w:r>
        <w:rPr>
          <w:noProof/>
          <w:lang w:val="en-GB"/>
        </w:rPr>
        <w:tab/>
        <w:t>Targeted modification of the Schengen Borders Code</w:t>
      </w:r>
    </w:p>
    <w:p w:rsidR="009908A5" w:rsidRDefault="00ED15D6">
      <w:pPr>
        <w:pStyle w:val="BodyA"/>
        <w:jc w:val="both"/>
        <w:rPr>
          <w:rFonts w:ascii="Times New Roman" w:hAnsi="Times New Roman"/>
          <w:noProof/>
          <w:lang w:val="en-GB"/>
        </w:rPr>
      </w:pPr>
      <w:r>
        <w:rPr>
          <w:rFonts w:ascii="Times New Roman" w:hAnsi="Times New Roman"/>
          <w:noProof/>
          <w:lang w:val="en-GB"/>
        </w:rPr>
        <w:t xml:space="preserve">Control at the external borders remains one of the main safeguards of the area without controls at the internal borders. One of the purposes of such controls </w:t>
      </w:r>
      <w:r>
        <w:rPr>
          <w:rFonts w:ascii="Times New Roman" w:hAnsi="Times New Roman"/>
          <w:noProof/>
          <w:lang w:val="en-GB"/>
        </w:rPr>
        <w:t>is to prevent any threat to the internal security and public policy of the Member States. As recent terrorist attacks have demonstrated, the threat can come also from persons enjoying the right of free movement under Union law. Controls at the external bor</w:t>
      </w:r>
      <w:r>
        <w:rPr>
          <w:rFonts w:ascii="Times New Roman" w:hAnsi="Times New Roman"/>
          <w:noProof/>
          <w:lang w:val="en-GB"/>
        </w:rPr>
        <w:t>ders need to be reinforced in order to be able to identify such persons and minimise risks to the internal security of the Schengen area. This is also confirmed in the conclusions of the eighth biannual report on the functioning of the Schengen area.</w:t>
      </w:r>
    </w:p>
    <w:p w:rsidR="009908A5" w:rsidRDefault="00ED15D6">
      <w:pPr>
        <w:pStyle w:val="BodyA"/>
        <w:jc w:val="both"/>
        <w:rPr>
          <w:rFonts w:ascii="Times New Roman" w:hAnsi="Times New Roman"/>
          <w:noProof/>
          <w:lang w:val="en-GB"/>
        </w:rPr>
      </w:pPr>
      <w:r>
        <w:rPr>
          <w:rFonts w:ascii="Times New Roman" w:hAnsi="Times New Roman"/>
          <w:noProof/>
          <w:lang w:val="en-GB"/>
        </w:rPr>
        <w:t>To ad</w:t>
      </w:r>
      <w:r>
        <w:rPr>
          <w:rFonts w:ascii="Times New Roman" w:hAnsi="Times New Roman"/>
          <w:noProof/>
          <w:lang w:val="en-GB"/>
        </w:rPr>
        <w:t>dress this need, the Commission is proposing a targeted modification to the Schengen Borders Code</w:t>
      </w:r>
      <w:r>
        <w:rPr>
          <w:rFonts w:ascii="Times New Roman" w:eastAsia="Times New Roman" w:hAnsi="Times New Roman" w:cs="Times New Roman"/>
          <w:noProof/>
          <w:vertAlign w:val="superscript"/>
          <w:lang w:val="en-GB"/>
        </w:rPr>
        <w:footnoteReference w:id="14"/>
      </w:r>
      <w:r>
        <w:rPr>
          <w:rFonts w:ascii="Times New Roman" w:hAnsi="Times New Roman"/>
          <w:noProof/>
          <w:lang w:val="en-GB"/>
        </w:rPr>
        <w:t xml:space="preserve"> as regards </w:t>
      </w:r>
      <w:r>
        <w:rPr>
          <w:rFonts w:ascii="Times New Roman" w:hAnsi="Times New Roman"/>
          <w:b/>
          <w:bCs/>
          <w:noProof/>
          <w:lang w:val="en-GB"/>
        </w:rPr>
        <w:t>checks of EU citizens</w:t>
      </w:r>
      <w:r>
        <w:rPr>
          <w:rFonts w:ascii="Times New Roman" w:hAnsi="Times New Roman"/>
          <w:noProof/>
          <w:lang w:val="en-GB"/>
        </w:rPr>
        <w:t xml:space="preserve"> against databases such as the Schengen Information System, the Stolen and Lost Travel Documents Database as well as relevant</w:t>
      </w:r>
      <w:r>
        <w:rPr>
          <w:rFonts w:ascii="Times New Roman" w:hAnsi="Times New Roman"/>
          <w:noProof/>
          <w:lang w:val="en-GB"/>
        </w:rPr>
        <w:t xml:space="preserve"> national systems. As requested by the Justice and Home Affairs Council of 9 and 20 November 2015, this initiative will provide for "systematic controls of EU nationals, including the verification of biometric information, against relevant databases at ext</w:t>
      </w:r>
      <w:r>
        <w:rPr>
          <w:rFonts w:ascii="Times New Roman" w:hAnsi="Times New Roman"/>
          <w:noProof/>
          <w:lang w:val="en-GB"/>
        </w:rPr>
        <w:t>ernal borders of the Schengen area, making full use of technical solutions in order not to hamper the fluidity of movement"</w:t>
      </w:r>
      <w:r>
        <w:rPr>
          <w:rStyle w:val="FootnoteReference"/>
          <w:rFonts w:ascii="Times New Roman" w:hAnsi="Times New Roman"/>
          <w:noProof/>
          <w:lang w:val="en-GB"/>
        </w:rPr>
        <w:footnoteReference w:id="15"/>
      </w:r>
      <w:r>
        <w:rPr>
          <w:rFonts w:ascii="Times New Roman" w:hAnsi="Times New Roman"/>
          <w:noProof/>
          <w:lang w:val="en-GB"/>
        </w:rPr>
        <w:t xml:space="preserve">. </w:t>
      </w:r>
    </w:p>
    <w:p w:rsidR="009908A5" w:rsidRDefault="00ED15D6">
      <w:pPr>
        <w:pStyle w:val="BodyA"/>
        <w:jc w:val="both"/>
        <w:rPr>
          <w:rFonts w:ascii="Times New Roman" w:hAnsi="Times New Roman"/>
          <w:strike/>
          <w:noProof/>
          <w:lang w:val="en-GB"/>
        </w:rPr>
      </w:pPr>
      <w:r>
        <w:rPr>
          <w:rFonts w:ascii="Times New Roman" w:hAnsi="Times New Roman"/>
          <w:noProof/>
          <w:lang w:val="en-GB"/>
        </w:rPr>
        <w:t xml:space="preserve">The proposed amendments will make systematic checks of EU citizens against databases at all external borders (air, sea and land) </w:t>
      </w:r>
      <w:r>
        <w:rPr>
          <w:rFonts w:ascii="Times New Roman" w:hAnsi="Times New Roman"/>
          <w:noProof/>
          <w:lang w:val="en-GB"/>
        </w:rPr>
        <w:t>– which are today possible based on a risk assessment – compulsory. The systematic checks will verify the identity and the nationality of the person and the validity and authenticity of the travel document. Moreover, they will verify that the persons enter</w:t>
      </w:r>
      <w:r>
        <w:rPr>
          <w:rFonts w:ascii="Times New Roman" w:hAnsi="Times New Roman"/>
          <w:noProof/>
          <w:lang w:val="en-GB"/>
        </w:rPr>
        <w:t>ing the Schengen area do not represent a threat to public order and internal security. The new rules also contain an element of flexibility – where at the land and sea borders systematic checks of EU citizens could have a disproportionate effect on the flo</w:t>
      </w:r>
      <w:r>
        <w:rPr>
          <w:rFonts w:ascii="Times New Roman" w:hAnsi="Times New Roman"/>
          <w:noProof/>
          <w:lang w:val="en-GB"/>
        </w:rPr>
        <w:t xml:space="preserve">w of traffic, Member States may carry them out on a targeted basis based on a risk assessment. </w:t>
      </w:r>
    </w:p>
    <w:p w:rsidR="009908A5" w:rsidRDefault="00ED15D6">
      <w:pPr>
        <w:pStyle w:val="BodyA"/>
        <w:jc w:val="both"/>
        <w:rPr>
          <w:rFonts w:ascii="Times New Roman" w:eastAsia="Times New Roman" w:hAnsi="Times New Roman" w:cs="Times New Roman"/>
          <w:b/>
          <w:bCs/>
          <w:smallCaps/>
          <w:noProof/>
          <w:sz w:val="24"/>
          <w:szCs w:val="24"/>
          <w:lang w:val="en-GB"/>
        </w:rPr>
      </w:pPr>
      <w:r>
        <w:rPr>
          <w:rFonts w:ascii="Times New Roman" w:hAnsi="Times New Roman"/>
          <w:b/>
          <w:bCs/>
          <w:smallCaps/>
          <w:noProof/>
          <w:sz w:val="24"/>
          <w:szCs w:val="24"/>
          <w:lang w:val="en-GB"/>
        </w:rPr>
        <w:t>VI.</w:t>
      </w:r>
      <w:r>
        <w:rPr>
          <w:rFonts w:ascii="Times New Roman" w:eastAsia="Times New Roman" w:hAnsi="Times New Roman" w:cs="Times New Roman"/>
          <w:b/>
          <w:bCs/>
          <w:smallCaps/>
          <w:noProof/>
          <w:sz w:val="24"/>
          <w:szCs w:val="24"/>
          <w:lang w:val="en-GB"/>
        </w:rPr>
        <w:tab/>
        <w:t>A European Travel Document for Return</w:t>
      </w:r>
    </w:p>
    <w:p w:rsidR="009908A5" w:rsidRDefault="00ED15D6">
      <w:pPr>
        <w:pStyle w:val="BodyA"/>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 xml:space="preserve">Ensuring the effective return of third country nationals who are staying illegally in Europe is an essential component of a comprehensive, sustainable and credible EU migration policy. </w:t>
      </w:r>
    </w:p>
    <w:p w:rsidR="009908A5" w:rsidRDefault="00ED15D6">
      <w:pPr>
        <w:pStyle w:val="BodyA"/>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The current EU system to return irregular migrants is not sufficiently</w:t>
      </w:r>
      <w:r>
        <w:rPr>
          <w:rFonts w:ascii="Times New Roman" w:eastAsia="Times New Roman" w:hAnsi="Times New Roman" w:cs="Times New Roman"/>
          <w:noProof/>
          <w:lang w:val="en-GB"/>
        </w:rPr>
        <w:t xml:space="preserve"> effective and the lack of valid travel documents issued by the countries of destination of the returnees is one of the main obstacles to successful return and readmission. At present, Member States may issue a European substitute document</w:t>
      </w:r>
      <w:r>
        <w:rPr>
          <w:rStyle w:val="FootnoteReference"/>
          <w:rFonts w:ascii="Times New Roman" w:eastAsia="Times New Roman" w:hAnsi="Times New Roman" w:cs="Times New Roman"/>
          <w:noProof/>
          <w:lang w:val="en-GB"/>
        </w:rPr>
        <w:footnoteReference w:id="16"/>
      </w:r>
      <w:r>
        <w:rPr>
          <w:rFonts w:ascii="Times New Roman" w:eastAsia="Times New Roman" w:hAnsi="Times New Roman" w:cs="Times New Roman"/>
          <w:noProof/>
          <w:lang w:val="en-GB"/>
        </w:rPr>
        <w:t xml:space="preserve"> for those illeg</w:t>
      </w:r>
      <w:r>
        <w:rPr>
          <w:rFonts w:ascii="Times New Roman" w:eastAsia="Times New Roman" w:hAnsi="Times New Roman" w:cs="Times New Roman"/>
          <w:noProof/>
          <w:lang w:val="en-GB"/>
        </w:rPr>
        <w:t>ally staying third-country nationals who do not possess a valid travel document. However, due to its inadequate security features and standards, among other reasons, its recognition by third countries is unsatisfactory. There is a clear need to improve the</w:t>
      </w:r>
      <w:r>
        <w:rPr>
          <w:rFonts w:ascii="Times New Roman" w:eastAsia="Times New Roman" w:hAnsi="Times New Roman" w:cs="Times New Roman"/>
          <w:noProof/>
          <w:lang w:val="en-GB"/>
        </w:rPr>
        <w:t xml:space="preserve"> recognition of the EU travel document by third countries in view of ensuring successful return while reducing the administrative burden on competent consular authorities of third countries. </w:t>
      </w:r>
    </w:p>
    <w:p w:rsidR="009908A5" w:rsidRDefault="00ED15D6">
      <w:pPr>
        <w:pStyle w:val="BodyA"/>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Following up on the announcement made in the EU Action Plan on R</w:t>
      </w:r>
      <w:r>
        <w:rPr>
          <w:rFonts w:ascii="Times New Roman" w:eastAsia="Times New Roman" w:hAnsi="Times New Roman" w:cs="Times New Roman"/>
          <w:noProof/>
          <w:lang w:val="en-GB"/>
        </w:rPr>
        <w:t>eturn, the Commission is proposing to establish a new European travel document for the return of third-country nationals, based on a uniform format and using enhanced technical and security features that can ensure a wider acceptance by third countries. Th</w:t>
      </w:r>
      <w:r>
        <w:rPr>
          <w:rFonts w:ascii="Times New Roman" w:eastAsia="Times New Roman" w:hAnsi="Times New Roman" w:cs="Times New Roman"/>
          <w:noProof/>
          <w:lang w:val="en-GB"/>
        </w:rPr>
        <w:t xml:space="preserve">e recognition of this travel document should be promoted in the context of readmission agreements or other arrangements with third countries, as well as in the context of return-related cooperation with third countries not covered by formal agreements. </w:t>
      </w:r>
    </w:p>
    <w:p w:rsidR="009908A5" w:rsidRDefault="00ED15D6">
      <w:pPr>
        <w:pStyle w:val="BodyA"/>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Th</w:t>
      </w:r>
      <w:r>
        <w:rPr>
          <w:rFonts w:ascii="Times New Roman" w:eastAsia="Times New Roman" w:hAnsi="Times New Roman" w:cs="Times New Roman"/>
          <w:noProof/>
          <w:lang w:val="en-GB"/>
        </w:rPr>
        <w:t>e proposed Regulation on a European travel document for return defines the format and the security features of this document, while the common standards and procedures for carrying out the return of illegally staying third-country nationals is regulated by</w:t>
      </w:r>
      <w:r>
        <w:rPr>
          <w:rFonts w:ascii="Times New Roman" w:eastAsia="Times New Roman" w:hAnsi="Times New Roman" w:cs="Times New Roman"/>
          <w:noProof/>
          <w:lang w:val="en-GB"/>
        </w:rPr>
        <w:t xml:space="preserve"> the Return Directive</w:t>
      </w:r>
      <w:r>
        <w:rPr>
          <w:rStyle w:val="FootnoteReference"/>
          <w:rFonts w:ascii="Times New Roman" w:eastAsia="Times New Roman" w:hAnsi="Times New Roman" w:cs="Times New Roman"/>
          <w:noProof/>
          <w:lang w:val="en-GB"/>
        </w:rPr>
        <w:footnoteReference w:id="17"/>
      </w:r>
      <w:r>
        <w:rPr>
          <w:rFonts w:ascii="Times New Roman" w:eastAsia="Times New Roman" w:hAnsi="Times New Roman" w:cs="Times New Roman"/>
          <w:noProof/>
          <w:lang w:val="en-GB"/>
        </w:rPr>
        <w:t xml:space="preserve"> and shall be conducted in full respect of fundamental rights, in particular of the principle of </w:t>
      </w:r>
      <w:r>
        <w:rPr>
          <w:rFonts w:ascii="Times New Roman" w:eastAsia="Times New Roman" w:hAnsi="Times New Roman" w:cs="Times New Roman"/>
          <w:i/>
          <w:noProof/>
          <w:lang w:val="en-GB"/>
        </w:rPr>
        <w:t>non-refoulement</w:t>
      </w:r>
      <w:r>
        <w:rPr>
          <w:rFonts w:ascii="Times New Roman" w:eastAsia="Times New Roman" w:hAnsi="Times New Roman" w:cs="Times New Roman"/>
          <w:noProof/>
          <w:lang w:val="en-GB"/>
        </w:rPr>
        <w:t>.</w:t>
      </w:r>
    </w:p>
    <w:p w:rsidR="009908A5" w:rsidRDefault="00ED15D6">
      <w:pPr>
        <w:pStyle w:val="BodyA"/>
        <w:jc w:val="both"/>
        <w:rPr>
          <w:rFonts w:ascii="Times New Roman" w:eastAsia="Times New Roman" w:hAnsi="Times New Roman" w:cs="Times New Roman"/>
          <w:b/>
          <w:bCs/>
          <w:smallCaps/>
          <w:noProof/>
          <w:sz w:val="24"/>
          <w:szCs w:val="24"/>
          <w:lang w:val="en-GB"/>
        </w:rPr>
      </w:pPr>
      <w:r>
        <w:rPr>
          <w:rFonts w:ascii="Times New Roman" w:hAnsi="Times New Roman"/>
          <w:b/>
          <w:bCs/>
          <w:smallCaps/>
          <w:noProof/>
          <w:sz w:val="24"/>
          <w:szCs w:val="24"/>
          <w:lang w:val="en-GB"/>
        </w:rPr>
        <w:t>VII.</w:t>
      </w:r>
      <w:r>
        <w:rPr>
          <w:rFonts w:ascii="Times New Roman" w:eastAsia="Times New Roman" w:hAnsi="Times New Roman" w:cs="Times New Roman"/>
          <w:b/>
          <w:bCs/>
          <w:smallCaps/>
          <w:noProof/>
          <w:sz w:val="24"/>
          <w:szCs w:val="24"/>
          <w:lang w:val="en-GB"/>
        </w:rPr>
        <w:tab/>
        <w:t>Eurosur</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EUROSUR is a common framework for information exchange and cooperation among all national authorities with </w:t>
      </w:r>
      <w:r>
        <w:rPr>
          <w:rFonts w:ascii="Times New Roman" w:hAnsi="Times New Roman"/>
          <w:noProof/>
          <w:lang w:val="en-GB"/>
        </w:rPr>
        <w:t xml:space="preserve">responsibility for the surveillance of the external land and sea borders. Since it became operational at the end of 2013, it has considerably improved the situational awareness at the external borders and in the pre-frontier area and it has contributed to </w:t>
      </w:r>
      <w:r>
        <w:rPr>
          <w:rFonts w:ascii="Times New Roman" w:hAnsi="Times New Roman"/>
          <w:noProof/>
          <w:lang w:val="en-GB"/>
        </w:rPr>
        <w:t>saving migrants’ lives on many occasions. This is largely owed to the efforts of Frontex, as also outlined in the report presented this month by Frontex to the European Parliament and to the Council on the implementation of the EUROSUR components falling u</w:t>
      </w:r>
      <w:r>
        <w:rPr>
          <w:rFonts w:ascii="Times New Roman" w:hAnsi="Times New Roman"/>
          <w:noProof/>
          <w:lang w:val="en-GB"/>
        </w:rPr>
        <w:t>nder its responsibility.</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 xml:space="preserve">The Commission has today adopted a </w:t>
      </w:r>
      <w:r>
        <w:rPr>
          <w:rFonts w:ascii="Times New Roman" w:hAnsi="Times New Roman"/>
          <w:b/>
          <w:bCs/>
          <w:noProof/>
          <w:lang w:val="en-GB"/>
        </w:rPr>
        <w:t>EUROSUR Handbook</w:t>
      </w:r>
      <w:r>
        <w:rPr>
          <w:rFonts w:ascii="Times New Roman" w:hAnsi="Times New Roman"/>
          <w:noProof/>
          <w:lang w:val="en-GB"/>
        </w:rPr>
        <w:t>, providing guidance to Member States authorities on the implementation and management of EUROSUR</w:t>
      </w:r>
      <w:r>
        <w:rPr>
          <w:rFonts w:ascii="Times New Roman" w:eastAsia="Times New Roman" w:hAnsi="Times New Roman" w:cs="Times New Roman"/>
          <w:noProof/>
          <w:vertAlign w:val="superscript"/>
          <w:lang w:val="en-GB"/>
        </w:rPr>
        <w:footnoteReference w:id="18"/>
      </w:r>
      <w:r>
        <w:rPr>
          <w:rFonts w:ascii="Times New Roman" w:hAnsi="Times New Roman"/>
          <w:noProof/>
          <w:lang w:val="en-GB"/>
        </w:rPr>
        <w:t xml:space="preserve">. </w:t>
      </w:r>
    </w:p>
    <w:p w:rsidR="009908A5" w:rsidRDefault="00ED15D6">
      <w:pPr>
        <w:pStyle w:val="BodyA"/>
        <w:jc w:val="both"/>
        <w:rPr>
          <w:rFonts w:ascii="Times New Roman" w:eastAsia="Times New Roman" w:hAnsi="Times New Roman" w:cs="Times New Roman"/>
          <w:noProof/>
          <w:lang w:val="en-GB"/>
        </w:rPr>
      </w:pPr>
      <w:r>
        <w:rPr>
          <w:rFonts w:ascii="Times New Roman" w:hAnsi="Times New Roman"/>
          <w:noProof/>
          <w:lang w:val="en-GB"/>
        </w:rPr>
        <w:t>With thousands of people arriving every day at certain sections of the external</w:t>
      </w:r>
      <w:r>
        <w:rPr>
          <w:rFonts w:ascii="Times New Roman" w:hAnsi="Times New Roman"/>
          <w:noProof/>
          <w:lang w:val="en-GB"/>
        </w:rPr>
        <w:t xml:space="preserve"> border, it is clear that Member States also need to be able to react quickly and in a coherent manner. While the legislative proposal for the European Border and Coast Guard creates a stronger Agency, the national coordination centres for border surveilla</w:t>
      </w:r>
      <w:r>
        <w:rPr>
          <w:rFonts w:ascii="Times New Roman" w:hAnsi="Times New Roman"/>
          <w:noProof/>
          <w:lang w:val="en-GB"/>
        </w:rPr>
        <w:t>nce, established in accordance with the EUROSUR Regulation, play a crucial role and Member States should make better use of them in strengthening their reaction capability.</w:t>
      </w:r>
    </w:p>
    <w:p w:rsidR="009908A5" w:rsidRDefault="00ED15D6">
      <w:pPr>
        <w:pStyle w:val="BodyA"/>
        <w:jc w:val="both"/>
        <w:rPr>
          <w:rFonts w:ascii="Times New Roman" w:hAnsi="Times New Roman"/>
          <w:noProof/>
          <w:lang w:val="en-GB"/>
        </w:rPr>
      </w:pPr>
      <w:r>
        <w:rPr>
          <w:rFonts w:ascii="Times New Roman" w:hAnsi="Times New Roman"/>
          <w:noProof/>
          <w:lang w:val="en-GB"/>
        </w:rPr>
        <w:t>The EUROSUR Handbook describes in detail the tasks of these national coordination c</w:t>
      </w:r>
      <w:r>
        <w:rPr>
          <w:rFonts w:ascii="Times New Roman" w:hAnsi="Times New Roman"/>
          <w:noProof/>
          <w:lang w:val="en-GB"/>
        </w:rPr>
        <w:t>entres, including their cooperation with other national authorities and how to manage resources and personnel and the national border surveillance systems. The Handbook defines how national coordination centres and Frontex exchange information on incidents</w:t>
      </w:r>
      <w:r>
        <w:rPr>
          <w:rFonts w:ascii="Times New Roman" w:hAnsi="Times New Roman"/>
          <w:noProof/>
          <w:lang w:val="en-GB"/>
        </w:rPr>
        <w:t>, patrols and intelligence and coordinate their reaction at the different border sections. Finally, the Handbook provides technical guidelines for the management of the EUROSUR communication network and of classified information.</w:t>
      </w:r>
    </w:p>
    <w:p w:rsidR="009908A5" w:rsidRDefault="00ED15D6">
      <w:pPr>
        <w:pStyle w:val="Heading"/>
        <w:spacing w:before="240"/>
        <w:ind w:left="851" w:hanging="851"/>
        <w:rPr>
          <w:noProof/>
          <w:lang w:val="en-GB"/>
        </w:rPr>
      </w:pPr>
      <w:r>
        <w:rPr>
          <w:noProof/>
          <w:lang w:val="en-GB"/>
        </w:rPr>
        <w:t xml:space="preserve">VIII. </w:t>
      </w:r>
      <w:r>
        <w:rPr>
          <w:noProof/>
          <w:lang w:val="en-GB"/>
        </w:rPr>
        <w:tab/>
        <w:t>Conclusion</w:t>
      </w:r>
    </w:p>
    <w:p w:rsidR="009908A5" w:rsidRDefault="00ED15D6">
      <w:pPr>
        <w:pStyle w:val="BodyA"/>
        <w:jc w:val="both"/>
        <w:rPr>
          <w:rFonts w:ascii="Times New Roman" w:hAnsi="Times New Roman"/>
          <w:noProof/>
          <w:lang w:val="en-GB"/>
        </w:rPr>
      </w:pPr>
      <w:r>
        <w:rPr>
          <w:rFonts w:ascii="Times New Roman" w:hAnsi="Times New Roman"/>
          <w:noProof/>
          <w:lang w:val="en-GB"/>
        </w:rPr>
        <w:t xml:space="preserve">The measures adopted today constitute a necessary step forward towards effective </w:t>
      </w:r>
      <w:r>
        <w:rPr>
          <w:rFonts w:ascii="Times New Roman" w:hAnsi="Times New Roman"/>
          <w:b/>
          <w:bCs/>
          <w:noProof/>
          <w:lang w:val="en-GB"/>
        </w:rPr>
        <w:t>European</w:t>
      </w:r>
      <w:r>
        <w:rPr>
          <w:rFonts w:ascii="Times New Roman" w:hAnsi="Times New Roman"/>
          <w:noProof/>
          <w:lang w:val="en-GB"/>
        </w:rPr>
        <w:t xml:space="preserve"> </w:t>
      </w:r>
      <w:r>
        <w:rPr>
          <w:rFonts w:ascii="Times New Roman" w:hAnsi="Times New Roman"/>
          <w:b/>
          <w:bCs/>
          <w:noProof/>
          <w:lang w:val="en-GB"/>
        </w:rPr>
        <w:t>integrated border management</w:t>
      </w:r>
      <w:r>
        <w:rPr>
          <w:rFonts w:ascii="Times New Roman" w:hAnsi="Times New Roman"/>
          <w:noProof/>
          <w:lang w:val="en-GB"/>
        </w:rPr>
        <w:t xml:space="preserve">. </w:t>
      </w:r>
    </w:p>
    <w:p w:rsidR="009908A5" w:rsidRDefault="00ED15D6">
      <w:pPr>
        <w:pStyle w:val="BodyA"/>
        <w:jc w:val="both"/>
        <w:rPr>
          <w:noProof/>
          <w:lang w:val="en-GB"/>
        </w:rPr>
      </w:pPr>
      <w:r>
        <w:rPr>
          <w:rFonts w:ascii="Times New Roman" w:hAnsi="Times New Roman"/>
          <w:noProof/>
          <w:lang w:val="en-GB"/>
        </w:rPr>
        <w:t>The Commission calls on the European Parliament and the Council to give the highest priority to these proposals, and in particular to t</w:t>
      </w:r>
      <w:r>
        <w:rPr>
          <w:rFonts w:ascii="Times New Roman" w:hAnsi="Times New Roman"/>
          <w:noProof/>
          <w:lang w:val="en-GB"/>
        </w:rPr>
        <w:t xml:space="preserve">he proposed Regulation on the </w:t>
      </w:r>
      <w:r>
        <w:rPr>
          <w:rFonts w:ascii="Times New Roman" w:hAnsi="Times New Roman"/>
          <w:b/>
          <w:noProof/>
          <w:lang w:val="en-GB"/>
        </w:rPr>
        <w:t>European Border and Coast Guard</w:t>
      </w:r>
      <w:r>
        <w:rPr>
          <w:rFonts w:ascii="Times New Roman" w:hAnsi="Times New Roman"/>
          <w:noProof/>
          <w:lang w:val="en-GB"/>
        </w:rPr>
        <w:t>, so that the confidence of citizens in Europe's external borders can be restored swiftly and the integrity of the Schengen area of free movement without internal borders can be guaranteed.</w:t>
      </w:r>
    </w:p>
    <w:sectPr w:rsidR="009908A5">
      <w:headerReference w:type="even" r:id="rId15"/>
      <w:headerReference w:type="default" r:id="rId16"/>
      <w:footerReference w:type="even" r:id="rId17"/>
      <w:footerReference w:type="default" r:id="rId18"/>
      <w:headerReference w:type="first" r:id="rId19"/>
      <w:footerReference w:type="first" r:id="rId20"/>
      <w:pgSz w:w="11900" w:h="16840"/>
      <w:pgMar w:top="1134" w:right="1417" w:bottom="1134" w:left="1417"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A5" w:rsidRDefault="00ED15D6">
      <w:r>
        <w:separator/>
      </w:r>
    </w:p>
  </w:endnote>
  <w:endnote w:type="continuationSeparator" w:id="0">
    <w:p w:rsidR="009908A5" w:rsidRDefault="00ED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ED15D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ED15D6">
    <w:pPr>
      <w:pStyle w:val="Footer"/>
      <w:tabs>
        <w:tab w:val="clear" w:pos="9072"/>
        <w:tab w:val="right" w:pos="9046"/>
      </w:tab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w:instrText>
    </w:r>
    <w:r>
      <w:rPr>
        <w:rFonts w:ascii="Times New Roman" w:hAnsi="Times New Roman" w:cs="Times New Roman"/>
      </w:rPr>
      <w:instrText xml:space="preserve">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A5" w:rsidRDefault="00ED15D6">
      <w:r>
        <w:separator/>
      </w:r>
    </w:p>
  </w:footnote>
  <w:footnote w:type="continuationSeparator" w:id="0">
    <w:p w:rsidR="009908A5" w:rsidRDefault="00ED15D6">
      <w:r>
        <w:continuationSeparator/>
      </w:r>
    </w:p>
  </w:footnote>
  <w:footnote w:type="continuationNotice" w:id="1">
    <w:p w:rsidR="009908A5" w:rsidRDefault="009908A5"/>
  </w:footnote>
  <w:footnote w:id="2">
    <w:p w:rsidR="009908A5" w:rsidRDefault="00ED15D6">
      <w:pPr>
        <w:pStyle w:val="FootnoteText"/>
        <w:spacing w:before="120"/>
        <w:rPr>
          <w:sz w:val="16"/>
          <w:szCs w:val="16"/>
          <w:lang w:val="en-GB"/>
        </w:rPr>
      </w:pPr>
      <w:r>
        <w:rPr>
          <w:sz w:val="16"/>
          <w:szCs w:val="16"/>
          <w:vertAlign w:val="superscript"/>
        </w:rPr>
        <w:footnoteRef/>
      </w:r>
      <w:r>
        <w:rPr>
          <w:sz w:val="16"/>
          <w:szCs w:val="16"/>
          <w:lang w:val="en-GB"/>
        </w:rPr>
        <w:t xml:space="preserve"> </w:t>
      </w:r>
      <w:r>
        <w:rPr>
          <w:sz w:val="16"/>
          <w:szCs w:val="16"/>
          <w:lang w:val="en-GB"/>
        </w:rPr>
        <w:tab/>
        <w:t xml:space="preserve">The exact figure for the period January-October is 1 284 549 illegal border crossings. The data is available from Frontex Risk Analysis Network (FRAN) and covers the Schengen area including the Schengen candidate countries. It includes </w:t>
      </w:r>
      <w:r>
        <w:rPr>
          <w:sz w:val="16"/>
          <w:szCs w:val="16"/>
          <w:lang w:val="en-GB"/>
        </w:rPr>
        <w:t>the third country nationals detected at external borders (except temporary external borders) when entering or attempting to enter illegally between the border crossing points (BCPs). For November, the data originates from the Joint Operations Reporting App</w:t>
      </w:r>
      <w:r>
        <w:rPr>
          <w:sz w:val="16"/>
          <w:szCs w:val="16"/>
          <w:lang w:val="en-GB"/>
        </w:rPr>
        <w:t>lication (JORA) and from the Croatian Ministry of Interior (</w:t>
      </w:r>
      <w:hyperlink r:id="rId1" w:history="1">
        <w:r>
          <w:rPr>
            <w:rStyle w:val="Hyperlink"/>
            <w:sz w:val="16"/>
            <w:szCs w:val="16"/>
            <w:lang w:val="en-GB"/>
          </w:rPr>
          <w:t>http://www.mup.hr/219696.aspx</w:t>
        </w:r>
      </w:hyperlink>
      <w:r>
        <w:rPr>
          <w:sz w:val="16"/>
          <w:szCs w:val="16"/>
          <w:lang w:val="en-GB"/>
        </w:rPr>
        <w:t>); estimates have been used for routes where no data was yet available.</w:t>
      </w:r>
    </w:p>
  </w:footnote>
  <w:footnote w:id="3">
    <w:p w:rsidR="009908A5" w:rsidRDefault="00ED15D6">
      <w:pPr>
        <w:pStyle w:val="FootnoteText"/>
        <w:spacing w:before="120"/>
        <w:rPr>
          <w:sz w:val="16"/>
          <w:szCs w:val="16"/>
          <w:lang w:val="en-GB"/>
        </w:rPr>
      </w:pPr>
      <w:r>
        <w:rPr>
          <w:rStyle w:val="FootnoteReference"/>
          <w:sz w:val="16"/>
          <w:szCs w:val="16"/>
        </w:rPr>
        <w:footnoteRef/>
      </w:r>
      <w:r>
        <w:rPr>
          <w:sz w:val="16"/>
          <w:szCs w:val="16"/>
        </w:rPr>
        <w:t xml:space="preserve"> </w:t>
      </w:r>
      <w:r>
        <w:rPr>
          <w:sz w:val="16"/>
          <w:szCs w:val="16"/>
          <w:lang w:val="en-GB"/>
        </w:rPr>
        <w:tab/>
        <w:t xml:space="preserve">For the period 2009-2014, the total number of </w:t>
      </w:r>
      <w:r>
        <w:rPr>
          <w:sz w:val="16"/>
          <w:szCs w:val="16"/>
          <w:lang w:val="en-GB"/>
        </w:rPr>
        <w:t>detected illegal border crossings was 813 044.</w:t>
      </w:r>
    </w:p>
  </w:footnote>
  <w:footnote w:id="4">
    <w:p w:rsidR="009908A5" w:rsidRDefault="00ED15D6">
      <w:pPr>
        <w:pStyle w:val="FootnoteText"/>
        <w:spacing w:before="120"/>
        <w:rPr>
          <w:sz w:val="16"/>
          <w:szCs w:val="16"/>
          <w:lang w:val="en-GB"/>
        </w:rPr>
      </w:pPr>
      <w:r>
        <w:rPr>
          <w:rStyle w:val="FootnoteReference"/>
          <w:sz w:val="16"/>
          <w:szCs w:val="16"/>
        </w:rPr>
        <w:footnoteRef/>
      </w:r>
      <w:r>
        <w:rPr>
          <w:sz w:val="16"/>
          <w:szCs w:val="16"/>
        </w:rPr>
        <w:t xml:space="preserve"> </w:t>
      </w:r>
      <w:r>
        <w:rPr>
          <w:sz w:val="16"/>
          <w:szCs w:val="16"/>
          <w:lang w:val="en-GB"/>
        </w:rPr>
        <w:tab/>
        <w:t>COM (2015) 240 final.</w:t>
      </w:r>
    </w:p>
  </w:footnote>
  <w:footnote w:id="5">
    <w:p w:rsidR="009908A5" w:rsidRDefault="00ED15D6">
      <w:pPr>
        <w:pStyle w:val="FootnoteText"/>
        <w:spacing w:before="120"/>
        <w:rPr>
          <w:sz w:val="16"/>
          <w:szCs w:val="16"/>
          <w:lang w:val="en-GB"/>
        </w:rPr>
      </w:pPr>
      <w:r>
        <w:rPr>
          <w:rStyle w:val="FootnoteReference"/>
          <w:sz w:val="16"/>
          <w:szCs w:val="16"/>
        </w:rPr>
        <w:footnoteRef/>
      </w:r>
      <w:r>
        <w:rPr>
          <w:sz w:val="16"/>
          <w:szCs w:val="16"/>
        </w:rPr>
        <w:t xml:space="preserve"> </w:t>
      </w:r>
      <w:r>
        <w:rPr>
          <w:sz w:val="16"/>
          <w:szCs w:val="16"/>
        </w:rPr>
        <w:tab/>
        <w:t>COM (2015) 610 final.</w:t>
      </w:r>
    </w:p>
  </w:footnote>
  <w:footnote w:id="6">
    <w:p w:rsidR="009908A5" w:rsidRDefault="00ED15D6">
      <w:pPr>
        <w:pStyle w:val="FootnoteText"/>
        <w:spacing w:before="120"/>
      </w:pPr>
      <w:r>
        <w:rPr>
          <w:rStyle w:val="FootnoteReference"/>
        </w:rPr>
        <w:footnoteRef/>
      </w:r>
      <w:r>
        <w:t xml:space="preserve"> </w:t>
      </w:r>
      <w:r>
        <w:tab/>
      </w:r>
      <w:r>
        <w:rPr>
          <w:sz w:val="16"/>
        </w:rPr>
        <w:t>In its resolution of 10 September the European Parliament stressed the need to ensure effective management of external borders.</w:t>
      </w:r>
    </w:p>
  </w:footnote>
  <w:footnote w:id="7">
    <w:p w:rsidR="009908A5" w:rsidRDefault="00ED15D6">
      <w:pPr>
        <w:pStyle w:val="FootnoteText"/>
        <w:spacing w:before="120"/>
        <w:rPr>
          <w:sz w:val="16"/>
        </w:rPr>
      </w:pPr>
      <w:r>
        <w:rPr>
          <w:rStyle w:val="FootnoteReference"/>
        </w:rPr>
        <w:footnoteRef/>
      </w:r>
      <w:r>
        <w:t xml:space="preserve"> </w:t>
      </w:r>
      <w:r>
        <w:tab/>
      </w:r>
      <w:r>
        <w:rPr>
          <w:sz w:val="16"/>
        </w:rPr>
        <w:t xml:space="preserve">At the informal meeting </w:t>
      </w:r>
      <w:r>
        <w:rPr>
          <w:sz w:val="16"/>
        </w:rPr>
        <w:t>of Heads of State or Government of 23 September, leaders stressed the need to strengthen controls at the external borders and the European Council conclusions of 15 October explicitly call for the establishment of an integrated management system for the ex</w:t>
      </w:r>
      <w:r>
        <w:rPr>
          <w:sz w:val="16"/>
        </w:rPr>
        <w:t>ternal borders.</w:t>
      </w:r>
    </w:p>
  </w:footnote>
  <w:footnote w:id="8">
    <w:p w:rsidR="009908A5" w:rsidRDefault="00ED15D6">
      <w:pPr>
        <w:pStyle w:val="FootnoteText"/>
        <w:spacing w:before="120"/>
        <w:rPr>
          <w:sz w:val="16"/>
          <w:szCs w:val="16"/>
        </w:rPr>
      </w:pPr>
      <w:r>
        <w:rPr>
          <w:rStyle w:val="FootnoteReference"/>
          <w:sz w:val="16"/>
          <w:szCs w:val="16"/>
        </w:rPr>
        <w:footnoteRef/>
      </w:r>
      <w:r>
        <w:rPr>
          <w:sz w:val="16"/>
          <w:szCs w:val="16"/>
        </w:rPr>
        <w:t xml:space="preserve"> </w:t>
      </w:r>
      <w:r>
        <w:rPr>
          <w:sz w:val="16"/>
          <w:szCs w:val="16"/>
        </w:rPr>
        <w:tab/>
        <w:t>These followed an external evaluation of FRONTEX carried out in line with its current legal basis and finalised in June 2015.</w:t>
      </w:r>
    </w:p>
  </w:footnote>
  <w:footnote w:id="9">
    <w:p w:rsidR="009908A5" w:rsidRDefault="00ED15D6">
      <w:pPr>
        <w:pStyle w:val="FootnoteText"/>
        <w:ind w:left="567" w:hanging="567"/>
        <w:rPr>
          <w:sz w:val="16"/>
          <w:szCs w:val="16"/>
        </w:rPr>
      </w:pPr>
      <w:r>
        <w:rPr>
          <w:sz w:val="16"/>
          <w:szCs w:val="16"/>
          <w:vertAlign w:val="superscript"/>
        </w:rPr>
        <w:footnoteRef/>
      </w:r>
      <w:r>
        <w:rPr>
          <w:sz w:val="16"/>
          <w:szCs w:val="16"/>
        </w:rPr>
        <w:t xml:space="preserve"> </w:t>
      </w:r>
      <w:r>
        <w:rPr>
          <w:sz w:val="16"/>
          <w:szCs w:val="16"/>
        </w:rPr>
        <w:tab/>
        <w:t>Council Regulation (EU) No 1053/2013 of the European Parliament and of the Council of 7 October 2013 establi</w:t>
      </w:r>
      <w:r>
        <w:rPr>
          <w:sz w:val="16"/>
          <w:szCs w:val="16"/>
        </w:rPr>
        <w:t xml:space="preserve">shing an evaluation and monitoring mechanism to verify the application of the Schengen </w:t>
      </w:r>
      <w:r>
        <w:rPr>
          <w:i/>
          <w:iCs/>
          <w:sz w:val="16"/>
          <w:szCs w:val="16"/>
        </w:rPr>
        <w:t>acquis</w:t>
      </w:r>
      <w:r>
        <w:rPr>
          <w:sz w:val="16"/>
          <w:szCs w:val="16"/>
        </w:rPr>
        <w:t xml:space="preserve"> and repealing the Decision of the Executive Committee of 16 September 1998 setting up a Standing Committee on the evaluation and implementation of Schengen, OJ L </w:t>
      </w:r>
      <w:r>
        <w:rPr>
          <w:sz w:val="16"/>
          <w:szCs w:val="16"/>
        </w:rPr>
        <w:t>295, 6.11.2013, p. 27.</w:t>
      </w:r>
    </w:p>
  </w:footnote>
  <w:footnote w:id="10">
    <w:p w:rsidR="009908A5" w:rsidRDefault="00ED15D6">
      <w:pPr>
        <w:pStyle w:val="FootnoteText"/>
        <w:spacing w:before="120"/>
        <w:ind w:left="567" w:hanging="567"/>
        <w:rPr>
          <w:sz w:val="16"/>
          <w:szCs w:val="16"/>
          <w:lang w:val="en-GB"/>
        </w:rPr>
      </w:pPr>
      <w:r>
        <w:rPr>
          <w:rStyle w:val="FootnoteReference"/>
          <w:sz w:val="16"/>
          <w:szCs w:val="16"/>
        </w:rPr>
        <w:footnoteRef/>
      </w:r>
      <w:r>
        <w:rPr>
          <w:sz w:val="16"/>
          <w:szCs w:val="16"/>
        </w:rPr>
        <w:t xml:space="preserve"> </w:t>
      </w:r>
      <w:r>
        <w:rPr>
          <w:sz w:val="16"/>
          <w:szCs w:val="16"/>
        </w:rPr>
        <w:tab/>
        <w:t>Regulation (EC) No 863/2007 of the European Parliament and of the Council of 11 July 2007 establishing a mechanism for the creation of Rapid Border Intervention Teams and amending Council Regulation (EC) No 2007/2004 as regards th</w:t>
      </w:r>
      <w:r>
        <w:rPr>
          <w:sz w:val="16"/>
          <w:szCs w:val="16"/>
        </w:rPr>
        <w:t>at mechanism and regulating the tasks and powers of guest officers.</w:t>
      </w:r>
    </w:p>
  </w:footnote>
  <w:footnote w:id="11">
    <w:p w:rsidR="009908A5" w:rsidRDefault="00ED15D6">
      <w:pPr>
        <w:pStyle w:val="FootnoteText"/>
        <w:ind w:left="567" w:hanging="567"/>
        <w:rPr>
          <w:sz w:val="16"/>
          <w:szCs w:val="16"/>
        </w:rPr>
      </w:pPr>
      <w:r>
        <w:rPr>
          <w:sz w:val="16"/>
          <w:szCs w:val="16"/>
          <w:vertAlign w:val="superscript"/>
        </w:rPr>
        <w:footnoteRef/>
      </w:r>
      <w:r>
        <w:rPr>
          <w:sz w:val="16"/>
          <w:szCs w:val="16"/>
        </w:rPr>
        <w:t xml:space="preserve"> </w:t>
      </w:r>
      <w:r>
        <w:rPr>
          <w:sz w:val="16"/>
          <w:szCs w:val="16"/>
        </w:rPr>
        <w:tab/>
        <w:t xml:space="preserve">According to Regulation (EU) No 515/2014 of the European Parliament and of the Council of 16 April 2014 establishing a part of the Internal Security Fund (OJ L 150, 20.5.2014, p. 143), </w:t>
      </w:r>
      <w:r>
        <w:rPr>
          <w:sz w:val="16"/>
          <w:szCs w:val="16"/>
        </w:rPr>
        <w:t>specific actions are designed as ‘top-up funding’, i.e. additional amounts added to the Member States’ basic national 7-year allocations on a competitive basis depending on their willingness to implement, under their national programmes, actions which corr</w:t>
      </w:r>
      <w:r>
        <w:rPr>
          <w:sz w:val="16"/>
          <w:szCs w:val="16"/>
        </w:rPr>
        <w:t>espond to specific EU priorities.</w:t>
      </w:r>
    </w:p>
  </w:footnote>
  <w:footnote w:id="12">
    <w:p w:rsidR="009908A5" w:rsidRDefault="00ED15D6">
      <w:pPr>
        <w:pStyle w:val="FootnoteText"/>
        <w:ind w:left="567" w:hanging="567"/>
        <w:rPr>
          <w:sz w:val="16"/>
          <w:szCs w:val="16"/>
        </w:rPr>
      </w:pPr>
      <w:r>
        <w:rPr>
          <w:sz w:val="16"/>
          <w:szCs w:val="16"/>
          <w:vertAlign w:val="superscript"/>
        </w:rPr>
        <w:footnoteRef/>
      </w:r>
      <w:r>
        <w:rPr>
          <w:sz w:val="16"/>
          <w:szCs w:val="16"/>
        </w:rPr>
        <w:t xml:space="preserve"> </w:t>
      </w:r>
      <w:r>
        <w:rPr>
          <w:sz w:val="16"/>
          <w:szCs w:val="16"/>
        </w:rPr>
        <w:tab/>
        <w:t>COM (2015) 453 final.</w:t>
      </w:r>
    </w:p>
  </w:footnote>
  <w:footnote w:id="13">
    <w:p w:rsidR="009908A5" w:rsidRDefault="00ED15D6">
      <w:pPr>
        <w:pStyle w:val="FootnoteText"/>
        <w:rPr>
          <w:sz w:val="16"/>
          <w:szCs w:val="16"/>
          <w:lang w:val="en-GB"/>
        </w:rPr>
      </w:pPr>
      <w:r>
        <w:rPr>
          <w:rStyle w:val="FootnoteReference"/>
          <w:sz w:val="16"/>
          <w:szCs w:val="16"/>
        </w:rPr>
        <w:footnoteRef/>
      </w:r>
      <w:r>
        <w:rPr>
          <w:sz w:val="16"/>
          <w:szCs w:val="16"/>
        </w:rPr>
        <w:t xml:space="preserve"> </w:t>
      </w:r>
      <w:r>
        <w:rPr>
          <w:sz w:val="16"/>
          <w:szCs w:val="16"/>
          <w:lang w:val="en-GB"/>
        </w:rPr>
        <w:tab/>
        <w:t>These teams were established by Council Regulation (EU) No 1053/2013 of 7 October 2013 establishing an evaluation and monitoring mechanism to verify the application of the Schengen acquis and re</w:t>
      </w:r>
      <w:r>
        <w:rPr>
          <w:sz w:val="16"/>
          <w:szCs w:val="16"/>
          <w:lang w:val="en-GB"/>
        </w:rPr>
        <w:t>pealing Decision of the Executive Commission of 16 September 1998 setting up a Standing Committee on the evaluation and implementation of Schengen, in its Article 10.</w:t>
      </w:r>
    </w:p>
  </w:footnote>
  <w:footnote w:id="14">
    <w:p w:rsidR="009908A5" w:rsidRDefault="00ED15D6">
      <w:pPr>
        <w:pStyle w:val="FootnoteText"/>
        <w:spacing w:before="120"/>
        <w:ind w:left="0" w:firstLine="0"/>
        <w:rPr>
          <w:sz w:val="16"/>
          <w:szCs w:val="16"/>
        </w:rPr>
      </w:pPr>
      <w:r>
        <w:rPr>
          <w:sz w:val="16"/>
          <w:szCs w:val="16"/>
          <w:vertAlign w:val="superscript"/>
        </w:rPr>
        <w:footnoteRef/>
      </w:r>
      <w:r>
        <w:rPr>
          <w:sz w:val="16"/>
          <w:szCs w:val="16"/>
        </w:rPr>
        <w:t xml:space="preserve"> </w:t>
      </w:r>
      <w:r>
        <w:rPr>
          <w:sz w:val="16"/>
          <w:szCs w:val="16"/>
        </w:rPr>
        <w:tab/>
        <w:t>Article 7(2) Schengen Borders Code.</w:t>
      </w:r>
    </w:p>
  </w:footnote>
  <w:footnote w:id="15">
    <w:p w:rsidR="009908A5" w:rsidRDefault="00ED15D6">
      <w:pPr>
        <w:pStyle w:val="FootnoteText"/>
        <w:spacing w:before="120"/>
        <w:rPr>
          <w:sz w:val="16"/>
          <w:szCs w:val="16"/>
        </w:rPr>
      </w:pPr>
      <w:r>
        <w:rPr>
          <w:rStyle w:val="FootnoteReference"/>
          <w:sz w:val="16"/>
          <w:szCs w:val="16"/>
        </w:rPr>
        <w:footnoteRef/>
      </w:r>
      <w:r>
        <w:rPr>
          <w:sz w:val="16"/>
          <w:szCs w:val="16"/>
        </w:rPr>
        <w:t xml:space="preserve"> </w:t>
      </w:r>
      <w:r>
        <w:rPr>
          <w:sz w:val="16"/>
          <w:szCs w:val="16"/>
        </w:rPr>
        <w:tab/>
        <w:t>Conclusions of the Council of the EU and of the</w:t>
      </w:r>
      <w:r>
        <w:rPr>
          <w:sz w:val="16"/>
          <w:szCs w:val="16"/>
        </w:rPr>
        <w:t xml:space="preserve"> Member States meeting within the Council on Counter-Terrorism, 20 November 2015. </w:t>
      </w:r>
    </w:p>
  </w:footnote>
  <w:footnote w:id="16">
    <w:p w:rsidR="009908A5" w:rsidRDefault="00ED15D6">
      <w:pPr>
        <w:pStyle w:val="FootnoteText"/>
        <w:spacing w:before="120"/>
        <w:rPr>
          <w:sz w:val="16"/>
          <w:szCs w:val="16"/>
        </w:rPr>
      </w:pPr>
      <w:r>
        <w:rPr>
          <w:rStyle w:val="FootnoteReference"/>
          <w:sz w:val="16"/>
          <w:szCs w:val="16"/>
        </w:rPr>
        <w:footnoteRef/>
      </w:r>
      <w:r>
        <w:rPr>
          <w:sz w:val="16"/>
          <w:szCs w:val="16"/>
        </w:rPr>
        <w:t xml:space="preserve"> </w:t>
      </w:r>
      <w:r>
        <w:rPr>
          <w:sz w:val="16"/>
          <w:szCs w:val="16"/>
        </w:rPr>
        <w:tab/>
        <w:t>OJ C 274, 19.9.1996, p. 18.</w:t>
      </w:r>
    </w:p>
  </w:footnote>
  <w:footnote w:id="17">
    <w:p w:rsidR="009908A5" w:rsidRDefault="00ED15D6">
      <w:pPr>
        <w:pStyle w:val="FootnoteText"/>
        <w:spacing w:before="120"/>
        <w:rPr>
          <w:sz w:val="16"/>
          <w:szCs w:val="16"/>
        </w:rPr>
      </w:pPr>
      <w:r>
        <w:rPr>
          <w:rStyle w:val="FootnoteReference"/>
          <w:sz w:val="16"/>
          <w:szCs w:val="16"/>
        </w:rPr>
        <w:footnoteRef/>
      </w:r>
      <w:r>
        <w:rPr>
          <w:sz w:val="16"/>
          <w:szCs w:val="16"/>
        </w:rPr>
        <w:t xml:space="preserve"> </w:t>
      </w:r>
      <w:r>
        <w:rPr>
          <w:sz w:val="16"/>
          <w:szCs w:val="16"/>
        </w:rPr>
        <w:tab/>
        <w:t>Directive 2008/115/EC of the European Parliament and of the Council of 16 December 2008 on common standards and procedures in Member States</w:t>
      </w:r>
      <w:r>
        <w:rPr>
          <w:sz w:val="16"/>
          <w:szCs w:val="16"/>
        </w:rPr>
        <w:t xml:space="preserve"> for returning illegally staying third-country nationals (OJ L 348, 24.12.2008, p. 98).</w:t>
      </w:r>
    </w:p>
  </w:footnote>
  <w:footnote w:id="18">
    <w:p w:rsidR="009908A5" w:rsidRDefault="00ED15D6">
      <w:pPr>
        <w:pStyle w:val="FootnoteText"/>
        <w:spacing w:before="120"/>
        <w:ind w:left="709" w:hanging="709"/>
        <w:rPr>
          <w:sz w:val="16"/>
          <w:szCs w:val="16"/>
        </w:rPr>
      </w:pPr>
      <w:r>
        <w:rPr>
          <w:sz w:val="16"/>
          <w:szCs w:val="16"/>
          <w:vertAlign w:val="superscript"/>
        </w:rPr>
        <w:footnoteRef/>
      </w:r>
      <w:r>
        <w:rPr>
          <w:sz w:val="16"/>
          <w:szCs w:val="16"/>
        </w:rPr>
        <w:t xml:space="preserve"> </w:t>
      </w:r>
      <w:r>
        <w:rPr>
          <w:sz w:val="16"/>
          <w:szCs w:val="16"/>
        </w:rPr>
        <w:tab/>
      </w:r>
      <w:r>
        <w:rPr>
          <w:sz w:val="16"/>
          <w:szCs w:val="16"/>
        </w:rPr>
        <w:tab/>
        <w:t>Regulation (EU) No 1052/2013 of the European Parliament and of the Council of 23 October 2013 establishing the European Border Surveillance System (Eurosur), OJ L 2</w:t>
      </w:r>
      <w:r>
        <w:rPr>
          <w:sz w:val="16"/>
          <w:szCs w:val="16"/>
        </w:rPr>
        <w:t>95, 6.11.2013,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A5" w:rsidRDefault="00990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93AB089C834F4F67ACEA646053F48121"/>
    <w:docVar w:name="LW_CROSSREFERENCE" w:val="&lt;UNUSED&gt;"/>
    <w:docVar w:name="LW_DocType" w:val="NORMAL"/>
    <w:docVar w:name="LW_EMISSION" w:val="15.12.2015"/>
    <w:docVar w:name="LW_EMISSION_ISODATE" w:val="2015-12-15"/>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73"/>
    <w:docVar w:name="LW_REF.INTERNE" w:val="&lt;UNUSED&gt;"/>
    <w:docVar w:name="LW_SOUS.TITRE.OBJ.CP" w:val="&lt;UNUSED&gt;"/>
    <w:docVar w:name="LW_SUPERTITRE" w:val="&lt;UNUSED&gt;"/>
    <w:docVar w:name="LW_TITRE.OBJ.CP" w:val="A European Border and Coast Guard and effective management of Europe's external borders"/>
    <w:docVar w:name="LW_TYPE.DOC.CP" w:val="COMMUNICATION FROM THE COMMISSION TO THE EUROPEAN PARLIAMENT AND THE COUNCIL"/>
    <w:docVar w:name="LW_TYPE.DOC.CP.USERTEXT" w:val="&lt;EMPTY&gt;"/>
  </w:docVars>
  <w:rsids>
    <w:rsidRoot w:val="009908A5"/>
    <w:rsid w:val="009908A5"/>
    <w:rsid w:val="00ED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pPr>
      <w:jc w:val="both"/>
    </w:pPr>
    <w:rPr>
      <w:rFonts w:eastAsia="Times New Roman"/>
      <w:color w:val="000000"/>
      <w:sz w:val="24"/>
      <w:szCs w:val="24"/>
      <w:u w:color="000000"/>
      <w:lang w:val="en-US"/>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Heading">
    <w:name w:val="Heading"/>
    <w:link w:val="HeadingChar"/>
    <w:pPr>
      <w:keepNext/>
      <w:tabs>
        <w:tab w:val="left" w:pos="850"/>
      </w:tabs>
      <w:spacing w:before="360" w:after="120"/>
      <w:jc w:val="both"/>
      <w:outlineLvl w:val="0"/>
    </w:pPr>
    <w:rPr>
      <w:rFonts w:eastAsia="Times New Roman"/>
      <w:b/>
      <w:bCs/>
      <w:smallCaps/>
      <w:color w:val="000000"/>
      <w:sz w:val="24"/>
      <w:szCs w:val="24"/>
      <w:u w:color="000000"/>
      <w:lang w:val="fr-FR"/>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noteText">
    <w:name w:val="footnote text"/>
    <w:pPr>
      <w:ind w:left="720" w:hanging="720"/>
      <w:jc w:val="both"/>
    </w:pPr>
    <w:rPr>
      <w:rFonts w:eastAsia="Times New Roman"/>
      <w:color w:val="000000"/>
      <w:u w:color="000000"/>
      <w:lang w:val="en-US"/>
    </w:rPr>
  </w:style>
  <w:style w:type="character" w:styleId="FootnoteReference">
    <w:name w:val="footnote reference"/>
    <w:rPr>
      <w:vertAlign w:val="superscript"/>
    </w:rPr>
  </w:style>
  <w:style w:type="paragraph" w:customStyle="1" w:styleId="BodyAA">
    <w:name w:val="Body A A"/>
    <w:pPr>
      <w:spacing w:after="200" w:line="276" w:lineRule="auto"/>
      <w:jc w:val="both"/>
    </w:pPr>
    <w:rPr>
      <w:rFonts w:ascii="Calibri" w:eastAsia="Calibri" w:hAnsi="Calibri" w:cs="Calibri"/>
      <w:color w:val="000000"/>
      <w:sz w:val="22"/>
      <w:szCs w:val="22"/>
      <w:u w:color="000000"/>
      <w:lang w:val="en-US"/>
    </w:rPr>
  </w:style>
  <w:style w:type="paragraph" w:customStyle="1" w:styleId="ManualHeading1">
    <w:name w:val="Manual Heading 1"/>
    <w:next w:val="BodyA"/>
    <w:pPr>
      <w:keepNext/>
      <w:tabs>
        <w:tab w:val="left" w:pos="850"/>
      </w:tabs>
      <w:spacing w:before="360" w:after="120" w:line="276" w:lineRule="auto"/>
      <w:ind w:left="850" w:hanging="850"/>
      <w:jc w:val="both"/>
      <w:outlineLvl w:val="0"/>
    </w:pPr>
    <w:rPr>
      <w:rFonts w:cs="Arial Unicode MS"/>
      <w:b/>
      <w:bCs/>
      <w:smallCap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ind w:hanging="850"/>
      <w:jc w:val="both"/>
    </w:pPr>
    <w:rPr>
      <w:rFonts w:eastAsia="Times New Roman"/>
      <w:color w:val="000000"/>
      <w:u w:color="000000"/>
    </w:rPr>
  </w:style>
  <w:style w:type="character" w:customStyle="1" w:styleId="HeadingChar">
    <w:name w:val="Heading Char"/>
    <w:basedOn w:val="DefaultParagraphFont"/>
    <w:link w:val="Heading"/>
    <w:rPr>
      <w:rFonts w:eastAsia="Times New Roman"/>
      <w:b/>
      <w:bCs/>
      <w:smallCaps/>
      <w:color w:val="000000"/>
      <w:sz w:val="24"/>
      <w:szCs w:val="24"/>
      <w:u w:color="000000"/>
      <w:lang w:val="fr-FR"/>
    </w:rPr>
  </w:style>
  <w:style w:type="character" w:customStyle="1" w:styleId="HeaderCoverPageChar">
    <w:name w:val="Header Cover Page Char"/>
    <w:basedOn w:val="HeadingChar"/>
    <w:link w:val="HeaderCoverPage"/>
    <w:rPr>
      <w:rFonts w:eastAsia="Times New Roman"/>
      <w:b w:val="0"/>
      <w:bCs w:val="0"/>
      <w:smallCaps w:val="0"/>
      <w:color w:val="000000"/>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pPr>
      <w:jc w:val="both"/>
    </w:pPr>
    <w:rPr>
      <w:rFonts w:eastAsia="Times New Roman"/>
      <w:color w:val="000000"/>
      <w:sz w:val="24"/>
      <w:szCs w:val="24"/>
      <w:u w:color="000000"/>
      <w:lang w:val="en-US"/>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Heading">
    <w:name w:val="Heading"/>
    <w:link w:val="HeadingChar"/>
    <w:pPr>
      <w:keepNext/>
      <w:tabs>
        <w:tab w:val="left" w:pos="850"/>
      </w:tabs>
      <w:spacing w:before="360" w:after="120"/>
      <w:jc w:val="both"/>
      <w:outlineLvl w:val="0"/>
    </w:pPr>
    <w:rPr>
      <w:rFonts w:eastAsia="Times New Roman"/>
      <w:b/>
      <w:bCs/>
      <w:smallCaps/>
      <w:color w:val="000000"/>
      <w:sz w:val="24"/>
      <w:szCs w:val="24"/>
      <w:u w:color="000000"/>
      <w:lang w:val="fr-FR"/>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noteText">
    <w:name w:val="footnote text"/>
    <w:pPr>
      <w:ind w:left="720" w:hanging="720"/>
      <w:jc w:val="both"/>
    </w:pPr>
    <w:rPr>
      <w:rFonts w:eastAsia="Times New Roman"/>
      <w:color w:val="000000"/>
      <w:u w:color="000000"/>
      <w:lang w:val="en-US"/>
    </w:rPr>
  </w:style>
  <w:style w:type="character" w:styleId="FootnoteReference">
    <w:name w:val="footnote reference"/>
    <w:rPr>
      <w:vertAlign w:val="superscript"/>
    </w:rPr>
  </w:style>
  <w:style w:type="paragraph" w:customStyle="1" w:styleId="BodyAA">
    <w:name w:val="Body A A"/>
    <w:pPr>
      <w:spacing w:after="200" w:line="276" w:lineRule="auto"/>
      <w:jc w:val="both"/>
    </w:pPr>
    <w:rPr>
      <w:rFonts w:ascii="Calibri" w:eastAsia="Calibri" w:hAnsi="Calibri" w:cs="Calibri"/>
      <w:color w:val="000000"/>
      <w:sz w:val="22"/>
      <w:szCs w:val="22"/>
      <w:u w:color="000000"/>
      <w:lang w:val="en-US"/>
    </w:rPr>
  </w:style>
  <w:style w:type="paragraph" w:customStyle="1" w:styleId="ManualHeading1">
    <w:name w:val="Manual Heading 1"/>
    <w:next w:val="BodyA"/>
    <w:pPr>
      <w:keepNext/>
      <w:tabs>
        <w:tab w:val="left" w:pos="850"/>
      </w:tabs>
      <w:spacing w:before="360" w:after="120" w:line="276" w:lineRule="auto"/>
      <w:ind w:left="850" w:hanging="850"/>
      <w:jc w:val="both"/>
      <w:outlineLvl w:val="0"/>
    </w:pPr>
    <w:rPr>
      <w:rFonts w:cs="Arial Unicode MS"/>
      <w:b/>
      <w:bCs/>
      <w:smallCap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ind w:hanging="850"/>
      <w:jc w:val="both"/>
    </w:pPr>
    <w:rPr>
      <w:rFonts w:eastAsia="Times New Roman"/>
      <w:color w:val="000000"/>
      <w:u w:color="000000"/>
    </w:rPr>
  </w:style>
  <w:style w:type="character" w:customStyle="1" w:styleId="HeadingChar">
    <w:name w:val="Heading Char"/>
    <w:basedOn w:val="DefaultParagraphFont"/>
    <w:link w:val="Heading"/>
    <w:rPr>
      <w:rFonts w:eastAsia="Times New Roman"/>
      <w:b/>
      <w:bCs/>
      <w:smallCaps/>
      <w:color w:val="000000"/>
      <w:sz w:val="24"/>
      <w:szCs w:val="24"/>
      <w:u w:color="000000"/>
      <w:lang w:val="fr-FR"/>
    </w:rPr>
  </w:style>
  <w:style w:type="character" w:customStyle="1" w:styleId="HeaderCoverPageChar">
    <w:name w:val="Header Cover Page Char"/>
    <w:basedOn w:val="HeadingChar"/>
    <w:link w:val="HeaderCoverPage"/>
    <w:rPr>
      <w:rFonts w:eastAsia="Times New Roman"/>
      <w:b w:val="0"/>
      <w:bCs w:val="0"/>
      <w:smallCaps w:val="0"/>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up.hr/219696.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E4D91-2B65-4449-A511-ABC2B634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4737</Words>
  <Characters>26296</Characters>
  <Application>Microsoft Office Word</Application>
  <DocSecurity>0</DocSecurity>
  <Lines>2390</Lines>
  <Paragraphs>2586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2015-12-14T18:59:00Z</cp:lastPrinted>
  <dcterms:created xsi:type="dcterms:W3CDTF">2015-12-15T08:38:00Z</dcterms:created>
  <dcterms:modified xsi:type="dcterms:W3CDTF">2015-12-15T08:38:00Z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