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73DF5705053493D98EF8D11041E77C2" style="width:450.45pt;height:487.8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ANNEXE</w:t>
      </w:r>
      <w:r>
        <w:rPr>
          <w:noProof/>
          <w:u w:val="none"/>
        </w:rPr>
        <w:br/>
      </w:r>
      <w:r>
        <w:rPr>
          <w:noProof/>
          <w:u w:val="none"/>
        </w:rPr>
        <w:br/>
        <w:t>DÉCISION DU COMITÉ MIXTE DE L'EEE N° …/2015</w:t>
      </w:r>
      <w:r>
        <w:rPr>
          <w:noProof/>
          <w:u w:val="none"/>
        </w:rPr>
        <w:br/>
        <w:t xml:space="preserve">du </w:t>
      </w:r>
      <w:r>
        <w:rPr>
          <w:noProof/>
          <w:u w:val="none"/>
        </w:rPr>
        <w:br/>
        <w:t>modifiant l'annexe XI (Communications électroniques, services audiovisuels et société de l’information) de l'accord EEE</w:t>
      </w:r>
    </w:p>
    <w:p>
      <w:pPr>
        <w:keepNext/>
        <w:spacing w:before="600"/>
        <w:rPr>
          <w:rFonts w:eastAsia="Times New Roman"/>
          <w:noProof/>
          <w:szCs w:val="24"/>
        </w:rPr>
      </w:pPr>
      <w:r>
        <w:rPr>
          <w:noProof/>
        </w:rPr>
        <w:t>LE COMITÉ MIXTE DE L'EEE,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vu l'accord sur l'Espace économique européen (ci-après l'«accord EEE»), et notamment son article 98,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considérant ce qui suit:</w:t>
      </w:r>
    </w:p>
    <w:p>
      <w:pPr>
        <w:pStyle w:val="Point0number"/>
        <w:numPr>
          <w:ilvl w:val="0"/>
          <w:numId w:val="10"/>
        </w:numPr>
        <w:rPr>
          <w:noProof/>
        </w:rPr>
      </w:pPr>
      <w:r>
        <w:rPr>
          <w:noProof/>
        </w:rPr>
        <w:t>La décision d'exécution 2014/702/UE de la Commission du 7 octobre 2014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modifiant la décision 2007/131/CE de février 2007 permettant l'utilisation dans des conditions harmonisées du spectre radioélectrique pour des équipements fonctionnant grâce à la technologie à bande ultralarge dans la Communauté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doit être intégrée dans l'accord EEE.</w:t>
      </w:r>
    </w:p>
    <w:p>
      <w:pPr>
        <w:pStyle w:val="Point0number"/>
        <w:rPr>
          <w:noProof/>
        </w:rPr>
      </w:pPr>
      <w:r>
        <w:rPr>
          <w:noProof/>
        </w:rPr>
        <w:t>Il convient, dès lors, de modifier l'annexe XI de l'accord EEE en conséquence,</w:t>
      </w:r>
    </w:p>
    <w:p>
      <w:pPr>
        <w:keepNext/>
        <w:rPr>
          <w:rFonts w:eastAsia="Times New Roman"/>
          <w:noProof/>
          <w:szCs w:val="24"/>
        </w:rPr>
      </w:pPr>
    </w:p>
    <w:p>
      <w:pPr>
        <w:keepNext/>
        <w:rPr>
          <w:rFonts w:eastAsia="Times New Roman"/>
          <w:noProof/>
          <w:szCs w:val="24"/>
        </w:rPr>
      </w:pPr>
      <w:r>
        <w:rPr>
          <w:noProof/>
        </w:rPr>
        <w:t>A ADOPTÉ LA PRÉSENTE DÉCISION:</w:t>
      </w:r>
    </w:p>
    <w:p>
      <w:pPr>
        <w:keepNext/>
        <w:spacing w:before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</w:rPr>
        <w:t>Article premier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Le point 5cw (décision 2007/131/CE de la Commission) de l'annexe XI de l'accord EEE est modifié comme suit:</w:t>
      </w:r>
    </w:p>
    <w:p>
      <w:pPr>
        <w:ind w:left="850" w:hanging="850"/>
        <w:rPr>
          <w:rFonts w:eastAsia="Times New Roman"/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>Le texte suivant est ajouté:</w:t>
      </w:r>
    </w:p>
    <w:p>
      <w:pPr>
        <w:ind w:left="850"/>
        <w:rPr>
          <w:rFonts w:eastAsia="Times New Roman"/>
          <w:noProof/>
          <w:szCs w:val="24"/>
        </w:rPr>
      </w:pPr>
      <w:r>
        <w:rPr>
          <w:noProof/>
        </w:rPr>
        <w:t>«Aux fins du présent accord, les dispositions de la décision sont adaptées comme suit:</w:t>
      </w:r>
    </w:p>
    <w:p>
      <w:pPr>
        <w:ind w:left="850"/>
        <w:rPr>
          <w:rFonts w:eastAsia="Times New Roman"/>
          <w:noProof/>
          <w:szCs w:val="24"/>
        </w:rPr>
      </w:pPr>
      <w:r>
        <w:rPr>
          <w:noProof/>
        </w:rPr>
        <w:t>L’Islande et la Norvège sont dispensées de l’obligation de permettre l’utilisation de la bande de fréquence 6,0-8,5 GHz pour les équipements utilisant la technologie à bande ultralarge à bord des aéronefs.»</w:t>
      </w:r>
    </w:p>
    <w:p>
      <w:pPr>
        <w:ind w:left="850" w:hanging="850"/>
        <w:rPr>
          <w:rFonts w:eastAsia="Times New Roman"/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>Le tiret suivant est ajouté:</w:t>
      </w:r>
    </w:p>
    <w:p>
      <w:pPr>
        <w:ind w:left="1417" w:hanging="567"/>
        <w:rPr>
          <w:rFonts w:eastAsia="Times New Roman"/>
          <w:noProof/>
          <w:szCs w:val="24"/>
        </w:rPr>
      </w:pPr>
      <w:r>
        <w:rPr>
          <w:noProof/>
        </w:rPr>
        <w:t>«-</w:t>
      </w:r>
      <w:r>
        <w:rPr>
          <w:noProof/>
        </w:rPr>
        <w:tab/>
      </w:r>
      <w:r>
        <w:rPr>
          <w:b/>
          <w:noProof/>
        </w:rPr>
        <w:t>32014 D 0702</w:t>
      </w:r>
      <w:r>
        <w:rPr>
          <w:noProof/>
        </w:rPr>
        <w:t>: décision d'exécution 2014/702/UE de la Commission du 7 octobre 2014 (JO L 293 du 9.10.2014, p. 48).»</w:t>
      </w:r>
    </w:p>
    <w:p>
      <w:pPr>
        <w:keepNext/>
        <w:spacing w:before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</w:rPr>
        <w:t>Article 2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Les textes de la décision d'exécution 2014/702/UE en langues islandaise et norvégienne, à publier dans le supplément EEE du </w:t>
      </w:r>
      <w:r>
        <w:rPr>
          <w:i/>
          <w:noProof/>
        </w:rPr>
        <w:t>Journal officiel de l'Union européenne</w:t>
      </w:r>
      <w:r>
        <w:rPr>
          <w:noProof/>
        </w:rPr>
        <w:t>, font foi.</w:t>
      </w:r>
    </w:p>
    <w:p>
      <w:pPr>
        <w:keepNext/>
        <w:spacing w:before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</w:rPr>
        <w:lastRenderedPageBreak/>
        <w:t>Article 3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La présente décision entre en vigueur le […], pour autant que toutes les notifications prévues à l’article 103, paragraphe 1, de l’accord EEE aient été faites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keepNext/>
        <w:spacing w:before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</w:rPr>
        <w:t>Article 4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La présente décision est publiée dans la partie EEE et dans le supplément EEE du </w:t>
      </w:r>
      <w:r>
        <w:rPr>
          <w:i/>
          <w:noProof/>
        </w:rPr>
        <w:t>Journal officiel de l'Union européenne</w:t>
      </w:r>
      <w:r>
        <w:rPr>
          <w:noProof/>
        </w:rPr>
        <w:t>.</w:t>
      </w:r>
    </w:p>
    <w:p>
      <w:pPr>
        <w:rPr>
          <w:rFonts w:eastAsia="Times New Roman"/>
          <w:noProof/>
          <w:szCs w:val="24"/>
        </w:rPr>
      </w:pPr>
    </w:p>
    <w:p>
      <w:pPr>
        <w:rPr>
          <w:rFonts w:eastAsia="Times New Roman"/>
          <w:noProof/>
          <w:szCs w:val="24"/>
        </w:rPr>
      </w:pPr>
      <w:r>
        <w:rPr>
          <w:noProof/>
        </w:rPr>
        <w:t>Fait à Bruxelles, le […]</w:t>
      </w:r>
    </w:p>
    <w:p>
      <w:pPr>
        <w:keepNext/>
        <w:tabs>
          <w:tab w:val="left" w:pos="4252"/>
        </w:tabs>
        <w:spacing w:before="720" w:after="0"/>
        <w:rPr>
          <w:rFonts w:eastAsia="Times New Roman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Par le Comité mixte de l'EEE</w:t>
      </w:r>
    </w:p>
    <w:p>
      <w:pPr>
        <w:tabs>
          <w:tab w:val="left" w:pos="4252"/>
        </w:tabs>
        <w:spacing w:before="0" w:after="0"/>
        <w:jc w:val="left"/>
        <w:rPr>
          <w:rFonts w:eastAsia="Times New Roman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Le président</w:t>
      </w:r>
    </w:p>
    <w:p>
      <w:pPr>
        <w:tabs>
          <w:tab w:val="left" w:pos="4252"/>
        </w:tabs>
        <w:spacing w:before="0" w:after="0"/>
        <w:jc w:val="left"/>
        <w:rPr>
          <w:rFonts w:eastAsia="Times New Roman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[...]</w:t>
      </w:r>
      <w:r>
        <w:rPr>
          <w:rFonts w:eastAsia="Times New Roman"/>
          <w:i/>
          <w:noProof/>
          <w:szCs w:val="24"/>
        </w:rPr>
        <w:br/>
      </w:r>
      <w:r>
        <w:rPr>
          <w:noProof/>
        </w:rPr>
        <w:tab/>
      </w:r>
      <w:r>
        <w:rPr>
          <w:rFonts w:eastAsia="Times New Roman"/>
          <w:i/>
          <w:noProof/>
          <w:szCs w:val="24"/>
        </w:rPr>
        <w:br/>
      </w:r>
      <w:r>
        <w:rPr>
          <w:noProof/>
        </w:rPr>
        <w:tab/>
      </w:r>
      <w:r>
        <w:rPr>
          <w:rFonts w:eastAsia="Times New Roman"/>
          <w:i/>
          <w:noProof/>
          <w:szCs w:val="24"/>
        </w:rPr>
        <w:br/>
      </w:r>
      <w:r>
        <w:rPr>
          <w:noProof/>
        </w:rPr>
        <w:tab/>
      </w:r>
      <w:r>
        <w:rPr>
          <w:rFonts w:eastAsia="Times New Roman"/>
          <w:i/>
          <w:noProof/>
          <w:szCs w:val="24"/>
        </w:rPr>
        <w:br/>
      </w:r>
      <w:r>
        <w:rPr>
          <w:noProof/>
        </w:rPr>
        <w:tab/>
      </w:r>
      <w:r>
        <w:rPr>
          <w:rFonts w:eastAsia="Times New Roman"/>
          <w:i/>
          <w:noProof/>
          <w:szCs w:val="24"/>
        </w:rPr>
        <w:br/>
      </w:r>
      <w:r>
        <w:rPr>
          <w:noProof/>
        </w:rPr>
        <w:tab/>
      </w:r>
      <w:r>
        <w:rPr>
          <w:rFonts w:eastAsia="Times New Roman"/>
          <w:i/>
          <w:noProof/>
          <w:szCs w:val="24"/>
        </w:rPr>
        <w:br/>
      </w:r>
      <w:r>
        <w:rPr>
          <w:noProof/>
        </w:rPr>
        <w:tab/>
      </w:r>
      <w:r>
        <w:rPr>
          <w:rFonts w:eastAsia="Times New Roman"/>
          <w:i/>
          <w:noProof/>
          <w:szCs w:val="24"/>
        </w:rPr>
        <w:br/>
      </w:r>
      <w:r>
        <w:rPr>
          <w:noProof/>
        </w:rPr>
        <w:tab/>
      </w:r>
      <w:r>
        <w:rPr>
          <w:rFonts w:eastAsia="Times New Roman"/>
          <w:i/>
          <w:noProof/>
          <w:szCs w:val="24"/>
        </w:rPr>
        <w:br/>
      </w:r>
      <w:r>
        <w:rPr>
          <w:i/>
          <w:noProof/>
        </w:rPr>
        <w:t>Les secrétaires</w:t>
      </w:r>
      <w:r>
        <w:rPr>
          <w:rFonts w:eastAsia="Times New Roman"/>
          <w:i/>
          <w:noProof/>
          <w:szCs w:val="24"/>
        </w:rPr>
        <w:br/>
      </w:r>
      <w:r>
        <w:rPr>
          <w:noProof/>
        </w:rPr>
        <w:tab/>
      </w:r>
      <w:r>
        <w:rPr>
          <w:rFonts w:eastAsia="Times New Roman"/>
          <w:i/>
          <w:noProof/>
          <w:szCs w:val="24"/>
        </w:rPr>
        <w:br/>
      </w:r>
      <w:r>
        <w:rPr>
          <w:i/>
          <w:noProof/>
        </w:rPr>
        <w:t>du Comité mixte de l'EEE</w:t>
      </w:r>
    </w:p>
    <w:p>
      <w:pPr>
        <w:tabs>
          <w:tab w:val="left" w:pos="4252"/>
        </w:tabs>
        <w:spacing w:before="0" w:after="0"/>
        <w:jc w:val="left"/>
        <w:rPr>
          <w:rFonts w:eastAsia="Times New Roman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[...]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JO L 293 du 9.10.2014, p. 48.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JO L 55 du 23.2.2007, p. 33.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[Pas d'obligations constitutionnelles signalées.] [Obligations constitutionnelles signalées.]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21"/>
  </w:num>
  <w:num w:numId="14">
    <w:abstractNumId w:val="12"/>
  </w:num>
  <w:num w:numId="15">
    <w:abstractNumId w:val="14"/>
  </w:num>
  <w:num w:numId="16">
    <w:abstractNumId w:val="10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18"/>
  </w:num>
  <w:num w:numId="22">
    <w:abstractNumId w:val="11"/>
  </w:num>
  <w:num w:numId="23">
    <w:abstractNumId w:val="16"/>
  </w:num>
  <w:num w:numId="24">
    <w:abstractNumId w:val="22"/>
  </w:num>
  <w:num w:numId="25">
    <w:abstractNumId w:val="19"/>
  </w:num>
  <w:num w:numId="26">
    <w:abstractNumId w:val="13"/>
  </w:num>
  <w:num w:numId="27">
    <w:abstractNumId w:val="21"/>
  </w:num>
  <w:num w:numId="28">
    <w:abstractNumId w:val="12"/>
  </w:num>
  <w:num w:numId="29">
    <w:abstractNumId w:val="14"/>
  </w:num>
  <w:num w:numId="30">
    <w:abstractNumId w:val="10"/>
  </w:num>
  <w:num w:numId="31">
    <w:abstractNumId w:val="20"/>
  </w:num>
  <w:num w:numId="32">
    <w:abstractNumId w:val="9"/>
  </w:num>
  <w:num w:numId="33">
    <w:abstractNumId w:val="15"/>
  </w:num>
  <w:num w:numId="34">
    <w:abstractNumId w:val="17"/>
  </w:num>
  <w:num w:numId="35">
    <w:abstractNumId w:val="18"/>
  </w:num>
  <w:num w:numId="36">
    <w:abstractNumId w:val="11"/>
  </w:num>
  <w:num w:numId="37">
    <w:abstractNumId w:val="16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12-08 11:30:0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73DF5705053493D98EF8D11041E77C2"/>
    <w:docVar w:name="LW_CROSSREFERENCE" w:val="&lt;UNUSED&gt;"/>
    <w:docVar w:name="LW_DocType" w:val="ANNEX"/>
    <w:docVar w:name="LW_EMISSION" w:val="16.12.2015"/>
    <w:docVar w:name="LW_EMISSION_ISODATE" w:val="2015-12-16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659"/>
    <w:docVar w:name="LW_REF.INTERNE" w:val="&lt;UNUSED&gt;"/>
    <w:docVar w:name="LW_SUPERTITRE" w:val="&lt;UNUSED&gt;"/>
    <w:docVar w:name="LW_TITRE.OBJ" w:val="DÉCISION DU COMITÉ MIXTE DE L'EEE N° \u8230?/2015_x000b_du_x000b_modifiant l'annexe XI (Communications électroniques, services audiovisuels et société de l\u8217?information) de l'accord EEE_x000b__x000b_à la_x000b__x000b_proposition de décision du Conseil_x000b__x000b_relative à la position à adopter au nom de l'Union&lt;LWCR:NBS&gt;européenne au sein du comité&lt;LWCR:NBS&gt;mixte&lt;LWCR:NBS&gt;de&lt;LWCR:NBS&gt;l'EEE en ce qui concerne une modification de l'annexe&lt;LWCR:NBS&gt;XI (Communications électroniques, services audiovisuels et société de l\u8217?information) _x000b_de l'accord EEE_x000b_(bande ultralarge)"/>
    <w:docVar w:name="LW_TITRE.OBJ.CP" w:val="DÉCISION DU COMITÉ MIXTE DE L'EEE N° \u8230?/2015_x000b_du_x000b_modifiant l'annexe XI (Communications électroniques, services audiovisuels et société de l\u8217?information) de l'accord EEE_x000b__x000b_à la_x000b__x000b_proposition de décision du Conseil_x000b__x000b_relative à la position à adopter au nom de l'Union européenne au sein du comité mixte de l'EEE en ce qui concerne une modification de l'annexe XI (Communications électroniques, services audiovisuels et société de l\u8217?information) _x000b_de l'accord EEE_x000b_(bande ultralarge)"/>
    <w:docVar w:name="LW_TYPE.DOC" w:val="ANNEXES"/>
    <w:docVar w:name="LW_TYPE.DOC.CP" w:val="ANNEXES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character" w:customStyle="1" w:styleId="Point0Char">
    <w:name w:val="Point 0 Char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sz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link w:val="Articleheading"/>
    <w:rPr>
      <w:rFonts w:ascii="Times New Roman" w:hAnsi="Times New Roman"/>
      <w:i/>
      <w:color w:val="000000"/>
      <w:sz w:val="24"/>
      <w:szCs w:val="24"/>
      <w:lang w:val="fr-FR" w:eastAsia="fr-FR"/>
    </w:rPr>
  </w:style>
  <w:style w:type="character" w:customStyle="1" w:styleId="ArticletextChar">
    <w:name w:val="Article text Char"/>
    <w:link w:val="Articletext"/>
    <w:rPr>
      <w:rFonts w:ascii="Times New Roman" w:hAnsi="Times New Roman"/>
      <w:i w:val="0"/>
      <w:color w:val="000000"/>
      <w:sz w:val="24"/>
      <w:szCs w:val="24"/>
      <w:lang w:val="fr-FR" w:eastAsia="fr-FR"/>
    </w:rPr>
  </w:style>
  <w:style w:type="character" w:customStyle="1" w:styleId="Point1Char">
    <w:name w:val="Point 1 Char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604F-376F-4F65-84A8-1147D9BC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315</Words>
  <Characters>1694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DIGIT/A3</cp:lastModifiedBy>
  <cp:revision>7</cp:revision>
  <cp:lastPrinted>2014-02-26T14:25:00Z</cp:lastPrinted>
  <dcterms:created xsi:type="dcterms:W3CDTF">2015-12-04T07:03:00Z</dcterms:created>
  <dcterms:modified xsi:type="dcterms:W3CDTF">2015-12-08T10:30:00Z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_NewReviewCycle">
    <vt:lpwstr/>
  </property>
  <property fmtid="{D5CDD505-2E9C-101B-9397-08002B2CF9AE}" pid="13" name="DQCStatus">
    <vt:lpwstr>Green (DQC version 03)</vt:lpwstr>
  </property>
</Properties>
</file>