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A5" w:rsidRPr="002D5926" w:rsidRDefault="00EC28DE" w:rsidP="00EC28DE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3399E511DA4A77B5E8CBEB4E853B89" style="width:450.75pt;height:487.5pt">
            <v:imagedata r:id="rId9" o:title=""/>
          </v:shape>
        </w:pict>
      </w:r>
    </w:p>
    <w:p w:rsidR="002E7B78" w:rsidRPr="002D5926" w:rsidRDefault="002E7B78" w:rsidP="002E7B78">
      <w:pPr>
        <w:pStyle w:val="Pagedecouverture"/>
        <w:sectPr w:rsidR="002E7B78" w:rsidRPr="002D5926" w:rsidSect="00EC28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71881" w:rsidRPr="002D5926" w:rsidRDefault="00F13A69" w:rsidP="009B20B1">
      <w:pPr>
        <w:pStyle w:val="Annexetitre"/>
        <w:rPr>
          <w:u w:val="none"/>
        </w:rPr>
      </w:pPr>
      <w:r w:rsidRPr="002D5926">
        <w:rPr>
          <w:u w:val="none"/>
        </w:rPr>
        <w:lastRenderedPageBreak/>
        <w:t>ПРИЛОЖЕНИЕ</w:t>
      </w:r>
      <w:r w:rsidRPr="002D5926">
        <w:rPr>
          <w:u w:val="none"/>
        </w:rPr>
        <w:br/>
      </w:r>
      <w:r w:rsidRPr="002D5926">
        <w:rPr>
          <w:u w:val="none"/>
        </w:rPr>
        <w:br/>
        <w:t>РЕШЕНИЕ НА СЪВМЕСТНИЯ КОМИТЕТ НА ЕИП № .../2015</w:t>
      </w:r>
      <w:r w:rsidRPr="002D5926">
        <w:rPr>
          <w:u w:val="none"/>
        </w:rPr>
        <w:br/>
        <w:t>от</w:t>
      </w:r>
      <w:r w:rsidRPr="002D5926">
        <w:rPr>
          <w:u w:val="none"/>
        </w:rPr>
        <w:br/>
        <w:t>за изменение на приложение XI (Електронни комуникации, аудио-визуални услуги и информационно общество) към Споразумението за ЕИП</w:t>
      </w:r>
    </w:p>
    <w:p w:rsidR="00A77831" w:rsidRPr="002D5926" w:rsidRDefault="00A77831" w:rsidP="00A77831">
      <w:pPr>
        <w:keepNext/>
        <w:spacing w:before="600"/>
        <w:rPr>
          <w:rFonts w:eastAsia="Times New Roman"/>
          <w:szCs w:val="24"/>
        </w:rPr>
      </w:pPr>
      <w:r w:rsidRPr="002D5926">
        <w:t>СЪВМЕСТНИЯТ КОМИТЕТ НА ЕИП,</w:t>
      </w: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 w:rsidR="00344359" w:rsidRPr="002D5926" w:rsidRDefault="00344359" w:rsidP="00344359">
      <w:pPr>
        <w:rPr>
          <w:rFonts w:eastAsia="Times New Roman"/>
          <w:szCs w:val="24"/>
        </w:rPr>
      </w:pPr>
      <w:r w:rsidRPr="002D5926">
        <w:t>като има предвид, че:</w:t>
      </w:r>
    </w:p>
    <w:p w:rsidR="00344359" w:rsidRPr="002D5926" w:rsidRDefault="00344359" w:rsidP="003D6D81">
      <w:pPr>
        <w:pStyle w:val="Point0number"/>
        <w:numPr>
          <w:ilvl w:val="0"/>
          <w:numId w:val="10"/>
        </w:numPr>
      </w:pPr>
      <w:r w:rsidRPr="002D5926">
        <w:t>Решение за изпълнение 2014/702/EС на Комисията от 7 октомври 2014 г.</w:t>
      </w:r>
      <w:r w:rsidRPr="002D5926">
        <w:rPr>
          <w:rStyle w:val="FootnoteReference"/>
        </w:rPr>
        <w:footnoteReference w:id="1"/>
      </w:r>
      <w:r w:rsidRPr="002D5926">
        <w:t xml:space="preserve"> за изменение на Решение 2007/131/ЕО от февруари 2007 г</w:t>
      </w:r>
      <w:r w:rsidRPr="002D5926">
        <w:rPr>
          <w:rStyle w:val="FootnoteReference"/>
        </w:rPr>
        <w:footnoteReference w:id="2"/>
      </w:r>
      <w:r w:rsidRPr="002D5926">
        <w:t>. за разрешаване на използването на радиочестотния спектър за устройства, използващи свръхшироколентова технология по хармонизиран начин в Общността, следва да бъде включено в Споразумението за ЕИП.</w:t>
      </w:r>
    </w:p>
    <w:p w:rsidR="00344359" w:rsidRPr="002D5926" w:rsidRDefault="00344359" w:rsidP="00344359">
      <w:pPr>
        <w:pStyle w:val="Point0number"/>
      </w:pPr>
      <w:r w:rsidRPr="002D5926">
        <w:t>Поради това приложение XI към Споразумението за ЕИП следва да бъде съответно изменено,</w:t>
      </w:r>
    </w:p>
    <w:p w:rsidR="00FF0BCD" w:rsidRPr="002D5926" w:rsidRDefault="00FF0BCD" w:rsidP="00A77831">
      <w:pPr>
        <w:keepNext/>
        <w:rPr>
          <w:rFonts w:eastAsia="Times New Roman"/>
          <w:szCs w:val="24"/>
        </w:rPr>
      </w:pPr>
    </w:p>
    <w:p w:rsidR="00A77831" w:rsidRPr="002D5926" w:rsidRDefault="00A77831" w:rsidP="00A77831">
      <w:pPr>
        <w:keepNext/>
        <w:rPr>
          <w:rFonts w:eastAsia="Times New Roman"/>
          <w:szCs w:val="24"/>
        </w:rPr>
      </w:pPr>
      <w:r w:rsidRPr="002D5926">
        <w:t>ПРИЕ НАСТОЯЩОТО РЕШЕНИЕ:</w:t>
      </w:r>
    </w:p>
    <w:p w:rsidR="00A77831" w:rsidRPr="002D5926" w:rsidRDefault="00A77831" w:rsidP="00A77831">
      <w:pPr>
        <w:keepNext/>
        <w:spacing w:before="360"/>
        <w:jc w:val="center"/>
        <w:rPr>
          <w:rFonts w:eastAsia="Times New Roman"/>
          <w:i/>
          <w:szCs w:val="24"/>
        </w:rPr>
      </w:pPr>
      <w:r w:rsidRPr="002D5926">
        <w:rPr>
          <w:i/>
        </w:rPr>
        <w:t>Член 1</w:t>
      </w: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>Точка 5вц (Решение 2007/131/ЕО на Комисията) от приложение XI към Споразумението за ЕИП се изменя, както следва:</w:t>
      </w:r>
    </w:p>
    <w:p w:rsidR="00A77831" w:rsidRPr="002D5926" w:rsidRDefault="00A77831" w:rsidP="00A77831">
      <w:pPr>
        <w:ind w:left="850" w:hanging="850"/>
        <w:rPr>
          <w:rFonts w:eastAsia="Times New Roman"/>
          <w:szCs w:val="24"/>
        </w:rPr>
      </w:pPr>
      <w:r w:rsidRPr="002D5926">
        <w:t>1.</w:t>
      </w:r>
      <w:r w:rsidRPr="002D5926">
        <w:tab/>
        <w:t>Добавя се следният текст:</w:t>
      </w:r>
    </w:p>
    <w:p w:rsidR="00A77831" w:rsidRPr="002D5926" w:rsidRDefault="00A77831" w:rsidP="00A77831">
      <w:pPr>
        <w:ind w:left="850"/>
        <w:rPr>
          <w:rFonts w:eastAsia="Times New Roman"/>
          <w:szCs w:val="24"/>
        </w:rPr>
      </w:pPr>
      <w:r w:rsidRPr="002D5926">
        <w:t>„За целите на настоящото споразумение разпоредбите на Решението се четат със следната адаптация:</w:t>
      </w:r>
    </w:p>
    <w:p w:rsidR="00A77831" w:rsidRPr="002D5926" w:rsidRDefault="00A77831" w:rsidP="00A77831">
      <w:pPr>
        <w:ind w:left="850"/>
        <w:rPr>
          <w:rFonts w:eastAsia="Times New Roman"/>
          <w:szCs w:val="24"/>
        </w:rPr>
      </w:pPr>
      <w:r w:rsidRPr="002D5926">
        <w:t>Исландия и Норвегия се освобождават от задължението да разрешат използването на честотната лента от 6,0 до 8,5 GHz от устройства, използващи свръхшироколентова технология на борда на въздухоплавателните средства.“</w:t>
      </w:r>
    </w:p>
    <w:p w:rsidR="00A77831" w:rsidRPr="002D5926" w:rsidRDefault="00A77831" w:rsidP="00A77831">
      <w:pPr>
        <w:ind w:left="850" w:hanging="850"/>
        <w:rPr>
          <w:rFonts w:eastAsia="Times New Roman"/>
          <w:szCs w:val="24"/>
        </w:rPr>
      </w:pPr>
      <w:r w:rsidRPr="002D5926">
        <w:t>2.</w:t>
      </w:r>
      <w:r w:rsidRPr="002D5926">
        <w:tab/>
        <w:t>Добавя се следното тире:</w:t>
      </w:r>
    </w:p>
    <w:p w:rsidR="00A77831" w:rsidRPr="002D5926" w:rsidRDefault="00A77831" w:rsidP="00A77831">
      <w:pPr>
        <w:ind w:left="1417" w:hanging="567"/>
        <w:rPr>
          <w:rFonts w:eastAsia="Times New Roman"/>
          <w:szCs w:val="24"/>
        </w:rPr>
      </w:pPr>
      <w:r w:rsidRPr="002D5926">
        <w:t>„-</w:t>
      </w:r>
      <w:r w:rsidRPr="002D5926">
        <w:tab/>
      </w:r>
      <w:r w:rsidRPr="002D5926">
        <w:rPr>
          <w:b/>
        </w:rPr>
        <w:t>32014 D 0702</w:t>
      </w:r>
      <w:r w:rsidRPr="002D5926">
        <w:t>: Решение за изпълнение 2014/702/EС на Комисията от 7 октомври 2014 г. (OВ L 293, 9.10.2014 г., стр. 48).“</w:t>
      </w:r>
    </w:p>
    <w:p w:rsidR="00A77831" w:rsidRPr="002D5926" w:rsidRDefault="00A77831" w:rsidP="00A77831">
      <w:pPr>
        <w:keepNext/>
        <w:spacing w:before="360"/>
        <w:jc w:val="center"/>
        <w:rPr>
          <w:rFonts w:eastAsia="Times New Roman"/>
          <w:i/>
          <w:szCs w:val="24"/>
        </w:rPr>
      </w:pPr>
      <w:r w:rsidRPr="002D5926">
        <w:rPr>
          <w:i/>
        </w:rPr>
        <w:t>Член 2</w:t>
      </w: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 xml:space="preserve">Текстовете на Решение за изпълнение 2014/702/ЕС на исландски и норвежки език, които ще бъдат публикувани в притурката за ЕИП към </w:t>
      </w:r>
      <w:r w:rsidRPr="002D5926">
        <w:rPr>
          <w:i/>
        </w:rPr>
        <w:t>Официален вестник на Европейския съюз</w:t>
      </w:r>
      <w:r w:rsidRPr="002D5926">
        <w:t>, са автентични.</w:t>
      </w:r>
    </w:p>
    <w:p w:rsidR="00A77831" w:rsidRPr="002D5926" w:rsidRDefault="00A77831" w:rsidP="00A77831">
      <w:pPr>
        <w:keepNext/>
        <w:spacing w:before="360"/>
        <w:jc w:val="center"/>
        <w:rPr>
          <w:rFonts w:eastAsia="Times New Roman"/>
          <w:i/>
          <w:szCs w:val="24"/>
        </w:rPr>
      </w:pPr>
      <w:r w:rsidRPr="002D5926">
        <w:rPr>
          <w:i/>
        </w:rPr>
        <w:lastRenderedPageBreak/>
        <w:t>Член 3</w:t>
      </w: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>Настоящото решение влиза в сила на […] г., при условие че са внесени всички нотификации, предвидени в член 103, параграф 1 от Споразумението за ЕИП</w:t>
      </w:r>
      <w:r w:rsidRPr="002D5926">
        <w:rPr>
          <w:rStyle w:val="FootnoteReference"/>
        </w:rPr>
        <w:footnoteReference w:id="3"/>
      </w:r>
      <w:r w:rsidRPr="002D5926">
        <w:t>.</w:t>
      </w:r>
    </w:p>
    <w:p w:rsidR="00A77831" w:rsidRPr="002D5926" w:rsidRDefault="00A77831" w:rsidP="00A77831">
      <w:pPr>
        <w:keepNext/>
        <w:spacing w:before="360"/>
        <w:jc w:val="center"/>
        <w:rPr>
          <w:rFonts w:eastAsia="Times New Roman"/>
          <w:i/>
          <w:szCs w:val="24"/>
        </w:rPr>
      </w:pPr>
      <w:r w:rsidRPr="002D5926">
        <w:rPr>
          <w:i/>
        </w:rPr>
        <w:t>Член 4</w:t>
      </w: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 xml:space="preserve">Настоящото решение се публикува в раздела за ЕИП и в притурката за ЕИП към </w:t>
      </w:r>
      <w:r w:rsidRPr="002D5926">
        <w:rPr>
          <w:i/>
        </w:rPr>
        <w:t>Официален вестник на Европейския съюз</w:t>
      </w:r>
      <w:r w:rsidRPr="002D5926">
        <w:t>.</w:t>
      </w:r>
    </w:p>
    <w:p w:rsidR="00A77831" w:rsidRPr="002D5926" w:rsidRDefault="00A77831" w:rsidP="00A77831">
      <w:pPr>
        <w:rPr>
          <w:rFonts w:eastAsia="Times New Roman"/>
          <w:szCs w:val="24"/>
        </w:rPr>
      </w:pPr>
    </w:p>
    <w:p w:rsidR="00A77831" w:rsidRPr="002D5926" w:rsidRDefault="00A77831" w:rsidP="00A77831">
      <w:pPr>
        <w:rPr>
          <w:rFonts w:eastAsia="Times New Roman"/>
          <w:szCs w:val="24"/>
        </w:rPr>
      </w:pPr>
      <w:r w:rsidRPr="002D5926">
        <w:t>Съставено в Брюксел на […] година.</w:t>
      </w:r>
    </w:p>
    <w:p w:rsidR="00A77831" w:rsidRPr="002D5926" w:rsidRDefault="00A77831" w:rsidP="00A77831">
      <w:pPr>
        <w:keepNext/>
        <w:tabs>
          <w:tab w:val="left" w:pos="4252"/>
        </w:tabs>
        <w:spacing w:before="720" w:after="0"/>
        <w:rPr>
          <w:rFonts w:eastAsia="Times New Roman"/>
          <w:i/>
          <w:szCs w:val="24"/>
        </w:rPr>
      </w:pPr>
      <w:r w:rsidRPr="002D5926">
        <w:tab/>
      </w:r>
      <w:r w:rsidRPr="002D5926">
        <w:rPr>
          <w:i/>
        </w:rPr>
        <w:t>За Съвместния комитет на ЕИП</w:t>
      </w:r>
    </w:p>
    <w:p w:rsidR="00A77831" w:rsidRPr="002D5926" w:rsidRDefault="00A77831" w:rsidP="00A77831">
      <w:pPr>
        <w:tabs>
          <w:tab w:val="left" w:pos="4252"/>
        </w:tabs>
        <w:spacing w:before="0" w:after="0"/>
        <w:jc w:val="left"/>
        <w:rPr>
          <w:rFonts w:eastAsia="Times New Roman"/>
          <w:i/>
          <w:szCs w:val="24"/>
        </w:rPr>
      </w:pPr>
      <w:r w:rsidRPr="002D5926">
        <w:tab/>
      </w:r>
      <w:r w:rsidRPr="002D5926">
        <w:rPr>
          <w:i/>
        </w:rPr>
        <w:t>Председател</w:t>
      </w:r>
    </w:p>
    <w:p w:rsidR="00A77831" w:rsidRPr="002D5926" w:rsidRDefault="00A77831" w:rsidP="00A77831">
      <w:pPr>
        <w:tabs>
          <w:tab w:val="left" w:pos="4252"/>
        </w:tabs>
        <w:spacing w:before="0" w:after="0"/>
        <w:jc w:val="left"/>
        <w:rPr>
          <w:rFonts w:eastAsia="Times New Roman"/>
          <w:i/>
          <w:szCs w:val="24"/>
        </w:rPr>
      </w:pPr>
      <w:r w:rsidRPr="002D5926">
        <w:tab/>
      </w:r>
      <w:r w:rsidRPr="002D5926">
        <w:rPr>
          <w:i/>
        </w:rPr>
        <w:t>[…]</w:t>
      </w:r>
      <w:r w:rsidRPr="002D5926">
        <w:rPr>
          <w:rFonts w:eastAsia="Times New Roman"/>
          <w:i/>
          <w:szCs w:val="24"/>
        </w:rPr>
        <w:br/>
      </w:r>
      <w:r w:rsidRPr="002D5926">
        <w:tab/>
      </w:r>
      <w:r w:rsidRPr="002D5926">
        <w:rPr>
          <w:rFonts w:eastAsia="Times New Roman"/>
          <w:i/>
          <w:szCs w:val="24"/>
        </w:rPr>
        <w:br/>
      </w:r>
      <w:r w:rsidRPr="002D5926">
        <w:tab/>
      </w:r>
      <w:r w:rsidRPr="002D5926">
        <w:rPr>
          <w:rFonts w:eastAsia="Times New Roman"/>
          <w:i/>
          <w:szCs w:val="24"/>
        </w:rPr>
        <w:br/>
      </w:r>
      <w:r w:rsidRPr="002D5926">
        <w:tab/>
      </w:r>
      <w:r w:rsidRPr="002D5926">
        <w:rPr>
          <w:rFonts w:eastAsia="Times New Roman"/>
          <w:i/>
          <w:szCs w:val="24"/>
        </w:rPr>
        <w:br/>
      </w:r>
      <w:r w:rsidRPr="002D5926">
        <w:tab/>
      </w:r>
      <w:r w:rsidRPr="002D5926">
        <w:rPr>
          <w:i/>
        </w:rPr>
        <w:t>Секретари</w:t>
      </w:r>
      <w:r w:rsidRPr="002D5926">
        <w:rPr>
          <w:rFonts w:eastAsia="Times New Roman"/>
          <w:i/>
          <w:szCs w:val="24"/>
        </w:rPr>
        <w:br/>
      </w:r>
      <w:r w:rsidRPr="002D5926">
        <w:tab/>
      </w:r>
      <w:r w:rsidRPr="002D5926">
        <w:rPr>
          <w:i/>
        </w:rPr>
        <w:t>на Съвместния комитет на ЕИП</w:t>
      </w:r>
    </w:p>
    <w:p w:rsidR="00AC4303" w:rsidRPr="00EC28DE" w:rsidRDefault="009B20B1" w:rsidP="009B20B1">
      <w:pPr>
        <w:tabs>
          <w:tab w:val="left" w:pos="4252"/>
        </w:tabs>
        <w:spacing w:before="0" w:after="0"/>
        <w:jc w:val="left"/>
        <w:rPr>
          <w:rFonts w:eastAsia="Times New Roman"/>
          <w:i/>
          <w:szCs w:val="24"/>
        </w:rPr>
      </w:pPr>
      <w:r w:rsidRPr="002D5926">
        <w:tab/>
      </w:r>
      <w:r w:rsidRPr="002D5926">
        <w:rPr>
          <w:i/>
        </w:rPr>
        <w:t>[...]</w:t>
      </w:r>
    </w:p>
    <w:sectPr w:rsidR="00AC4303" w:rsidRPr="00EC28DE" w:rsidSect="00EC28DE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C5" w:rsidRDefault="007B20C5" w:rsidP="00D371A5">
      <w:pPr>
        <w:spacing w:before="0" w:after="0"/>
      </w:pPr>
      <w:r>
        <w:separator/>
      </w:r>
    </w:p>
  </w:endnote>
  <w:endnote w:type="continuationSeparator" w:id="0">
    <w:p w:rsidR="007B20C5" w:rsidRDefault="007B20C5" w:rsidP="00D371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36" w:rsidRPr="00EC28DE" w:rsidRDefault="00EC28DE" w:rsidP="00EC28DE">
    <w:pPr>
      <w:pStyle w:val="Footer"/>
      <w:rPr>
        <w:rFonts w:ascii="Arial" w:hAnsi="Arial" w:cs="Arial"/>
        <w:b/>
        <w:sz w:val="48"/>
      </w:rPr>
    </w:pPr>
    <w:r w:rsidRPr="00EC28DE">
      <w:rPr>
        <w:rFonts w:ascii="Arial" w:hAnsi="Arial" w:cs="Arial"/>
        <w:b/>
        <w:sz w:val="48"/>
      </w:rPr>
      <w:t>BG</w:t>
    </w:r>
    <w:r w:rsidRPr="00EC28DE">
      <w:rPr>
        <w:rFonts w:ascii="Arial" w:hAnsi="Arial" w:cs="Arial"/>
        <w:b/>
        <w:sz w:val="48"/>
      </w:rPr>
      <w:tab/>
    </w:r>
    <w:r w:rsidRPr="00EC28D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EC28DE">
      <w:tab/>
    </w:r>
    <w:proofErr w:type="spellStart"/>
    <w:r w:rsidRPr="00EC28DE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Footer"/>
      <w:rPr>
        <w:rFonts w:ascii="Arial" w:hAnsi="Arial" w:cs="Arial"/>
        <w:b/>
        <w:sz w:val="48"/>
      </w:rPr>
    </w:pPr>
    <w:r w:rsidRPr="00EC28DE">
      <w:rPr>
        <w:rFonts w:ascii="Arial" w:hAnsi="Arial" w:cs="Arial"/>
        <w:b/>
        <w:sz w:val="48"/>
      </w:rPr>
      <w:t>BG</w:t>
    </w:r>
    <w:r w:rsidRPr="00EC28D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EC28DE">
      <w:tab/>
    </w:r>
    <w:r w:rsidRPr="00EC28DE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C5" w:rsidRDefault="007B20C5" w:rsidP="00D371A5">
      <w:pPr>
        <w:spacing w:before="0" w:after="0"/>
      </w:pPr>
      <w:r>
        <w:separator/>
      </w:r>
    </w:p>
  </w:footnote>
  <w:footnote w:type="continuationSeparator" w:id="0">
    <w:p w:rsidR="007B20C5" w:rsidRDefault="007B20C5" w:rsidP="00D371A5">
      <w:pPr>
        <w:spacing w:before="0" w:after="0"/>
      </w:pPr>
      <w:r>
        <w:continuationSeparator/>
      </w:r>
    </w:p>
  </w:footnote>
  <w:footnote w:id="1">
    <w:p w:rsidR="00BF1A25" w:rsidRPr="00EC28DE" w:rsidRDefault="00BF1A25" w:rsidP="00BF1A2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293, 9.10.2014 г., стр. 48—56.</w:t>
      </w:r>
    </w:p>
  </w:footnote>
  <w:footnote w:id="2">
    <w:p w:rsidR="00BF1A25" w:rsidRDefault="00BF1A25">
      <w:pPr>
        <w:pStyle w:val="FootnoteText"/>
      </w:pPr>
      <w:r>
        <w:rPr>
          <w:rStyle w:val="FootnoteReference"/>
        </w:rPr>
        <w:footnoteRef/>
      </w:r>
      <w:r>
        <w:tab/>
      </w:r>
      <w:r>
        <w:t>OВ L 55, 23.2.2007 г., стр. 33—36.</w:t>
      </w:r>
    </w:p>
  </w:footnote>
  <w:footnote w:id="3">
    <w:p w:rsidR="00A77831" w:rsidRDefault="00A77831" w:rsidP="00FF0BCD">
      <w:pPr>
        <w:pStyle w:val="FootnoteText"/>
      </w:pPr>
      <w:r>
        <w:rPr>
          <w:rStyle w:val="FootnoteReference"/>
        </w:rPr>
        <w:footnoteRef/>
      </w:r>
      <w:r>
        <w:tab/>
      </w:r>
      <w:r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DE" w:rsidRPr="00EC28DE" w:rsidRDefault="00EC28DE" w:rsidP="00EC2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QCDateTime" w:val="2015-12-16 12:52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F83399E511DA4A77B5E8CBEB4E853B89"/>
    <w:docVar w:name="LW_CROSSREFERENCE" w:val="&lt;UNUSED&gt;"/>
    <w:docVar w:name="LW_DocType" w:val="ANNEX"/>
    <w:docVar w:name="LW_EMISSION" w:val="16.12.2015"/>
    <w:docVar w:name="LW_EMISSION_ISODATE" w:val="2015-12-1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659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.../2015_x000b_\u1086?\u1090?_x000b_\u1079?\u1072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_x000b__x000b_\u1082?\u1098?\u1084?_x000b__x000b_\u1055?\u1088?\u1077?\u1076?\u1083?\u1086?\u1078?\u1077?\u1085?\u1080?\u1077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_x000b_(\u1089?\u1074?\u1088?\u1098?\u1093?\u1096?\u1080?\u1088?\u1086?\u1082?\u1086?\u1083?\u1077?\u1085?\u1090?\u1086?\u1074?\u1080? \u1090?\u1077?\u1093?\u1085?\u1086?\u1083?\u1086?\u1075?\u1080?\u1080?)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.../2015_x000b_\u1086?\u1090?_x000b_\u1079?\u1072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_x000b__x000b_\u1082?\u1098?\u1084?_x000b__x000b_\u1055?\u1088?\u1077?\u1076?\u1083?\u1086?\u1078?\u1077?\u1085?\u1080?\u1077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 (\u1045?\u1083?\u1077?\u1082?\u1090?\u1088?\u1086?\u1085?\u1085?\u1080? \u1082?\u1086?\u1084?\u1091?\u1085?\u1080?\u1082?\u1072?\u1094?\u1080?\u1080?, \u1072?\u1091?\u1076?\u1080?\u1086?-\u1074?\u1080?\u1079?\u1091?\u1072?\u1083?\u1085?\u1080? \u1091?\u1089?\u1083?\u1091?\u1075?\u1080? \u1080? \u1080?\u1085?\u1092?\u1086?\u1088?\u1084?\u1072?\u1094?\u1080?\u1086?\u1085?\u1085?\u1086? \u1086?\u1073?\u1097?\u1077?\u1089?\u1090?\u1074?\u1086?) \u1082?\u1098?\u1084? \u1057?\u1087?\u1086?\u1088?\u1072?\u1079?\u1091?\u1084?\u1077?\u1085?\u1080?\u1077?\u1090?\u1086? \u1079?\u1072? \u1045?\u1048?\u1055?_x000b_(\u1089?\u1074?\u1088?\u1098?\u1093?\u1096?\u1080?\u1088?\u1086?\u1082?\u1086?\u1083?\u1077?\u1085?\u1090?\u1086?\u1074?\u1080? \u1090?\u1077?\u1093?\u1085?\u1086?\u1083?\u1086?\u1075?\u1080?\u1080?)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.CP" w:val="&lt;UNUSED&gt;"/>
  </w:docVars>
  <w:rsids>
    <w:rsidRoot w:val="00D371A5"/>
    <w:rsid w:val="00020490"/>
    <w:rsid w:val="0002556F"/>
    <w:rsid w:val="00032C6E"/>
    <w:rsid w:val="0005438E"/>
    <w:rsid w:val="00073F61"/>
    <w:rsid w:val="000D387F"/>
    <w:rsid w:val="000F658E"/>
    <w:rsid w:val="001156BE"/>
    <w:rsid w:val="001351F6"/>
    <w:rsid w:val="00171635"/>
    <w:rsid w:val="00174AE4"/>
    <w:rsid w:val="00176181"/>
    <w:rsid w:val="001A1AFE"/>
    <w:rsid w:val="001A38F6"/>
    <w:rsid w:val="001C75A7"/>
    <w:rsid w:val="001F008D"/>
    <w:rsid w:val="002332ED"/>
    <w:rsid w:val="00237302"/>
    <w:rsid w:val="0025663B"/>
    <w:rsid w:val="002602F5"/>
    <w:rsid w:val="0026783D"/>
    <w:rsid w:val="002736A6"/>
    <w:rsid w:val="00276992"/>
    <w:rsid w:val="00281F03"/>
    <w:rsid w:val="002907E8"/>
    <w:rsid w:val="00291880"/>
    <w:rsid w:val="002B32F9"/>
    <w:rsid w:val="002D5926"/>
    <w:rsid w:val="002E43E3"/>
    <w:rsid w:val="002E4AE3"/>
    <w:rsid w:val="002E6833"/>
    <w:rsid w:val="002E7B78"/>
    <w:rsid w:val="00344359"/>
    <w:rsid w:val="0034445E"/>
    <w:rsid w:val="0037116F"/>
    <w:rsid w:val="00377989"/>
    <w:rsid w:val="00386A47"/>
    <w:rsid w:val="003A50E3"/>
    <w:rsid w:val="003A635B"/>
    <w:rsid w:val="003C33DE"/>
    <w:rsid w:val="003C7E52"/>
    <w:rsid w:val="003D6D81"/>
    <w:rsid w:val="00410396"/>
    <w:rsid w:val="00410BB5"/>
    <w:rsid w:val="00435241"/>
    <w:rsid w:val="004616F1"/>
    <w:rsid w:val="00464261"/>
    <w:rsid w:val="004A29AB"/>
    <w:rsid w:val="004C0AE7"/>
    <w:rsid w:val="004C418F"/>
    <w:rsid w:val="004E2057"/>
    <w:rsid w:val="004F47CD"/>
    <w:rsid w:val="00513CF7"/>
    <w:rsid w:val="005148E1"/>
    <w:rsid w:val="00534936"/>
    <w:rsid w:val="00541B13"/>
    <w:rsid w:val="005C6DD6"/>
    <w:rsid w:val="005D144D"/>
    <w:rsid w:val="005D4198"/>
    <w:rsid w:val="005F1337"/>
    <w:rsid w:val="00660FCA"/>
    <w:rsid w:val="00681263"/>
    <w:rsid w:val="00697640"/>
    <w:rsid w:val="006B2086"/>
    <w:rsid w:val="006B52B5"/>
    <w:rsid w:val="006F32C2"/>
    <w:rsid w:val="0075503A"/>
    <w:rsid w:val="00761A75"/>
    <w:rsid w:val="00785F15"/>
    <w:rsid w:val="00787DE7"/>
    <w:rsid w:val="00791546"/>
    <w:rsid w:val="00793800"/>
    <w:rsid w:val="007B20C5"/>
    <w:rsid w:val="007B5301"/>
    <w:rsid w:val="007D0C8C"/>
    <w:rsid w:val="007F2515"/>
    <w:rsid w:val="007F5DEB"/>
    <w:rsid w:val="00802C3D"/>
    <w:rsid w:val="00870023"/>
    <w:rsid w:val="00870461"/>
    <w:rsid w:val="00871881"/>
    <w:rsid w:val="008736EF"/>
    <w:rsid w:val="008826B0"/>
    <w:rsid w:val="008A1A1F"/>
    <w:rsid w:val="008B4DEA"/>
    <w:rsid w:val="008B6EEF"/>
    <w:rsid w:val="008C182B"/>
    <w:rsid w:val="008C5E25"/>
    <w:rsid w:val="008D25C3"/>
    <w:rsid w:val="009659CD"/>
    <w:rsid w:val="009729D5"/>
    <w:rsid w:val="00973C8B"/>
    <w:rsid w:val="009A2D81"/>
    <w:rsid w:val="009B20B1"/>
    <w:rsid w:val="009C1691"/>
    <w:rsid w:val="009C4288"/>
    <w:rsid w:val="009C5592"/>
    <w:rsid w:val="009C6CE1"/>
    <w:rsid w:val="009E38C7"/>
    <w:rsid w:val="009F014B"/>
    <w:rsid w:val="00A11336"/>
    <w:rsid w:val="00A22991"/>
    <w:rsid w:val="00A263A5"/>
    <w:rsid w:val="00A27F90"/>
    <w:rsid w:val="00A7683E"/>
    <w:rsid w:val="00A77831"/>
    <w:rsid w:val="00A82D48"/>
    <w:rsid w:val="00AC4303"/>
    <w:rsid w:val="00AD6DB2"/>
    <w:rsid w:val="00AF4986"/>
    <w:rsid w:val="00AF5616"/>
    <w:rsid w:val="00B04DCA"/>
    <w:rsid w:val="00B07BE9"/>
    <w:rsid w:val="00B34743"/>
    <w:rsid w:val="00B44CFD"/>
    <w:rsid w:val="00B64250"/>
    <w:rsid w:val="00B95726"/>
    <w:rsid w:val="00BA05C2"/>
    <w:rsid w:val="00BC1671"/>
    <w:rsid w:val="00BD345B"/>
    <w:rsid w:val="00BF1A25"/>
    <w:rsid w:val="00C0273B"/>
    <w:rsid w:val="00C1644B"/>
    <w:rsid w:val="00C30792"/>
    <w:rsid w:val="00C40601"/>
    <w:rsid w:val="00C47B2C"/>
    <w:rsid w:val="00C75B36"/>
    <w:rsid w:val="00C82497"/>
    <w:rsid w:val="00C84889"/>
    <w:rsid w:val="00C91331"/>
    <w:rsid w:val="00C9320C"/>
    <w:rsid w:val="00CA43C0"/>
    <w:rsid w:val="00CD378B"/>
    <w:rsid w:val="00CE3138"/>
    <w:rsid w:val="00CF052D"/>
    <w:rsid w:val="00CF78A8"/>
    <w:rsid w:val="00D033B8"/>
    <w:rsid w:val="00D371A5"/>
    <w:rsid w:val="00D9272F"/>
    <w:rsid w:val="00D9384F"/>
    <w:rsid w:val="00D9672C"/>
    <w:rsid w:val="00DB3EA2"/>
    <w:rsid w:val="00DB6505"/>
    <w:rsid w:val="00DD1632"/>
    <w:rsid w:val="00DD3E3A"/>
    <w:rsid w:val="00E15A20"/>
    <w:rsid w:val="00E221B7"/>
    <w:rsid w:val="00E27FB2"/>
    <w:rsid w:val="00E52ECB"/>
    <w:rsid w:val="00EB1889"/>
    <w:rsid w:val="00EC28DE"/>
    <w:rsid w:val="00EE214F"/>
    <w:rsid w:val="00EF73C2"/>
    <w:rsid w:val="00F0324A"/>
    <w:rsid w:val="00F13A69"/>
    <w:rsid w:val="00F231B3"/>
    <w:rsid w:val="00F44962"/>
    <w:rsid w:val="00F479C5"/>
    <w:rsid w:val="00F55E8A"/>
    <w:rsid w:val="00F8286E"/>
    <w:rsid w:val="00F87183"/>
    <w:rsid w:val="00FA1FA1"/>
    <w:rsid w:val="00FD7595"/>
    <w:rsid w:val="00FF0BCD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val="bg-BG" w:eastAsia="bg-BG" w:bidi="bg-BG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17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17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17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17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D371A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71A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71A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71A5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F73C2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F73C2"/>
  </w:style>
  <w:style w:type="paragraph" w:styleId="ListNumber">
    <w:name w:val="List Number"/>
    <w:basedOn w:val="Normal"/>
    <w:uiPriority w:val="99"/>
    <w:semiHidden/>
    <w:unhideWhenUsed/>
    <w:rsid w:val="00EF73C2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73C2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73C2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73C2"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7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1671"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sid w:val="00BC16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671"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rsid w:val="002E7B78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sid w:val="00D9384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C182B"/>
    <w:pPr>
      <w:spacing w:before="0" w:after="200" w:line="276" w:lineRule="auto"/>
      <w:ind w:left="720"/>
      <w:contextualSpacing/>
      <w:jc w:val="left"/>
    </w:pPr>
    <w:rPr>
      <w:sz w:val="20"/>
    </w:rPr>
  </w:style>
  <w:style w:type="paragraph" w:customStyle="1" w:styleId="Articleheading">
    <w:name w:val="Article heading"/>
    <w:basedOn w:val="Normal"/>
    <w:link w:val="ArticleheadingChar"/>
    <w:qFormat/>
    <w:rsid w:val="008C182B"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rsid w:val="008C182B"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sid w:val="008C182B"/>
    <w:rPr>
      <w:rFonts w:ascii="Times New Roman" w:hAnsi="Times New Roman"/>
      <w:i/>
      <w:color w:val="000000"/>
      <w:sz w:val="24"/>
      <w:szCs w:val="24"/>
      <w:lang w:val="bg-BG" w:eastAsia="bg-BG"/>
    </w:rPr>
  </w:style>
  <w:style w:type="character" w:customStyle="1" w:styleId="ArticletextChar">
    <w:name w:val="Article text Char"/>
    <w:link w:val="Articletext"/>
    <w:rsid w:val="008C182B"/>
    <w:rPr>
      <w:rFonts w:ascii="Times New Roman" w:hAnsi="Times New Roman"/>
      <w:i w:val="0"/>
      <w:color w:val="000000"/>
      <w:sz w:val="24"/>
      <w:szCs w:val="24"/>
      <w:lang w:val="bg-BG" w:eastAsia="bg-BG"/>
    </w:rPr>
  </w:style>
  <w:style w:type="character" w:customStyle="1" w:styleId="Point1Char">
    <w:name w:val="Point 1 Char"/>
    <w:rsid w:val="008C182B"/>
  </w:style>
  <w:style w:type="paragraph" w:styleId="Header">
    <w:name w:val="header"/>
    <w:basedOn w:val="Normal"/>
    <w:link w:val="HeaderChar"/>
    <w:uiPriority w:val="99"/>
    <w:unhideWhenUsed/>
    <w:rsid w:val="00EC28D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EC28DE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EC28D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1"/>
      </w:numPr>
    </w:pPr>
  </w:style>
  <w:style w:type="paragraph" w:customStyle="1" w:styleId="Tiret1">
    <w:name w:val="Tiret 1"/>
    <w:basedOn w:val="Point1"/>
    <w:rsid w:val="0075503A"/>
    <w:pPr>
      <w:numPr>
        <w:numId w:val="12"/>
      </w:numPr>
    </w:pPr>
  </w:style>
  <w:style w:type="paragraph" w:customStyle="1" w:styleId="Tiret2">
    <w:name w:val="Tiret 2"/>
    <w:basedOn w:val="Point2"/>
    <w:rsid w:val="0075503A"/>
    <w:pPr>
      <w:numPr>
        <w:numId w:val="13"/>
      </w:numPr>
    </w:pPr>
  </w:style>
  <w:style w:type="paragraph" w:customStyle="1" w:styleId="Tiret3">
    <w:name w:val="Tiret 3"/>
    <w:basedOn w:val="Point3"/>
    <w:rsid w:val="0075503A"/>
    <w:pPr>
      <w:numPr>
        <w:numId w:val="14"/>
      </w:numPr>
    </w:pPr>
  </w:style>
  <w:style w:type="paragraph" w:customStyle="1" w:styleId="Tiret4">
    <w:name w:val="Tiret 4"/>
    <w:basedOn w:val="Point4"/>
    <w:rsid w:val="0075503A"/>
    <w:pPr>
      <w:numPr>
        <w:numId w:val="15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6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8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8"/>
      </w:numPr>
    </w:pPr>
  </w:style>
  <w:style w:type="paragraph" w:customStyle="1" w:styleId="Bullet0">
    <w:name w:val="Bullet 0"/>
    <w:basedOn w:val="Normal"/>
    <w:rsid w:val="0075503A"/>
    <w:pPr>
      <w:numPr>
        <w:numId w:val="19"/>
      </w:numPr>
    </w:pPr>
  </w:style>
  <w:style w:type="paragraph" w:customStyle="1" w:styleId="Bullet1">
    <w:name w:val="Bullet 1"/>
    <w:basedOn w:val="Normal"/>
    <w:rsid w:val="0075503A"/>
    <w:pPr>
      <w:numPr>
        <w:numId w:val="20"/>
      </w:numPr>
    </w:pPr>
  </w:style>
  <w:style w:type="paragraph" w:customStyle="1" w:styleId="Bullet2">
    <w:name w:val="Bullet 2"/>
    <w:basedOn w:val="Normal"/>
    <w:rsid w:val="0075503A"/>
    <w:pPr>
      <w:numPr>
        <w:numId w:val="21"/>
      </w:numPr>
    </w:pPr>
  </w:style>
  <w:style w:type="paragraph" w:customStyle="1" w:styleId="Bullet3">
    <w:name w:val="Bullet 3"/>
    <w:basedOn w:val="Normal"/>
    <w:rsid w:val="0075503A"/>
    <w:pPr>
      <w:numPr>
        <w:numId w:val="22"/>
      </w:numPr>
    </w:pPr>
  </w:style>
  <w:style w:type="paragraph" w:customStyle="1" w:styleId="Bullet4">
    <w:name w:val="Bullet 4"/>
    <w:basedOn w:val="Normal"/>
    <w:rsid w:val="0075503A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7509-0F1B-4AB6-AEEC-46C78679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306</Words>
  <Characters>1725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LAGES CARVALHO Patrick (SG)</cp:lastModifiedBy>
  <cp:revision>4</cp:revision>
  <cp:lastPrinted>2014-02-26T14:25:00Z</cp:lastPrinted>
  <dcterms:created xsi:type="dcterms:W3CDTF">2015-12-16T11:51:00Z</dcterms:created>
  <dcterms:modified xsi:type="dcterms:W3CDTF">2015-12-17T09:16:00Z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Yellow (DQC version 03)</vt:lpwstr>
  </property>
</Properties>
</file>