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8978DF61614F7980411FEBA97BFF10"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before="360"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относно изпълнението, резултатите и общата оценка</w:t>
      </w:r>
      <w:r>
        <w:rPr>
          <w:rFonts w:ascii="Times New Roman" w:eastAsia="Times New Roman" w:hAnsi="Times New Roman" w:cs="Times New Roman"/>
          <w:b/>
          <w:noProof/>
          <w:sz w:val="24"/>
          <w:szCs w:val="24"/>
        </w:rPr>
        <w:br/>
      </w:r>
      <w:r>
        <w:rPr>
          <w:rFonts w:ascii="Times New Roman" w:hAnsi="Times New Roman"/>
          <w:b/>
          <w:noProof/>
          <w:sz w:val="24"/>
        </w:rPr>
        <w:t>на програмата „Европа за гражданите“ (2007—2013 г.)</w:t>
      </w:r>
    </w:p>
    <w:p>
      <w:pPr>
        <w:spacing w:before="120" w:after="24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В съответствие с Решение № 1904/2006/ЕО</w:t>
      </w:r>
      <w:r>
        <w:rPr>
          <w:rFonts w:ascii="Times New Roman" w:hAnsi="Times New Roman"/>
          <w:noProof/>
          <w:spacing w:val="-6"/>
          <w:sz w:val="24"/>
          <w:vertAlign w:val="superscript"/>
        </w:rPr>
        <w:footnoteReference w:id="2"/>
      </w:r>
      <w:r>
        <w:rPr>
          <w:rFonts w:ascii="Times New Roman" w:hAnsi="Times New Roman"/>
          <w:noProof/>
          <w:spacing w:val="-6"/>
          <w:sz w:val="24"/>
        </w:rPr>
        <w:t xml:space="preserve"> и въз основа на заключенията на външна последваща оценка</w:t>
      </w:r>
      <w:r>
        <w:rPr>
          <w:rFonts w:ascii="Times New Roman" w:hAnsi="Times New Roman"/>
          <w:noProof/>
          <w:spacing w:val="-6"/>
          <w:sz w:val="24"/>
          <w:vertAlign w:val="superscript"/>
        </w:rPr>
        <w:footnoteReference w:id="3"/>
      </w:r>
      <w:r>
        <w:rPr>
          <w:rFonts w:ascii="Times New Roman" w:hAnsi="Times New Roman"/>
          <w:noProof/>
          <w:spacing w:val="-6"/>
          <w:sz w:val="24"/>
        </w:rPr>
        <w:t xml:space="preserve">, настоящият доклад предлага общ преглед на изпълнението, резултатите и общата оценка на програмата „Европа за гражданите“ за периода 2007—2013 г. </w:t>
      </w:r>
    </w:p>
    <w:p>
      <w:pPr>
        <w:keepNext/>
        <w:tabs>
          <w:tab w:val="left" w:pos="850"/>
        </w:tabs>
        <w:spacing w:before="240" w:after="120" w:line="240" w:lineRule="auto"/>
        <w:ind w:left="851" w:hanging="851"/>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Контекст</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Въведение</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Европейският съюз (ЕС) е признавал многократно необходимостта да се доближи до гражданите на държавите членки и да им предостави възможност да участват пълноценно в изграждането на един все по-тесен съюз, като същевременно се поставя акцент върху основните ценности, които се споделят от европейските граждани. </w:t>
      </w:r>
    </w:p>
    <w:p>
      <w:p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За постигането на тези цели през декември 2006</w:t>
      </w:r>
      <w:r>
        <w:rPr>
          <w:rFonts w:ascii="Times New Roman" w:hAnsi="Times New Roman"/>
          <w:noProof/>
          <w:sz w:val="24"/>
          <w:lang w:val="en-GB"/>
        </w:rPr>
        <w:t> </w:t>
      </w:r>
      <w:r>
        <w:rPr>
          <w:rFonts w:ascii="Times New Roman" w:hAnsi="Times New Roman"/>
          <w:noProof/>
          <w:sz w:val="24"/>
        </w:rPr>
        <w:t>г. беше създадена програмата „Европа за гражданите“ за период от седем години (от 1 януари 2007 г. до 31 декември 2013 г.). Програмата бе разглеждана като първа крачка към една по-последователна стратегия и политика в областта на гражданското участие. Тя бе създадена, за да се подкрепят широк спектър от дейности и организации, насърчаващи активното гражданство чрез участие на отделните граждани, местните органи и организациите на гражданското общество в процеса на европейска интеграция.</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„Европа за гражданите“ (наричана по-нататък „програмата“) се основава на опита от предишни дейности, особено върху този на програмата за действие на Общността за насърчаване на активното европейско гражданство (2004—2006 г.)</w:t>
      </w:r>
      <w:r>
        <w:rPr>
          <w:rFonts w:ascii="Times New Roman" w:hAnsi="Times New Roman"/>
          <w:noProof/>
          <w:sz w:val="24"/>
          <w:vertAlign w:val="superscript"/>
        </w:rPr>
        <w:footnoteReference w:id="4"/>
      </w:r>
      <w:r>
        <w:rPr>
          <w:rFonts w:ascii="Times New Roman" w:hAnsi="Times New Roman"/>
          <w:noProof/>
          <w:sz w:val="24"/>
        </w:rPr>
        <w:t>, която потвърди необходимостта от развиване на диалога с организациите на гражданското общество и общините и от това да се подкрепя гражданското участие.</w:t>
      </w:r>
    </w:p>
    <w:p>
      <w:pPr>
        <w:spacing w:after="120" w:line="240" w:lineRule="auto"/>
        <w:jc w:val="both"/>
        <w:rPr>
          <w:rFonts w:ascii="Times New Roman" w:eastAsia="Times New Roman" w:hAnsi="Times New Roman" w:cs="Times New Roman"/>
          <w:noProof/>
          <w:sz w:val="14"/>
          <w:szCs w:val="14"/>
        </w:rPr>
      </w:pPr>
    </w:p>
    <w:p>
      <w:pPr>
        <w:spacing w:after="80" w:line="240" w:lineRule="auto"/>
        <w:jc w:val="both"/>
        <w:rPr>
          <w:rFonts w:ascii="Times New Roman" w:eastAsia="Times New Roman" w:hAnsi="Times New Roman" w:cs="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Цели на програмата „Европа за гражданите“ (2007—2013</w:t>
      </w:r>
      <w:r>
        <w:rPr>
          <w:rFonts w:ascii="Times New Roman" w:hAnsi="Times New Roman"/>
          <w:b/>
          <w:noProof/>
          <w:sz w:val="24"/>
          <w:lang w:val="en-GB"/>
        </w:rPr>
        <w:t> </w:t>
      </w:r>
      <w:r>
        <w:rPr>
          <w:rFonts w:ascii="Times New Roman" w:hAnsi="Times New Roman"/>
          <w:b/>
          <w:noProof/>
          <w:sz w:val="24"/>
        </w:rPr>
        <w:t xml:space="preserve">г.)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има следните цели:</w:t>
      </w:r>
    </w:p>
    <w:p>
      <w:pPr>
        <w:numPr>
          <w:ilvl w:val="0"/>
          <w:numId w:val="1"/>
        </w:numPr>
        <w:spacing w:before="8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се даде възможност на гражданите да си взаимодействат и да участват в изграждането на една все по-близка Европа, която е демократична и ориентирана към света, обединена и обогатена с културното си многообразие, като по този начин се развие гражданството в Европейския съюз;</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да се развие чувството за европейска идентичност, основана на общи ценности, история и култура;</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да се поощри чувството за принадлежност към Европейския съюз сред неговите граждани;</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да се насърчи толерантността и взаимното разбиране между гражданите на Европа при зачитане и насърчаване на културното и езиковото многообразие, допринасяйки за междукултурния диалог.</w:t>
      </w:r>
    </w:p>
    <w:p>
      <w:pPr>
        <w:spacing w:after="0" w:line="240" w:lineRule="auto"/>
        <w:jc w:val="both"/>
        <w:rPr>
          <w:rFonts w:ascii="Times New Roman" w:eastAsia="Times New Roman" w:hAnsi="Times New Roman" w:cs="Times New Roman"/>
          <w:noProof/>
          <w:sz w:val="16"/>
          <w:szCs w:val="16"/>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Програмата има следните конкретни цели: </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обедини хората от местните общности в Европа, които да споделят и да обменят опит, мнения и ценности, да се поучат от историята и да работят за изграждането на бъдещето;</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поощрява действия, дебати и размишления, свързани с европейското гражданство и демокрацията, споделените ценности, общата история и култура, чрез сътрудничество с гражданските организации на европейско равнище;</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скъси разстоянието между Европа и нейните граждани, като насърчи европейските ценности и постижения и съхрани паметта на нейното минало;</w:t>
      </w:r>
    </w:p>
    <w:p>
      <w:pPr>
        <w:numPr>
          <w:ilvl w:val="0"/>
          <w:numId w:val="2"/>
        </w:numPr>
        <w:spacing w:before="120"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насърчава взаимодействието между гражданите и организациите на гражданското общество от всички участващи държави, да допринася за междукултурния диалог и да изведе на преден план разнообразието и единството на Европа, с особено внимание върху дейностите, насочени към развиване на по-тесни връзки между гражданите от държавите членки на Европейския съюз в неговия състав към 30 април 2004 г. и тези от държавите членки, присъединили се след тази дата.</w:t>
      </w:r>
    </w:p>
    <w:p>
      <w:pPr>
        <w:spacing w:before="120" w:after="0" w:line="240" w:lineRule="auto"/>
        <w:ind w:left="357"/>
        <w:jc w:val="both"/>
        <w:rPr>
          <w:rFonts w:ascii="Times New Roman" w:eastAsia="Times New Roman" w:hAnsi="Times New Roman" w:cs="Times New Roman"/>
          <w:noProof/>
          <w:sz w:val="24"/>
          <w:szCs w:val="24"/>
        </w:rPr>
      </w:pPr>
      <w:r>
        <w:rPr>
          <w:rFonts w:ascii="Times New Roman" w:hAnsi="Times New Roman"/>
          <w:noProof/>
          <w:sz w:val="24"/>
        </w:rPr>
        <w:t>Като се има предвид фактът, че общите и конкретните цели, както и дейностите на програмата бяха определени в Решението за създаване на програмата „Европа за гражданите“ за периода 2007—2013 г., Комисията и Изпълнителната агенция за образование, аудиовизия и култура не разполагаха с голяма свобода на преценка при изпълнението на програмата.</w:t>
      </w:r>
    </w:p>
    <w:p>
      <w:pPr>
        <w:keepNext/>
        <w:tabs>
          <w:tab w:val="left" w:pos="850"/>
        </w:tabs>
        <w:spacing w:before="240" w:after="120" w:line="240" w:lineRule="auto"/>
        <w:ind w:left="851" w:hanging="851"/>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Основни дейности и изпълнение на програмата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предостави финансова подкрепа за широк спектър от дейности, които бяха обединени в четири действия.</w:t>
      </w: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Четири действия на програмата</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Действие 1: Активни граждани за Европа </w:t>
      </w:r>
    </w:p>
    <w:p>
      <w:pPr>
        <w:spacing w:line="250" w:lineRule="atLeast"/>
        <w:jc w:val="both"/>
        <w:rPr>
          <w:rFonts w:ascii="Times New Roman" w:eastAsia="Calibri" w:hAnsi="Times New Roman" w:cs="Times New Roman"/>
          <w:noProof/>
          <w:sz w:val="24"/>
          <w:szCs w:val="24"/>
        </w:rPr>
      </w:pPr>
      <w:r>
        <w:rPr>
          <w:rFonts w:ascii="Times New Roman" w:hAnsi="Times New Roman"/>
          <w:noProof/>
          <w:sz w:val="24"/>
        </w:rPr>
        <w:t>Тази мярка предложи средства за организиране на граждански срещи и мрежи от побратимени градове, както и на граждански проекти с транснационално и междусекторно измерение. Тези дейности бяха насочени към засилване на взаимното познаване и разбиране между гражданите от различни общини и култури. Това действие включваше също така мерки за подпомагане с цел подобряване на качеството на побратимяването на градовете и проектите на граждани.</w:t>
      </w:r>
    </w:p>
    <w:p>
      <w:pPr>
        <w:spacing w:after="160" w:line="250" w:lineRule="atLeast"/>
        <w:jc w:val="both"/>
        <w:rPr>
          <w:rFonts w:ascii="Times New Roman" w:eastAsia="Calibri" w:hAnsi="Times New Roman" w:cs="Times New Roman"/>
          <w:noProof/>
          <w:sz w:val="24"/>
          <w:szCs w:val="24"/>
        </w:rPr>
      </w:pPr>
      <w:r>
        <w:rPr>
          <w:rFonts w:ascii="Times New Roman" w:hAnsi="Times New Roman"/>
          <w:b/>
          <w:noProof/>
          <w:sz w:val="24"/>
        </w:rPr>
        <w:t>Действие 2</w:t>
      </w:r>
      <w:r>
        <w:rPr>
          <w:rFonts w:ascii="Times New Roman" w:hAnsi="Times New Roman"/>
          <w:noProof/>
          <w:sz w:val="24"/>
        </w:rPr>
        <w:t xml:space="preserve">: </w:t>
      </w:r>
      <w:r>
        <w:rPr>
          <w:rFonts w:ascii="Times New Roman" w:hAnsi="Times New Roman"/>
          <w:b/>
          <w:noProof/>
          <w:sz w:val="24"/>
        </w:rPr>
        <w:t>Aктивно гражданско общество в Европа</w:t>
      </w:r>
      <w:r>
        <w:rPr>
          <w:rFonts w:ascii="Times New Roman" w:hAnsi="Times New Roman"/>
          <w:noProof/>
          <w:sz w:val="24"/>
        </w:rPr>
        <w:t xml:space="preserve"> </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Тази мярка предостави структурна помощ за европейски мозъчни тръстове и организации на гражданското общество, както и за проекти, инициирани от организации на гражданското общество. Тя бе насочена към укрепване на способността им да действат на европейско ниво и по този начин да допринасят за постигането на общите цели на програмата. </w:t>
      </w:r>
    </w:p>
    <w:p>
      <w:pPr>
        <w:spacing w:before="8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Действие 3: Заедно за Европа</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 xml:space="preserve">Прояви с голям обществен отзвук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Чрез тази мярка бяха подкрепени прояви, организирани от Европейската комисия, понякога в сътрудничество с държавите членки или други значими партньори, с цел да бъдат запознати европейските граждани с европейската история и с постиженията и ценностите на ЕС.</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Проучвания, информация и комуникации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цел да се осигури по-добро разбиране на активното гражданство на европейско равнище, Комисията проведе следните проучвания: </w:t>
      </w:r>
    </w:p>
    <w:p>
      <w:pPr>
        <w:numPr>
          <w:ilvl w:val="0"/>
          <w:numId w:val="3"/>
        </w:numPr>
        <w:spacing w:before="120" w:after="120" w:line="240" w:lineRule="auto"/>
        <w:jc w:val="both"/>
        <w:rPr>
          <w:rFonts w:ascii="Times New Roman" w:hAnsi="Times New Roman"/>
          <w:noProof/>
          <w:spacing w:val="-6"/>
          <w:sz w:val="24"/>
        </w:rPr>
      </w:pPr>
      <w:r>
        <w:rPr>
          <w:rFonts w:ascii="Times New Roman" w:hAnsi="Times New Roman"/>
          <w:i/>
          <w:noProof/>
          <w:spacing w:val="-6"/>
          <w:sz w:val="24"/>
        </w:rPr>
        <w:t>Volunteering in the European Union</w:t>
      </w:r>
      <w:r>
        <w:rPr>
          <w:noProof/>
          <w:spacing w:val="-6"/>
        </w:rPr>
        <w:t xml:space="preserve"> </w:t>
      </w:r>
      <w:r>
        <w:rPr>
          <w:rFonts w:ascii="Times New Roman" w:hAnsi="Times New Roman"/>
          <w:noProof/>
          <w:spacing w:val="-6"/>
          <w:sz w:val="24"/>
        </w:rPr>
        <w:t>(„Доброволчеството в Европейския съюз“), 2010 г.</w:t>
      </w:r>
    </w:p>
    <w:p>
      <w:pPr>
        <w:numPr>
          <w:ilvl w:val="0"/>
          <w:numId w:val="3"/>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i/>
          <w:noProof/>
          <w:sz w:val="24"/>
        </w:rPr>
        <w:t>Study on Maximising the Potential of Mobility in Building European Identity and Promoting Civic Participation</w:t>
      </w:r>
      <w:r>
        <w:rPr>
          <w:noProof/>
        </w:rPr>
        <w:t xml:space="preserve"> </w:t>
      </w:r>
      <w:r>
        <w:rPr>
          <w:rFonts w:ascii="Times New Roman" w:hAnsi="Times New Roman"/>
          <w:noProof/>
          <w:sz w:val="24"/>
        </w:rPr>
        <w:t>(„Проучване относно максималното използване на потенциала на мобилността при изграждането на европейска идентичност и насърчаването на гражданското участие“), 2011 г.</w:t>
      </w:r>
    </w:p>
    <w:p>
      <w:pPr>
        <w:numPr>
          <w:ilvl w:val="0"/>
          <w:numId w:val="3"/>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i/>
          <w:noProof/>
          <w:sz w:val="24"/>
        </w:rPr>
        <w:t>Participatory Citizenship in the European Union</w:t>
      </w:r>
      <w:r>
        <w:rPr>
          <w:noProof/>
        </w:rPr>
        <w:t xml:space="preserve"> </w:t>
      </w:r>
      <w:r>
        <w:rPr>
          <w:rFonts w:ascii="Times New Roman" w:hAnsi="Times New Roman"/>
          <w:noProof/>
          <w:sz w:val="24"/>
        </w:rPr>
        <w:t>(„Активно гражданско участие в Европейския съюз“), 2012 г.</w:t>
      </w:r>
    </w:p>
    <w:p>
      <w:pPr>
        <w:numPr>
          <w:ilvl w:val="0"/>
          <w:numId w:val="3"/>
        </w:numPr>
        <w:spacing w:before="80" w:after="120" w:line="240" w:lineRule="auto"/>
        <w:ind w:left="714" w:hanging="357"/>
        <w:jc w:val="both"/>
        <w:rPr>
          <w:rFonts w:ascii="Times New Roman" w:eastAsia="Times New Roman" w:hAnsi="Times New Roman" w:cs="Times New Roman"/>
          <w:noProof/>
          <w:sz w:val="24"/>
          <w:szCs w:val="24"/>
        </w:rPr>
      </w:pPr>
      <w:r>
        <w:rPr>
          <w:rFonts w:ascii="Times New Roman" w:hAnsi="Times New Roman"/>
          <w:i/>
          <w:noProof/>
          <w:sz w:val="24"/>
        </w:rPr>
        <w:t>Measuring the Impact of the 'Europe for Citizens' programme</w:t>
      </w:r>
      <w:r>
        <w:rPr>
          <w:noProof/>
        </w:rPr>
        <w:t xml:space="preserve"> </w:t>
      </w:r>
      <w:r>
        <w:rPr>
          <w:rFonts w:ascii="Times New Roman" w:hAnsi="Times New Roman"/>
          <w:noProof/>
          <w:sz w:val="24"/>
        </w:rPr>
        <w:t>(„Измерване на въздействието на програмата „Европа за гражданите“), 2013</w:t>
      </w:r>
      <w:r>
        <w:rPr>
          <w:rFonts w:ascii="Times New Roman" w:hAnsi="Times New Roman"/>
          <w:noProof/>
          <w:sz w:val="24"/>
          <w:lang w:val="en-GB"/>
        </w:rPr>
        <w:t> </w:t>
      </w:r>
      <w:r>
        <w:rPr>
          <w:rFonts w:ascii="Times New Roman" w:hAnsi="Times New Roman"/>
          <w:noProof/>
          <w:sz w:val="24"/>
        </w:rPr>
        <w:t>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Информация за дейностите на програмата и за други инициативи в сферата на гражданството бяха предоставени чрез уебсайт и други средства за комуникация (брошури, листовки, DVD).</w:t>
      </w:r>
    </w:p>
    <w:p>
      <w:pPr>
        <w:spacing w:before="120" w:after="80" w:line="240" w:lineRule="auto"/>
        <w:jc w:val="both"/>
        <w:rPr>
          <w:rFonts w:ascii="Times New Roman" w:eastAsia="Times New Roman" w:hAnsi="Times New Roman" w:cs="Times New Roman"/>
          <w:b/>
          <w:i/>
          <w:noProof/>
          <w:sz w:val="24"/>
          <w:szCs w:val="24"/>
        </w:rPr>
      </w:pPr>
      <w:r>
        <w:rPr>
          <w:rFonts w:ascii="Times New Roman" w:hAnsi="Times New Roman"/>
          <w:b/>
          <w:i/>
          <w:noProof/>
          <w:sz w:val="24"/>
        </w:rPr>
        <w:t>Звена за контакт по програмата „Европа за гражданите“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Звената за контакт бяха постепенно установени от 2008 г. насам, за да се гарантира разпространението на практическа информация относно изпълнението на програмата, нейните дейности и възможности за финансиране и за да се предостави помощ на кандидатите и бенефициерите по програмата. </w:t>
      </w: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2013 г. общо 28 звена за контакт по програмата „Европа за гражданите“ действаха в участващите държави, като 22 от тях получиха безвъзмездни средства за оперативни разходи от Европейската комисия.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Действие 4</w:t>
      </w:r>
      <w:r>
        <w:rPr>
          <w:rFonts w:ascii="Times New Roman" w:hAnsi="Times New Roman"/>
          <w:noProof/>
          <w:sz w:val="24"/>
        </w:rPr>
        <w:t xml:space="preserve">: </w:t>
      </w:r>
      <w:r>
        <w:rPr>
          <w:rFonts w:ascii="Times New Roman" w:hAnsi="Times New Roman"/>
          <w:b/>
          <w:noProof/>
          <w:sz w:val="24"/>
        </w:rPr>
        <w:t>Активно европейско възпоменание</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Чрез тази мярка бяха предоставени средства за проекти за възпоменание на жертвите на масово избиване и депортиране, както и за запазване на възпоменателни места, паметници и архиви.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Бюджет</w:t>
      </w:r>
    </w:p>
    <w:p>
      <w:pPr>
        <w:spacing w:before="120" w:after="8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Финансовият пакет за изпълнение на програмата от 1 януари 2007 г. до 31 декември 2013 г. е в размер на 215 милиона евро. Този бюджет бе широко критикуван за това, че е твърде нисък в сравнение с амбициозните цели и високите очаквания по отношение на резултатите от програмата.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разделението на общия бюджет между различните дейности по програмата, 78 280 000 евро бяха отпуснати на градовете и общините чрез двата вида проекти за побратимяване, 14 203 000 евро бяха изразходени за проекти във връзка с паметта за миналото и 35 077 000 евро — за проекти на гражданското общество и проекти на гражданите, а 49 935 000 евро бяха предоставени като структурна подкрепа за мозъчни тръстове и организации на гражданското общество в Европа.</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Получени заявления</w:t>
      </w:r>
    </w:p>
    <w:p>
      <w:pPr>
        <w:spacing w:before="120" w:after="8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 xml:space="preserve">През периода 2007—2013 г. бяха подадени почти 20 000 заявления за отпускане на безвъзмездни средства. Четирите основни действия на програмата бяха срещи на гражданите на побратимени градове (СГ), създаване на мрежи от побратимени градове (МПГ), проекти във връзка с паметта за миналото (ППМ) и проекти на гражданското общество (ПГО). </w:t>
      </w:r>
    </w:p>
    <w:p>
      <w:pPr>
        <w:rPr>
          <w:rFonts w:ascii="Times New Roman" w:eastAsia="Calibri" w:hAnsi="Times New Roman" w:cs="Times New Roman"/>
          <w:noProof/>
          <w:sz w:val="24"/>
          <w:szCs w:val="24"/>
        </w:rPr>
      </w:pPr>
      <w:r>
        <w:rPr>
          <w:noProof/>
        </w:rPr>
        <w:br w:type="page"/>
      </w:r>
    </w:p>
    <w:p>
      <w:pPr>
        <w:spacing w:after="100"/>
        <w:jc w:val="center"/>
        <w:rPr>
          <w:rFonts w:ascii="Times New Roman" w:eastAsia="Calibri" w:hAnsi="Times New Roman" w:cs="Times New Roman"/>
          <w:b/>
          <w:noProof/>
        </w:rPr>
      </w:pPr>
      <w:r>
        <w:rPr>
          <w:rFonts w:ascii="Times New Roman" w:hAnsi="Times New Roman"/>
          <w:b/>
          <w:noProof/>
        </w:rPr>
        <w:lastRenderedPageBreak/>
        <w:t>Общ брой на подадените заявления (2007—2013 г.)</w:t>
      </w:r>
    </w:p>
    <w:p>
      <w:pPr>
        <w:rPr>
          <w:noProof/>
        </w:rPr>
      </w:pPr>
      <w:r>
        <w:rPr>
          <w:noProof/>
          <w:lang w:val="en-US" w:eastAsia="en-US" w:bidi="ar-SA"/>
        </w:rPr>
        <w:drawing>
          <wp:inline distT="0" distB="0" distL="0" distR="0">
            <wp:extent cx="5761355" cy="3000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1.PNG"/>
                    <pic:cNvPicPr/>
                  </pic:nvPicPr>
                  <pic:blipFill>
                    <a:blip r:embed="rId16">
                      <a:extLst>
                        <a:ext uri="{28A0092B-C50C-407E-A947-70E740481C1C}">
                          <a14:useLocalDpi xmlns:a14="http://schemas.microsoft.com/office/drawing/2010/main" val="0"/>
                        </a:ext>
                      </a:extLst>
                    </a:blip>
                    <a:stretch>
                      <a:fillRect/>
                    </a:stretch>
                  </pic:blipFill>
                  <pic:spPr>
                    <a:xfrm>
                      <a:off x="0" y="0"/>
                      <a:ext cx="5761355" cy="3000375"/>
                    </a:xfrm>
                    <a:prstGeom prst="rect">
                      <a:avLst/>
                    </a:prstGeom>
                  </pic:spPr>
                </pic:pic>
              </a:graphicData>
            </a:graphic>
          </wp:inline>
        </w:drawing>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Източник: Отчет за дейността за периода 2007—2013 г., предоставен от Изпълнителната агенция за образование, аудиовизия и култура (EACEA)</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Между 2007 и 2013</w:t>
      </w:r>
      <w:r>
        <w:rPr>
          <w:rFonts w:ascii="Times New Roman" w:hAnsi="Times New Roman"/>
          <w:noProof/>
          <w:sz w:val="24"/>
          <w:lang w:val="en-GB"/>
        </w:rPr>
        <w:t> </w:t>
      </w:r>
      <w:r>
        <w:rPr>
          <w:rFonts w:ascii="Times New Roman" w:hAnsi="Times New Roman"/>
          <w:noProof/>
          <w:sz w:val="24"/>
        </w:rPr>
        <w:t>г. програмата отчете постоянен растеж на броя на подадените заявления в размер на повече от 45</w:t>
      </w:r>
      <w:r>
        <w:rPr>
          <w:rFonts w:ascii="Times New Roman" w:hAnsi="Times New Roman"/>
          <w:noProof/>
          <w:sz w:val="24"/>
          <w:lang w:val="en-GB"/>
        </w:rPr>
        <w:t> </w:t>
      </w:r>
      <w:r>
        <w:rPr>
          <w:rFonts w:ascii="Times New Roman" w:hAnsi="Times New Roman"/>
          <w:noProof/>
          <w:sz w:val="24"/>
        </w:rPr>
        <w:t>%. Основната част от заявленията бяха свързани с побратимяването на градове (почти две трети от всички заявления). Комисията и Изпълнителната агенция взеха мерки за справяне с това увеличение по ефикасен начин, и по-специално чрез въвеждане на управление на подаването на документи и на процедура на докладване без използването на хартиени носители, опростяване на вътрешните процедури и съкращаване на сключването на договорите и на условията на плащане.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резултат на нарастващия брой кандидатури конкуренцията между кандидатите стана все по-силна и процентът на успеваемост се понижи. Например през последната година от програмата (2013</w:t>
      </w:r>
      <w:r>
        <w:rPr>
          <w:rFonts w:ascii="Times New Roman" w:hAnsi="Times New Roman"/>
          <w:noProof/>
          <w:sz w:val="24"/>
          <w:lang w:val="en-GB"/>
        </w:rPr>
        <w:t> </w:t>
      </w:r>
      <w:r>
        <w:rPr>
          <w:rFonts w:ascii="Times New Roman" w:hAnsi="Times New Roman"/>
          <w:noProof/>
          <w:sz w:val="24"/>
        </w:rPr>
        <w:t xml:space="preserve">г.) заявленията за проекти на гражданското общество са имаха едва 4,5 % вероятност за успех, докато през 2007 г. е било възможно да се финансират 48 % от получените проекти. Проектите за побратимяване на градове бяха най-малко селективни, като по тази линия бяха финансирани повече от 20 % от кандидатите.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В същото време бюджетът на проектите, както и броят на участниците и участващите партньори и държави се увеличи през втората половина на програмата, което отразява нарастващите амбиции на кандидатите.</w:t>
      </w:r>
    </w:p>
    <w:p>
      <w:pPr>
        <w:spacing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Географски произход на проектите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Германия е държавата членка, която е въвела най-голям брой проекти (2 791), следвана от Франция (2 537), Унгария (2 434), Италия (2 265) и Полша (1 219).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През 2007 г. повече от 70 % от представените проекти са били изготвени в тези пет държави. През 2013 г. този дял е 54 %. Докато обаче дяловете на Франция и Германия, и в по-малка степен на Полша, спаднаха значително, тези на Италия и най-вече на Унгария нараснаха осезаемо, като Унгария е с най-голям брой заявления, подадени по време на последната година от програмата.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lastRenderedPageBreak/>
        <w:t xml:space="preserve">Между първата и последната година на програмата относителният дял на заявленията от Източна Европа и Балканите нарасна, а този на Централна и Северна Европа спадна. Не само в Унгария, но също така и в Словакия, Румъния и Словения е отчетен значителен растеж, а трите балтийски държави увеличиха три пъти броя на заявленията през същия период, докато в Люксембург, Дания и Португалия участието в програмата беше ограничено. Това може да се обясни отчасти с липсата на специални звена за контакт по програмата „Европа за гражданите“ в тези държави. </w:t>
      </w:r>
    </w:p>
    <w:p>
      <w:pPr>
        <w:tabs>
          <w:tab w:val="num" w:pos="1429"/>
        </w:tabs>
        <w:spacing w:before="200" w:after="100"/>
        <w:jc w:val="center"/>
        <w:rPr>
          <w:rFonts w:ascii="Times New Roman" w:eastAsia="Calibri" w:hAnsi="Times New Roman" w:cs="Times New Roman"/>
          <w:b/>
          <w:noProof/>
        </w:rPr>
      </w:pPr>
      <w:r>
        <w:rPr>
          <w:rFonts w:ascii="Times New Roman" w:hAnsi="Times New Roman"/>
          <w:b/>
          <w:noProof/>
        </w:rPr>
        <w:t xml:space="preserve">Процент на проектите, представени през 2013 г., в сравнение с 2007 г. (по държави) </w:t>
      </w:r>
    </w:p>
    <w:p>
      <w:pPr>
        <w:rPr>
          <w:noProof/>
          <w:lang w:val="en-US"/>
        </w:rPr>
      </w:pPr>
      <w:r>
        <w:rPr>
          <w:noProof/>
          <w:lang w:val="en-US" w:eastAsia="en-US" w:bidi="ar-SA"/>
        </w:rPr>
        <w:drawing>
          <wp:inline distT="0" distB="0" distL="0" distR="0">
            <wp:extent cx="5761355" cy="3625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PNG"/>
                    <pic:cNvPicPr/>
                  </pic:nvPicPr>
                  <pic:blipFill>
                    <a:blip r:embed="rId17">
                      <a:extLst>
                        <a:ext uri="{28A0092B-C50C-407E-A947-70E740481C1C}">
                          <a14:useLocalDpi xmlns:a14="http://schemas.microsoft.com/office/drawing/2010/main" val="0"/>
                        </a:ext>
                      </a:extLst>
                    </a:blip>
                    <a:stretch>
                      <a:fillRect/>
                    </a:stretch>
                  </pic:blipFill>
                  <pic:spPr>
                    <a:xfrm>
                      <a:off x="0" y="0"/>
                      <a:ext cx="5761355" cy="3625215"/>
                    </a:xfrm>
                    <a:prstGeom prst="rect">
                      <a:avLst/>
                    </a:prstGeom>
                  </pic:spPr>
                </pic:pic>
              </a:graphicData>
            </a:graphic>
          </wp:inline>
        </w:drawing>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Източник: Отчет за дейността за периода 2007—2013 г., предоставен от Изпълнителна агенция за образование, аудиовизия и култура (EACEA)</w:t>
      </w:r>
    </w:p>
    <w:p>
      <w:pPr>
        <w:spacing w:after="0" w:line="240" w:lineRule="auto"/>
        <w:ind w:firstLine="720"/>
        <w:jc w:val="both"/>
        <w:rPr>
          <w:rFonts w:ascii="Times New Roman" w:eastAsia="Times New Roman" w:hAnsi="Times New Roman" w:cs="Times New Roman"/>
          <w:b/>
          <w:noProof/>
          <w:sz w:val="18"/>
          <w:szCs w:val="18"/>
        </w:rPr>
      </w:pP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2.5.</w:t>
      </w:r>
      <w:r>
        <w:rPr>
          <w:noProof/>
        </w:rPr>
        <w:tab/>
      </w:r>
      <w:r>
        <w:rPr>
          <w:rFonts w:ascii="Times New Roman" w:hAnsi="Times New Roman"/>
          <w:b/>
          <w:noProof/>
          <w:sz w:val="24"/>
        </w:rPr>
        <w:t>Участници и партньори</w:t>
      </w:r>
    </w:p>
    <w:p>
      <w:pPr>
        <w:spacing w:before="120"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През годините все по-голям брой участници участват в представените проекти. Като цяло общият брой на преките участници в проекта се е увеличил от 700 000 през 2007 г. на 1 175 000 през 2013 г. Това се дължи на постоянното увеличаване на броя на участниците, до които са достигнали проекти на гражданското общество, и постепенното намаляване на броя на срещите на относително малки побратимени градове.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Общият брой на партньорите за всеки проект също се увеличи значително. Така например между 2007 и 2013 г. броят на партньорите по проекти на гражданското общество и в мрежите на побратимени градове се увеличи двойно.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Изглежда, че през изминалите години кандидатите са придобили и повече опит и като следствие са представили по-сложни проекти с повече участници.</w:t>
      </w:r>
    </w:p>
    <w:p>
      <w:pPr>
        <w:spacing w:before="120" w:after="120" w:line="240" w:lineRule="auto"/>
        <w:jc w:val="both"/>
        <w:rPr>
          <w:rFonts w:ascii="Times New Roman" w:eastAsia="Times New Roman" w:hAnsi="Times New Roman" w:cs="Times New Roman"/>
          <w:noProof/>
          <w:sz w:val="16"/>
          <w:szCs w:val="16"/>
        </w:rPr>
      </w:pP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Качество на проектите</w:t>
      </w:r>
    </w:p>
    <w:p>
      <w:pPr>
        <w:spacing w:before="120" w:after="12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През първата година от изпълнението на програмата (2007</w:t>
      </w:r>
      <w:r>
        <w:rPr>
          <w:rFonts w:ascii="Times New Roman" w:hAnsi="Times New Roman"/>
          <w:noProof/>
          <w:spacing w:val="-6"/>
          <w:sz w:val="24"/>
          <w:lang w:val="en-GB"/>
        </w:rPr>
        <w:t> </w:t>
      </w:r>
      <w:r>
        <w:rPr>
          <w:rFonts w:ascii="Times New Roman" w:hAnsi="Times New Roman"/>
          <w:noProof/>
          <w:spacing w:val="-6"/>
          <w:sz w:val="24"/>
        </w:rPr>
        <w:t xml:space="preserve">г.) проекти за побратимяване на градове често са били срещи между хора от различни държави, които работят по различни общи теми като култура, младеж, образование, спорт, туризъм или скаутство.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 xml:space="preserve">Чрез целенасочени и стратегически действия от страна на Комисията и на Изпълнителната агенция проектите, финансирани по мерките на програмата за побратимяване на градове и създаване на мрежи от градове, постепенно бяха превърнати в по-големи, по-добре структурирани и амбициозни проекти, по-тясно обвързани с целите на програмата и нейните годишни работни програми, с участието на по-голям брой градове и акцент върху по-конкретни въпроси, като финансовата и икономическата криза, проблеми, свързани с околната среда или с интеграцията на мигрантите и мобилните работници и др. При тези проекти беше по-голяма вероятността за по-силно въздействие върху гражданите. </w:t>
      </w:r>
    </w:p>
    <w:p>
      <w:pPr>
        <w:spacing w:before="120" w:after="0" w:line="240" w:lineRule="auto"/>
        <w:jc w:val="both"/>
        <w:rPr>
          <w:rFonts w:ascii="Times New Roman" w:eastAsia="Calibri" w:hAnsi="Times New Roman" w:cs="Times New Roman"/>
          <w:noProof/>
          <w:spacing w:val="-6"/>
          <w:sz w:val="24"/>
          <w:szCs w:val="24"/>
        </w:rPr>
      </w:pPr>
      <w:r>
        <w:rPr>
          <w:rFonts w:ascii="Times New Roman" w:hAnsi="Times New Roman"/>
          <w:noProof/>
          <w:spacing w:val="-6"/>
          <w:sz w:val="24"/>
        </w:rPr>
        <w:t>По същия начин бяха направени по-строги изискванията по отношение на съдържанието за проектите, свързани с историческата памет, и за проектите на гражданите и на гражданското общество, като по този начин бе създадена по-стабилна връзка между целите на програмата. Като резултат все по-голям брой големи организации представиха повече иновативни проекти с по-силно изразено европейско измерение.</w:t>
      </w:r>
    </w:p>
    <w:p>
      <w:pPr>
        <w:spacing w:before="120" w:after="120" w:line="240" w:lineRule="auto"/>
        <w:jc w:val="both"/>
        <w:rPr>
          <w:rFonts w:ascii="Times New Roman" w:eastAsia="Calibri" w:hAnsi="Times New Roman" w:cs="Times New Roman"/>
          <w:noProof/>
          <w:sz w:val="24"/>
          <w:szCs w:val="24"/>
        </w:rPr>
      </w:pP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Структурна подкрепа за организации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Както е предвидено в Решението за създаване на програмата, механизмът на финансиране за безвъзмездните средства за оперативни разходи беше променен по време на програмния период. От 2007 до 2009 г. редица мозъчни тръстове и организации на гражданското общество</w:t>
      </w:r>
      <w:r>
        <w:rPr>
          <w:rFonts w:ascii="Times New Roman" w:hAnsi="Times New Roman"/>
          <w:noProof/>
          <w:sz w:val="24"/>
          <w:vertAlign w:val="superscript"/>
        </w:rPr>
        <w:footnoteReference w:id="5"/>
      </w:r>
      <w:r>
        <w:rPr>
          <w:rFonts w:ascii="Times New Roman" w:hAnsi="Times New Roman"/>
          <w:noProof/>
          <w:sz w:val="24"/>
        </w:rPr>
        <w:t xml:space="preserve"> бяха набелязани за получаване на структурна подкрепа, докато през втората половина на програмата безвъзмездните средства за оперативни разходи бяха отпуснати след покани за представяне на предложения. Преходът към конкурсна процедура увеличи натиска върху кандидатите и бенефициерите, като по този начин допринесе за по-амбициозни работни програми с по-силно въздействие.</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 xml:space="preserve">Какво постигна програмата „Европа за гражданите“?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Политически контекст, изпълнен с предизвикателства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Присъединяването на дванадесет нови държави членки между 2004 и 2007 г. донесе значителни предизвикателства пред задълбочаването на европейската интеграция. По-конкретно то изведе на преден план необходимостта да се установи общо разбиране за европейската култура и ценности, но също така и за улесняването на участието на гражданите в европейския проект и насърчаването на гражданското участие в Европа.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Между 2007 и 2013 г. институциите на ЕС трябваше също да посрещнат последиците от икономическата криза, която засегна много европейски граждани във всекидневния им живот. Изправен пред нарастващия изборен успех на популистки движения, които поставиха под въпрос ползите от европейската интеграция, за ЕС стана важно да докаже добавената си стойност и да отговори на основните тревоги на гражданите си.</w:t>
      </w:r>
    </w:p>
    <w:p>
      <w:pPr>
        <w:spacing w:before="120" w:after="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Уместност на програмата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допринесе за повишаване на осведомеността относно дейностите и постиженията на ЕС, за насърчаване на чувството за принадлежност към ЕС и за укрепване на взаимното разбирателство и толерантността в труден контекст.</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Противно на повечето програми за финансиране на ЕС, които са пряко свързани с негови конкретни политики, програмата „Европа за гражданите“ запълни една празнина, като обърна внимание на общата цел на Комисията за сближаване на гражданите с ЕС чрез: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действия, насърчаващи гражданското участие;</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проекти за насърчаване на гражданското участие в гражданското общество;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проекти, които създават интерес по всички въпроси, отнасящи се до идентичността и изграждането на ЕС;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форум за граждански диалог с участието на широк кръг от организации, действащи в глобален политически и социален контекст.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rPr>
        <w:t>Програмата послужи като важна отправна точка за обикновените граждани, които желаят да дискутират и да общуват с ЕС, и като динамична платформа за сътрудничество между организациите на гражданското общество и местните органи, за да се развият гражданските дейности (вж. примерите в приложението). По отношение на взаимното допълване с други инициативи на ЕС, програмата се отличаваше в достатъчна степен от други програми по отношение на обхвата, дейностите и целевите групи, за да предложи допълнение.</w:t>
      </w:r>
    </w:p>
    <w:p>
      <w:pPr>
        <w:spacing w:before="120" w:after="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Освен това програмата изигра допълнителна роля на национално равнище, тъй като през същия период нямаше много подобни инициативи, осъществявани от държавите членки.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Насърчаване на ценности</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 xml:space="preserve">Значителен брой проекти на програмата допринесоха за насърчаване на основните ценности, на които са основани европейските общества, като мира, толерантността, взаимното разбирателство и солидарността. Насърчаването на тези ценности, участието на европейските граждани в процеса на интеграция, както и концепцията за европейска памет за миналото са въпроси, тясно свързани с европейския проект. Това са въпроси от общ интерес, при които обединяването на ресурсите може да осигури добавена стойност.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Оценката на прилагането на програмата показа, че обединяването на европейски граждани от различни държави членки да обсъждат и работят съвместно по проблеми от общ интерес увеличава тяхната осведоменост относно основните ценности, степента им на ангажираност в обществото и в крайна сметка участието им в Европейския съюз. В същото време подкрепата на дейности за насърчаване на взаимното разбиране, многообразието, диалога и уважението към другите могат да спомогнат за развитието на чувство за принадлежност и европейска идентичност, основана на общо разбиране за европейските ценности, култура, история и наследство. Тези инициативи могат да породят промяна в отношението на участниците към другите европейски граждани и да насърчат участието им в демократичните процеси, както и техните познания и интерес относно Европейския съюз, европейските институции и процеси.</w:t>
      </w:r>
    </w:p>
    <w:p>
      <w:pPr>
        <w:spacing w:before="120" w:after="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Това бе обосновката за почти всички проекти и дейности по програмата, вариращи от много малки проекти за побратимяване на градове с относително малък брой граждани и участващи държави за серия от еднократни събития до значителни безвъзмездни средства за </w:t>
      </w:r>
      <w:r>
        <w:rPr>
          <w:rFonts w:ascii="Times New Roman" w:hAnsi="Times New Roman"/>
          <w:noProof/>
          <w:spacing w:val="-6"/>
          <w:sz w:val="24"/>
        </w:rPr>
        <w:lastRenderedPageBreak/>
        <w:t>оперативни разходи, позволяващи на НПО да преследват насочени към гражданите цели на политическо и институционално равнище</w:t>
      </w:r>
      <w:r>
        <w:rPr>
          <w:rFonts w:ascii="Times New Roman" w:hAnsi="Times New Roman"/>
          <w:noProof/>
          <w:spacing w:val="-6"/>
          <w:sz w:val="24"/>
          <w:vertAlign w:val="superscript"/>
        </w:rPr>
        <w:footnoteReference w:id="6"/>
      </w:r>
      <w:r>
        <w:rPr>
          <w:rFonts w:ascii="Times New Roman" w:hAnsi="Times New Roman"/>
          <w:noProof/>
          <w:spacing w:val="-6"/>
          <w:sz w:val="24"/>
        </w:rPr>
        <w:t xml:space="preserve"> (вж. примерите в приложението).</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3.4.</w:t>
      </w:r>
      <w:r>
        <w:rPr>
          <w:noProof/>
        </w:rPr>
        <w:tab/>
      </w:r>
      <w:r>
        <w:rPr>
          <w:rFonts w:ascii="Times New Roman" w:hAnsi="Times New Roman"/>
          <w:b/>
          <w:noProof/>
          <w:sz w:val="24"/>
        </w:rPr>
        <w:t>Въздействие върху участващите организации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спомогна за ускоряване на движението за побратимяване на градове чрез насърчаване на градовете и общините към по-тематичен и по-обвързан с политиката начин на мислене. Мрежите от побратимени градове бяха нова мярка, въведена от Комисията скоро след началото на програмата „Европа за гражданите“ (2007—2013 г.), за допълване на традиционната мярка за побратимяване на градове чрез нов вид по-мащабни проекти с цел да се увеличи тяхното въздействие и устойчивост. Това само по себе си бе иновация и предостави на участващите градове възможността да изградят трайни връзки, да постигнат значителни резултати и да се ангажират с процесите на разработване на политики. По този начин броят на заявленията по мярката „Мрежи от побратимени градове“ се увеличи с повече от 50 % между 2007 и 2013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бе насочена към организации на гражданското общество чрез безвъзмездни средства за оперативни разходи и финансиране на проекти. Тя достигна до редица организации, занимаващи се изключително с въпроси, свързани с ЕС, които се опитват да достигнат до активните граждани по редица различни начини. Това осигури постоянното внимание към съответните райони и присъствието на хора с независимо мнение по време на разискванията на политиката на ЕС. Освен това участието в програмата позволява на организациите на гражданското общество и техните партньори да натрупат капацитет и международен опит, да се учат едни от други и в някои случаи да формират устойчиви мрежи.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Паметта за миналото придоби все по-отчетливо присъствие по време на програмата. При проектите във връзка с Холокоста и геноцида, които са чувствителни теми, намесата на Комисията добави съществена стойност към дебата чрез насърчаване на свободния обмен и разглеждането на други гледни точки.</w:t>
      </w:r>
    </w:p>
    <w:p>
      <w:pPr>
        <w:spacing w:after="100"/>
        <w:jc w:val="both"/>
        <w:rPr>
          <w:rFonts w:ascii="Times New Roman" w:eastAsia="Calibri"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after="100"/>
              <w:jc w:val="both"/>
              <w:rPr>
                <w:rFonts w:ascii="Times New Roman" w:eastAsia="Calibri" w:hAnsi="Times New Roman" w:cs="Times New Roman"/>
                <w:b/>
                <w:noProof/>
                <w:spacing w:val="-6"/>
                <w:sz w:val="24"/>
                <w:szCs w:val="24"/>
              </w:rPr>
            </w:pPr>
            <w:r>
              <w:rPr>
                <w:rFonts w:ascii="Times New Roman" w:hAnsi="Times New Roman"/>
                <w:b/>
                <w:noProof/>
                <w:spacing w:val="-6"/>
                <w:sz w:val="24"/>
              </w:rPr>
              <w:t xml:space="preserve">През периода 2007—2013 г. програмата „Европа за гражданите“ имаше близо 7 милиона преки участници. </w:t>
            </w:r>
          </w:p>
          <w:p>
            <w:pPr>
              <w:spacing w:after="100"/>
              <w:jc w:val="both"/>
              <w:rPr>
                <w:rFonts w:ascii="Times New Roman" w:eastAsia="Calibri" w:hAnsi="Times New Roman" w:cs="Times New Roman"/>
                <w:noProof/>
                <w:sz w:val="24"/>
                <w:szCs w:val="24"/>
              </w:rPr>
            </w:pPr>
            <w:r>
              <w:rPr>
                <w:rFonts w:ascii="Times New Roman" w:hAnsi="Times New Roman"/>
                <w:b/>
                <w:noProof/>
                <w:spacing w:val="-6"/>
                <w:sz w:val="24"/>
              </w:rPr>
              <w:t>Програмата достигна до почти 25 000 малки и големи градове в Европа и създаде 350 мрежи от градове, обединени от общи проблеми. 4 250 организации на гражданското общество бяха мобилизирани, за да се отговори на опасенията на гражданите. Повече от 500 организации взеха участие във възпоменателни дейности по отношение на гражданите</w:t>
            </w:r>
            <w:r>
              <w:rPr>
                <w:rFonts w:ascii="Times New Roman" w:hAnsi="Times New Roman"/>
                <w:noProof/>
                <w:spacing w:val="-6"/>
                <w:sz w:val="24"/>
              </w:rPr>
              <w:t>.</w:t>
            </w:r>
          </w:p>
        </w:tc>
      </w:tr>
    </w:tbl>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Въздействие върху процеса на изготвяне на политиките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постигането на въздействие върху политиките, програмата успя да разшири своя обхват и да ангажира гражданите на местно и регионално равнище. Сравнително слабо вероятно бе обаче малките проекти, насочени към гражданите на местно равнище, да съдържат необходимите експертен опит и амбиция, за да се повлияе на политиката. По отношение на по-мащабните проекти като мрежите от побратимени градове, проектите на гражданското общество и мерките за подкрепа, те </w:t>
      </w:r>
      <w:r>
        <w:rPr>
          <w:rFonts w:ascii="Times New Roman" w:hAnsi="Times New Roman"/>
          <w:noProof/>
          <w:sz w:val="24"/>
        </w:rPr>
        <w:lastRenderedPageBreak/>
        <w:t xml:space="preserve">представляваха начин за влияние върху политиката чрез въвличане на гражданите, но трудно достигат до хората, които вече не са активно ангажирани.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Също така можа да бъде постигнато потенциално въздействие , когато беше възможно да се създадат връзки с процеса на изготвяне на политики. Целта на безвъзмездните средства за оперативни разходи и проектите на гражданското общество бе да повлияят на политическите процеси на европейско равнище и това бе постигнато отчасти в зависимост от техните конкретни механизми, целеви групи и методи. Решаваща роля оказаха фактори като създаването на устойчиви мрежи (например Алианса за Европейската година на гражданите (EYCA) и привличането на конкретни целеви групи (например деца, млади хора или групи в неравностойно положение като хората от отдалечени селски райони)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програмата допринесе за изготвянето на политики на равнище ЕС чрез т.нар. </w:t>
      </w:r>
      <w:r>
        <w:rPr>
          <w:rFonts w:ascii="Times New Roman" w:hAnsi="Times New Roman"/>
          <w:i/>
          <w:noProof/>
          <w:sz w:val="24"/>
        </w:rPr>
        <w:t>структуриран диалог</w:t>
      </w:r>
      <w:r>
        <w:rPr>
          <w:rFonts w:ascii="Times New Roman" w:hAnsi="Times New Roman"/>
          <w:noProof/>
          <w:sz w:val="24"/>
          <w:vertAlign w:val="superscript"/>
        </w:rPr>
        <w:footnoteReference w:id="7"/>
      </w:r>
      <w:r>
        <w:rPr>
          <w:rFonts w:ascii="Times New Roman" w:hAnsi="Times New Roman"/>
          <w:noProof/>
          <w:sz w:val="24"/>
        </w:rPr>
        <w:t xml:space="preserve">, който осигури наличието на независими представители на гражданското общество в дебатите на ЕС, извърши проучване по въпроси, свързани с гражданството, и предложи форум за диалог с Комисията и други институции.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Влиянието върху политиките бе осезаемо по време на Европейската година на доброволческата дейност (2011 г.) и Европейската година на гражданите (2013 г.), когато проекти, финансирани по програмата, допринесоха за повишаване на осведомеността относно ролята на ЕС в областта на доброволческата дейност и гражданството и по този начин създадоха взаимодействия с политическия дневен ред на Европа в тези области.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 w:name="3"/>
      <w:bookmarkEnd w:id="2"/>
      <w:r>
        <w:rPr>
          <w:rFonts w:ascii="Times New Roman" w:hAnsi="Times New Roman"/>
          <w:b/>
          <w:smallCaps/>
          <w:noProof/>
          <w:sz w:val="24"/>
        </w:rPr>
        <w:t>4.</w:t>
      </w:r>
      <w:r>
        <w:rPr>
          <w:noProof/>
        </w:rPr>
        <w:tab/>
      </w:r>
      <w:r>
        <w:rPr>
          <w:rFonts w:ascii="Times New Roman" w:hAnsi="Times New Roman"/>
          <w:b/>
          <w:smallCaps/>
          <w:noProof/>
          <w:sz w:val="24"/>
        </w:rPr>
        <w:t xml:space="preserve">Заключения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„Европа за гражданите“ за периода 2007—2013 г. предизвика голям интерес сред гражданите, както ясно показва и постоянното нарастване на броя на заявленията. Гражданите желаят да участват в обсъжданията и да изразят мненията си относно политиките на ЕС, които оказват влияние върху ежедневието им. Тъй като счита, че европейското гражданство е важен елемент в засилването и опазването на процеса на европейска интеграция, Европейската комисия използва програмата, за да предостави тази възможност на гражданите и в по-общ план — да насърчи ангажирането им с европейския проект. Този подход се основава на идеята, че участието помага за засилване на осведомеността по въпросите, свързани с ЕС, като подобрява взаимното разбиране и идентифицирането с Европа и следователно допринася за укрепването на дългосрочния процес на европейската интеграция.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Въпреки че дългосрочното въздействие на програмата е трудно за оценяване, тя ефективно насърчава гражданското участие и демократичната ангажираност и достигна до голям брой граждани, които иначе нямаше да бъдат ангажирани с европейския проект. Като единствена програма на ЕС, насочена пряко към гражданите, програмата „Европа за гражданите“ предостави уникален форум за ангажиране на обикновените граждани в ЕС чрез подхода „отдолу нагоре“. През последните три години на програмата въздействието ѝ бе значително увеличено поради това, че проектите бяха с по-високо качество и по-големи мащаби, с по-тесни връзки с основните теми, свързани с гражданството и гражданското участие, и че много хора участваха за първи път в програмата . В бъдеще, и като се вземат предвид бюджетните изисквания, програмата </w:t>
      </w:r>
      <w:r>
        <w:rPr>
          <w:rFonts w:ascii="Times New Roman" w:hAnsi="Times New Roman"/>
          <w:noProof/>
          <w:sz w:val="24"/>
        </w:rPr>
        <w:lastRenderedPageBreak/>
        <w:t xml:space="preserve">ще продължи да се развива с оглед да се постигне максимално въздействие и финансирането ѝ ще продължи да се разпределя , като се съсредоточава стратегически върху дейности, насочени директно към гражданите.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Междинната оценка на програмата приемник „Европа за гражданите“ за периода 2014—2020 г., която се очаква да бъде готова през декември 2017 г., ще бъде използвана, за да се провери до каква степен препоръките, указани в последващата оценка, са били изпълнени.</w:t>
      </w:r>
    </w:p>
    <w:p>
      <w:pPr>
        <w:spacing w:before="120" w:after="120" w:line="240" w:lineRule="auto"/>
        <w:jc w:val="both"/>
        <w:rPr>
          <w:rFonts w:ascii="Times New Roman" w:eastAsia="Times New Roman" w:hAnsi="Times New Roman" w:cs="Times New Roman"/>
          <w:noProof/>
          <w:sz w:val="24"/>
          <w:szCs w:val="24"/>
        </w:rPr>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2"/>
          <w:cols w:space="720"/>
          <w:docGrid w:linePitch="360"/>
        </w:sectPr>
      </w:pPr>
      <w:r>
        <w:rPr>
          <w:rFonts w:ascii="Times New Roman" w:hAnsi="Times New Roman"/>
          <w:noProof/>
          <w:sz w:val="24"/>
        </w:rPr>
        <w:t xml:space="preserve">      </w:t>
      </w:r>
    </w:p>
    <w:p>
      <w:pPr>
        <w:spacing w:before="120" w:after="120" w:line="240" w:lineRule="auto"/>
        <w:jc w:val="center"/>
        <w:rPr>
          <w:rFonts w:ascii="Times New Roman" w:eastAsia="Times New Roman" w:hAnsi="Times New Roman" w:cs="Times New Roman"/>
          <w:b/>
          <w:noProof/>
          <w:sz w:val="24"/>
          <w:szCs w:val="24"/>
          <w:u w:val="single"/>
        </w:rPr>
      </w:pPr>
      <w:r>
        <w:rPr>
          <w:rFonts w:ascii="Times New Roman" w:hAnsi="Times New Roman"/>
          <w:b/>
          <w:noProof/>
          <w:sz w:val="24"/>
          <w:u w:val="single"/>
        </w:rPr>
        <w:lastRenderedPageBreak/>
        <w:t xml:space="preserve">ПРИЛОЖЕНИЕ </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ПРИЛОЖЕНИЕ 1:</w:t>
      </w:r>
      <w:r>
        <w:rPr>
          <w:noProof/>
        </w:rPr>
        <w:tab/>
      </w:r>
      <w:r>
        <w:rPr>
          <w:rFonts w:ascii="Times New Roman" w:hAnsi="Times New Roman"/>
          <w:b/>
          <w:smallCaps/>
          <w:noProof/>
          <w:sz w:val="24"/>
        </w:rPr>
        <w:t>Програмата „Европа за гражданите“: Примери за проекти с добри практики</w:t>
      </w:r>
    </w:p>
    <w:p>
      <w:pPr>
        <w:keepNext/>
        <w:spacing w:before="360" w:after="120" w:line="240" w:lineRule="auto"/>
        <w:ind w:left="1440" w:hanging="144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Побратимяване на градове и мрежи от побратимени градове</w:t>
      </w:r>
    </w:p>
    <w:p>
      <w:pPr>
        <w:spacing w:after="240" w:line="240" w:lineRule="auto"/>
        <w:rPr>
          <w:rFonts w:ascii="Times New Roman" w:eastAsia="Times New Roman" w:hAnsi="Times New Roman" w:cs="Times New Roman"/>
          <w:noProof/>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Доброволчество за Европа EUR-VOL</w:t>
            </w:r>
          </w:p>
          <w:p>
            <w:pPr>
              <w:spacing w:after="0" w:line="240" w:lineRule="auto"/>
              <w:jc w:val="center"/>
              <w:rPr>
                <w:rFonts w:ascii="Times New Roman" w:eastAsia="Times New Roman" w:hAnsi="Times New Roman" w:cs="Times New Roman"/>
                <w:b/>
                <w:i/>
                <w:noProof/>
                <w:sz w:val="24"/>
                <w:szCs w:val="24"/>
                <w:u w:val="single"/>
              </w:rPr>
            </w:pPr>
          </w:p>
          <w:p>
            <w:pPr>
              <w:spacing w:after="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По време на Европейската година на доброволческата дейност (2011 г.) град Трогир в Хърватия посрещна делегати от седем европейски градове партньори за четиридневно събитие, посветено на ценния принос на доброволческите дейности с цел повишаване на обществената осведоменост, ангажираността и по-доброто разбиране на приноса, който доброволческите организации предоставят на обществото. Конференцията положи основите за създаване на нови мрежи за сътрудничество и общи доброволческите дейности в областта на околната среда, изкуството и изучаването на езици. В края на конференцията представителите на градовете подписаха официален меморандуми за сътрудничество.</w:t>
            </w:r>
          </w:p>
          <w:p>
            <w:pPr>
              <w:spacing w:after="0" w:line="240" w:lineRule="auto"/>
              <w:jc w:val="both"/>
              <w:rPr>
                <w:rFonts w:ascii="Times New Roman" w:eastAsia="Times New Roman" w:hAnsi="Times New Roman" w:cs="Times New Roman"/>
                <w:noProof/>
                <w:sz w:val="24"/>
                <w:szCs w:val="24"/>
              </w:rPr>
            </w:pPr>
          </w:p>
        </w:tc>
      </w:tr>
    </w:tbl>
    <w:p>
      <w:pPr>
        <w:spacing w:after="240" w:line="240" w:lineRule="auto"/>
        <w:rPr>
          <w:rFonts w:ascii="Times New Roman" w:eastAsia="Times New Roman" w:hAnsi="Times New Roman" w:cs="Times New Roman"/>
          <w:noProof/>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Харта на европейските селски общности</w:t>
            </w:r>
          </w:p>
          <w:p>
            <w:pPr>
              <w:spacing w:after="0" w:line="240" w:lineRule="auto"/>
              <w:jc w:val="center"/>
              <w:rPr>
                <w:rFonts w:ascii="Times New Roman" w:eastAsia="Times New Roman" w:hAnsi="Times New Roman" w:cs="Times New Roman"/>
                <w:b/>
                <w:i/>
                <w:noProof/>
                <w:sz w:val="24"/>
                <w:szCs w:val="24"/>
                <w:u w:val="single"/>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От 1989 г. насам Хартата на европейските селски общности обедини 28 селски общности от всички 28 държави — членки на ЕС. Тази широка мрежа се съсредоточи върху „условията за живот в европейските общности“ и изследва различните им аспекти, включително образование, заетост, интеграция на хората с увреждания, участие в демокрацията на местно равнище и участие на младите хора в общностния живот. Мотото на Хартата е „хора срещат хора“ и това е отразено в начина, по който са организирани срещи между членовете на Хартата. Всяка година се организира основна среща на мрежата, придружена от специализирани тематични срещи за определени целеви групи. Един от резултатите на проекта e преглед на начина, по който участието в местната демокрация е организирано в различни европейски държави.</w:t>
            </w:r>
          </w:p>
          <w:p>
            <w:pPr>
              <w:spacing w:after="0" w:line="240" w:lineRule="auto"/>
              <w:jc w:val="both"/>
              <w:rPr>
                <w:rFonts w:ascii="Times New Roman" w:eastAsia="Times New Roman" w:hAnsi="Times New Roman" w:cs="Times New Roman"/>
                <w:noProof/>
                <w:sz w:val="24"/>
                <w:szCs w:val="24"/>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Проекти на гражданското общество</w:t>
      </w:r>
    </w:p>
    <w:p>
      <w:pPr>
        <w:spacing w:after="240" w:line="240" w:lineRule="auto"/>
        <w:rPr>
          <w:rFonts w:ascii="Times New Roman" w:eastAsia="Times New Roman" w:hAnsi="Times New Roman" w:cs="Times New Roman"/>
          <w:noProof/>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Вълни на законността, вълни на активната гражданска позиция</w:t>
            </w:r>
          </w:p>
          <w:p>
            <w:pPr>
              <w:spacing w:after="0" w:line="240" w:lineRule="auto"/>
              <w:jc w:val="center"/>
              <w:rPr>
                <w:rFonts w:ascii="Times New Roman" w:eastAsia="Times New Roman" w:hAnsi="Times New Roman" w:cs="Times New Roman"/>
                <w:b/>
                <w:i/>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2011 г. италианската фондация </w:t>
            </w:r>
            <w:r>
              <w:rPr>
                <w:rFonts w:ascii="Times New Roman" w:hAnsi="Times New Roman"/>
                <w:i/>
                <w:noProof/>
                <w:sz w:val="24"/>
              </w:rPr>
              <w:t>„Giovanni e Francesca Falcone“</w:t>
            </w:r>
            <w:r>
              <w:rPr>
                <w:rFonts w:ascii="Times New Roman" w:hAnsi="Times New Roman"/>
                <w:noProof/>
                <w:sz w:val="24"/>
              </w:rPr>
              <w:t xml:space="preserve">, заедно с партньорски организации от четири други държави, организира две международни прояви, насочени към засилване на ролята на организираното гражданско общество в борбата с престъпленията и тяхното предотвратяване. На международна конференция, организирана в Париж, бе разгледана ролята на младежта. Повече от 2 000 млади хора имаха възможност да се качат на </w:t>
            </w:r>
            <w:r>
              <w:rPr>
                <w:rFonts w:ascii="Times New Roman" w:hAnsi="Times New Roman"/>
                <w:i/>
                <w:noProof/>
                <w:sz w:val="24"/>
              </w:rPr>
              <w:t>Кораба на законността</w:t>
            </w:r>
            <w:r>
              <w:rPr>
                <w:rFonts w:ascii="Times New Roman" w:hAnsi="Times New Roman"/>
                <w:noProof/>
                <w:sz w:val="24"/>
              </w:rPr>
              <w:t xml:space="preserve">, пътуващ от Неапол до Палермо, и да участват в събиранията, организирани в градовете. Проектът получи отлично медийно отразяване и допринесе за повишаване на обществената осведоменост за ролята на гражданското общество при предотвратяването на организираната престъпност и борбата с нея. </w:t>
            </w:r>
          </w:p>
          <w:p>
            <w:pPr>
              <w:spacing w:after="0" w:line="240" w:lineRule="auto"/>
              <w:jc w:val="both"/>
              <w:rPr>
                <w:rFonts w:ascii="Times New Roman" w:eastAsia="Times New Roman" w:hAnsi="Times New Roman" w:cs="Times New Roman"/>
                <w:noProof/>
                <w:sz w:val="16"/>
                <w:szCs w:val="16"/>
              </w:rPr>
            </w:pP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keepNext/>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Проекти за европейската памет за миналото</w:t>
      </w:r>
    </w:p>
    <w:p>
      <w:pPr>
        <w:spacing w:after="240" w:line="240" w:lineRule="auto"/>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trPr>
          <w:trHeight w:val="70"/>
        </w:trPr>
        <w:tc>
          <w:tcPr>
            <w:tcW w:w="9360" w:type="dxa"/>
            <w:shd w:val="clear" w:color="auto" w:fill="auto"/>
          </w:tcPr>
          <w:p>
            <w:pPr>
              <w:spacing w:after="0" w:line="240" w:lineRule="auto"/>
              <w:jc w:val="center"/>
              <w:rPr>
                <w:rFonts w:ascii="Times New Roman" w:eastAsia="Times New Roman" w:hAnsi="Times New Roman" w:cs="Times New Roman"/>
                <w:b/>
                <w:i/>
                <w:noProof/>
                <w:sz w:val="24"/>
                <w:szCs w:val="24"/>
                <w:u w:val="single"/>
              </w:rPr>
            </w:pPr>
            <w:r>
              <w:rPr>
                <w:rFonts w:ascii="Times New Roman" w:hAnsi="Times New Roman"/>
                <w:b/>
                <w:i/>
                <w:noProof/>
                <w:sz w:val="24"/>
                <w:u w:val="single"/>
              </w:rPr>
              <w:t>Влак на паметта за миналото</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„Влакът на паметта за миналото“ е проект посветен на децата и младежите от много европейски държави, които са били депортирани в концентрационни лагери и лагери на смъртта по време на Втората световна война. Изложбата, състояла се в истински вагони, теглени от парна машина, показва биографиите на младите жертви от осем европейски държави. Тя отдава почит на помощта, предоставена от съюзническите анти-нацистки сили, за спасяването на живота на хиляди деца и младежи. Влакът посети над 100 железопътни гари и привлече 380 000 посетители. Изложбата привлече вниманието към определен аспект на Холокоста, а именно депортирането и изтреблението на деца и младежи, и го представи на вниманието на много днешни европейски граждани. </w:t>
            </w:r>
          </w:p>
        </w:tc>
      </w:tr>
    </w:tbl>
    <w:p>
      <w:pPr>
        <w:keepNext/>
        <w:spacing w:before="360" w:after="120" w:line="240" w:lineRule="auto"/>
        <w:jc w:val="both"/>
        <w:outlineLvl w:val="0"/>
        <w:rPr>
          <w:rFonts w:ascii="Times New Roman" w:eastAsia="Times New Roman" w:hAnsi="Times New Roman" w:cs="Times New Roman"/>
          <w:b/>
          <w:smallCaps/>
          <w:noProof/>
          <w:sz w:val="24"/>
          <w:szCs w:val="24"/>
        </w:rPr>
      </w:pP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563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15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ab/>
        <w:t>Решение № 1904/2006/ЕО на Европейския парламент и на Съвета от 12 декември 2006 г. относно създаване на програмата „Европа за гражданите“ за периода 2007—2013 г. за насърчаване на активното европейско гражданство, ОВ L 378, 27.12.2006</w:t>
      </w:r>
      <w:r>
        <w:rPr>
          <w:lang w:val="en-GB"/>
        </w:rPr>
        <w:t> </w:t>
      </w:r>
      <w:r>
        <w:t>г., стр. 32.</w:t>
      </w:r>
    </w:p>
  </w:footnote>
  <w:footnote w:id="3">
    <w:p>
      <w:pPr>
        <w:pStyle w:val="FootnoteText"/>
        <w:rPr>
          <w:spacing w:val="-4"/>
        </w:rPr>
      </w:pPr>
      <w:r>
        <w:rPr>
          <w:rStyle w:val="FootnoteReference"/>
        </w:rPr>
        <w:footnoteRef/>
      </w:r>
      <w:r>
        <w:tab/>
      </w:r>
      <w:r>
        <w:rPr>
          <w:spacing w:val="-4"/>
        </w:rPr>
        <w:t>Последваща оценка на програмата „Европа за гражданите“, Coffey International and Deloitte, 2015</w:t>
      </w:r>
      <w:r>
        <w:rPr>
          <w:spacing w:val="-4"/>
          <w:lang w:val="en-GB"/>
        </w:rPr>
        <w:t> </w:t>
      </w:r>
      <w:r>
        <w:rPr>
          <w:spacing w:val="-4"/>
        </w:rPr>
        <w:t>г.</w:t>
      </w:r>
    </w:p>
  </w:footnote>
  <w:footnote w:id="4">
    <w:p>
      <w:pPr>
        <w:pStyle w:val="FootnoteText"/>
      </w:pPr>
      <w:r>
        <w:rPr>
          <w:rStyle w:val="FootnoteReference"/>
          <w:sz w:val="18"/>
        </w:rPr>
        <w:footnoteRef/>
      </w:r>
      <w:r>
        <w:tab/>
        <w:t>Решение № 2004/100/ЕО на Съвета от 26 януари 2004 г. за създаване на програма за действие на Общността за насърчаване на активното европейско гражданство (гражданско участие).</w:t>
      </w:r>
    </w:p>
  </w:footnote>
  <w:footnote w:id="5">
    <w:p>
      <w:pPr>
        <w:rPr>
          <w:rFonts w:eastAsia="Calibri"/>
          <w:sz w:val="20"/>
          <w:szCs w:val="20"/>
          <w:lang w:eastAsia="en-GB" w:bidi="en-GB"/>
        </w:rPr>
      </w:pPr>
      <w:r>
        <w:rPr>
          <w:rStyle w:val="FootnoteReference"/>
          <w:sz w:val="20"/>
        </w:rPr>
        <w:footnoteRef/>
      </w:r>
      <w:r>
        <w:tab/>
      </w:r>
      <w:r>
        <w:rPr>
          <w:sz w:val="20"/>
        </w:rPr>
        <w:t xml:space="preserve">Следните организации бяха набелязани за структурна подкрепа: </w:t>
      </w:r>
      <w:r>
        <w:rPr>
          <w:i/>
          <w:sz w:val="20"/>
        </w:rPr>
        <w:t>Съветът на европейските общини и региони,</w:t>
      </w:r>
      <w:r>
        <w:rPr>
          <w:sz w:val="20"/>
        </w:rPr>
        <w:t xml:space="preserve"> </w:t>
      </w:r>
      <w:r>
        <w:rPr>
          <w:i/>
          <w:sz w:val="20"/>
        </w:rPr>
        <w:t xml:space="preserve">Организацията за научни изследвания „Нашата Европа“(Groupement d'études et de recherche Notre Europe) </w:t>
      </w:r>
      <w:r>
        <w:rPr>
          <w:sz w:val="20"/>
        </w:rPr>
        <w:t>и</w:t>
      </w:r>
      <w:r>
        <w:rPr>
          <w:i/>
          <w:sz w:val="20"/>
        </w:rPr>
        <w:t xml:space="preserve"> Институтът за европейска политика</w:t>
      </w:r>
      <w:r>
        <w:rPr>
          <w:sz w:val="20"/>
        </w:rPr>
        <w:t xml:space="preserve"> (</w:t>
      </w:r>
      <w:r>
        <w:rPr>
          <w:i/>
          <w:sz w:val="20"/>
        </w:rPr>
        <w:t>Institut für Europäische Politik), Платформата на европейските социални НПО, Европейското движение</w:t>
      </w:r>
      <w:r>
        <w:rPr>
          <w:sz w:val="20"/>
        </w:rPr>
        <w:t xml:space="preserve"> (the </w:t>
      </w:r>
      <w:r>
        <w:rPr>
          <w:i/>
          <w:sz w:val="20"/>
        </w:rPr>
        <w:t xml:space="preserve">European Movement) </w:t>
      </w:r>
      <w:r>
        <w:rPr>
          <w:sz w:val="20"/>
        </w:rPr>
        <w:t xml:space="preserve">и </w:t>
      </w:r>
      <w:r>
        <w:rPr>
          <w:i/>
          <w:sz w:val="20"/>
        </w:rPr>
        <w:t>Европейският съвет за бежанците и изгнаниците</w:t>
      </w:r>
      <w:r>
        <w:rPr>
          <w:sz w:val="20"/>
        </w:rPr>
        <w:t xml:space="preserve"> , </w:t>
      </w:r>
      <w:r>
        <w:rPr>
          <w:i/>
          <w:sz w:val="20"/>
        </w:rPr>
        <w:t>асоциацията „Жан Моне“</w:t>
      </w:r>
      <w:r>
        <w:rPr>
          <w:sz w:val="20"/>
        </w:rPr>
        <w:t xml:space="preserve">, </w:t>
      </w:r>
      <w:r>
        <w:rPr>
          <w:i/>
          <w:sz w:val="20"/>
        </w:rPr>
        <w:t>европейският център „Роберт Шуман“</w:t>
      </w:r>
      <w:r>
        <w:rPr>
          <w:sz w:val="20"/>
        </w:rPr>
        <w:t xml:space="preserve"> (</w:t>
      </w:r>
      <w:r>
        <w:rPr>
          <w:i/>
          <w:sz w:val="20"/>
        </w:rPr>
        <w:t>Centre</w:t>
      </w:r>
      <w:r>
        <w:rPr>
          <w:sz w:val="20"/>
        </w:rPr>
        <w:t xml:space="preserve"> </w:t>
      </w:r>
      <w:r>
        <w:rPr>
          <w:i/>
          <w:sz w:val="20"/>
        </w:rPr>
        <w:t>Européen Robert Schuman</w:t>
      </w:r>
      <w:r>
        <w:rPr>
          <w:sz w:val="20"/>
        </w:rPr>
        <w:t>) и „Европейски домове“</w:t>
      </w:r>
      <w:r>
        <w:rPr>
          <w:i/>
          <w:sz w:val="20"/>
        </w:rPr>
        <w:t>(Maisons d'Europe).</w:t>
      </w:r>
    </w:p>
    <w:p>
      <w:pPr>
        <w:pStyle w:val="FootnoteText"/>
      </w:pPr>
    </w:p>
  </w:footnote>
  <w:footnote w:id="6">
    <w:p>
      <w:pPr>
        <w:pStyle w:val="FootnoteText"/>
        <w:rPr>
          <w:spacing w:val="-6"/>
        </w:rPr>
      </w:pPr>
      <w:r>
        <w:rPr>
          <w:rStyle w:val="FootnoteReference"/>
        </w:rPr>
        <w:footnoteRef/>
      </w:r>
      <w:r>
        <w:tab/>
      </w:r>
      <w:r>
        <w:rPr>
          <w:spacing w:val="-6"/>
        </w:rPr>
        <w:t xml:space="preserve">Ecorys, </w:t>
      </w:r>
      <w:r>
        <w:rPr>
          <w:i/>
          <w:spacing w:val="-6"/>
        </w:rPr>
        <w:t>Междинна оценка на програмата „Европа за гражданите“ за периода 2007-2013 г.,</w:t>
      </w:r>
      <w:r>
        <w:rPr>
          <w:spacing w:val="-6"/>
        </w:rPr>
        <w:t xml:space="preserve"> 2011 г.</w:t>
      </w:r>
    </w:p>
  </w:footnote>
  <w:footnote w:id="7">
    <w:p>
      <w:pPr>
        <w:pStyle w:val="FootnoteText"/>
      </w:pPr>
      <w:r>
        <w:rPr>
          <w:rStyle w:val="FootnoteReference"/>
        </w:rPr>
        <w:footnoteRef/>
      </w:r>
      <w:r>
        <w:tab/>
      </w:r>
      <w:r>
        <w:rPr>
          <w:i/>
        </w:rPr>
        <w:t>Структурираният диалог</w:t>
      </w:r>
      <w:r>
        <w:t xml:space="preserve"> се състои от редовни срещи между службите на Комисията и около 50 ключови европейски организации, които участват активно в програмата, с цел обсъждане на всички въпроси, свързани с тази програма и нейното прилагане.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78"/>
    <w:multiLevelType w:val="hybridMultilevel"/>
    <w:tmpl w:val="7E2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A707B9"/>
    <w:multiLevelType w:val="hybridMultilevel"/>
    <w:tmpl w:val="D042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815117"/>
    <w:multiLevelType w:val="hybridMultilevel"/>
    <w:tmpl w:val="7206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8978DF61614F7980411FEBA97BFF10"/>
    <w:docVar w:name="LW_CROSSREFERENCE" w:val="{SWD(2015) 286 final}_x000b_{SWD(2015) 287 final}"/>
    <w:docVar w:name="LW_DocType" w:val="NORMAL"/>
    <w:docVar w:name="LW_EMISSION" w:val="16.12.2015"/>
    <w:docVar w:name="LW_EMISSION_ISODATE" w:val="2015-12-16"/>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52"/>
    <w:docVar w:name="LW_REF.INTERNE" w:val="&lt;UNUSED&gt;"/>
    <w:docVar w:name="LW_SOUS.TITRE.OBJ.CP" w:val="&lt;UNUSED&gt;"/>
    <w:docVar w:name="LW_SUPERTITRE" w:val="&lt;UNUSED&gt;"/>
    <w:docVar w:name="LW_TITRE.OBJ.CP" w:val="\u1086?\u1090?\u1085?\u1086?\u1089?\u1085?\u1086? \u1080?\u1079?\u1087?\u1098?\u1083?\u1085?\u1077?\u1085?\u1080?\u1077?\u1090?\u1086?, \u1088?\u1077?\u1079?\u1091?\u1083?\u1090?\u1072?\u1090?\u1080?\u1090?\u1077? \u1080? \u1086?\u1073?\u1097?\u1072?\u1090?\u1072? \u1086?\u1094?\u1077?\u1085?\u1082?\u1072? \u1085?\u1072? \u1087?\u1088?\u1086?\u1075?\u1088?\u1072?\u1084?\u1072?\u1090?\u1072? \u8222?\u1045?\u1074?\u1088?\u1086?\u1087?\u1072? \u1079?\u1072? \u1075?\u1088?\u1072?\u1078?\u1076?\u1072?\u1085?\u1080?\u1090?\u1077?\u8220? (2007\u8212?2013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Footnote reference numbe,callout"/>
    <w:uiPriority w:val="99"/>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AEF6-7B3C-4223-B8EB-8D0F6885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4025</Words>
  <Characters>23671</Characters>
  <Application>Microsoft Office Word</Application>
  <DocSecurity>0</DocSecurity>
  <Lines>430</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60</cp:revision>
  <cp:lastPrinted>2015-11-25T13:57:00Z</cp:lastPrinted>
  <dcterms:created xsi:type="dcterms:W3CDTF">2015-11-25T13:58:00Z</dcterms:created>
  <dcterms:modified xsi:type="dcterms:W3CDTF">2015-12-09T15:15:00Z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