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D3BD19F639E449797BFEB4E4CFF7D51" style="width:450.8pt;height:320.5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spacing w:before="360" w:after="0" w:line="240" w:lineRule="auto"/>
        <w:jc w:val="center"/>
        <w:rPr>
          <w:rFonts w:ascii="Times New Roman" w:eastAsia="Calibri" w:hAnsi="Times New Roman" w:cs="Times New Roman"/>
          <w:b/>
          <w:noProof/>
          <w:sz w:val="24"/>
        </w:rPr>
      </w:pPr>
      <w:bookmarkStart w:id="1" w:name="_GoBack"/>
      <w:bookmarkEnd w:id="1"/>
      <w:r>
        <w:rPr>
          <w:rFonts w:ascii="Times New Roman" w:hAnsi="Times New Roman"/>
          <w:b/>
          <w:noProof/>
          <w:sz w:val="24"/>
        </w:rPr>
        <w:lastRenderedPageBreak/>
        <w:t>ДОКЛАД НА КОМИСИЯТА ДО ЕВРОПЕЙСКИЯ ПАРЛАМЕНТ И СЪВЕТА</w:t>
      </w:r>
    </w:p>
    <w:p>
      <w:pPr>
        <w:spacing w:before="360" w:after="360" w:line="240" w:lineRule="auto"/>
        <w:jc w:val="center"/>
        <w:rPr>
          <w:rFonts w:ascii="Times New Roman" w:eastAsia="Calibri" w:hAnsi="Times New Roman" w:cs="Times New Roman"/>
          <w:b/>
          <w:noProof/>
          <w:sz w:val="24"/>
        </w:rPr>
      </w:pPr>
      <w:r>
        <w:rPr>
          <w:rFonts w:ascii="Times New Roman" w:hAnsi="Times New Roman"/>
          <w:b/>
          <w:noProof/>
          <w:sz w:val="24"/>
        </w:rPr>
        <w:t>относно упражняването на правомощието за приемане на делегирани актове, предоставено на Комисията съгласно Директива 2004/109/ЕО от 15 декември 2004 г.</w:t>
      </w:r>
    </w:p>
    <w:p>
      <w:pPr>
        <w:rPr>
          <w:rFonts w:ascii="Times New Roman" w:hAnsi="Times New Roman" w:cs="Times New Roman"/>
          <w:noProof/>
          <w:sz w:val="24"/>
          <w:szCs w:val="24"/>
        </w:rPr>
      </w:pPr>
    </w:p>
    <w:p>
      <w:pPr>
        <w:pStyle w:val="ListParagraph"/>
        <w:numPr>
          <w:ilvl w:val="0"/>
          <w:numId w:val="4"/>
        </w:numPr>
        <w:jc w:val="both"/>
        <w:rPr>
          <w:rFonts w:ascii="Times New Roman" w:hAnsi="Times New Roman" w:cs="Times New Roman"/>
          <w:b/>
          <w:noProof/>
          <w:sz w:val="24"/>
          <w:szCs w:val="24"/>
        </w:rPr>
      </w:pPr>
      <w:r>
        <w:rPr>
          <w:rFonts w:ascii="Times New Roman" w:hAnsi="Times New Roman"/>
          <w:b/>
          <w:noProof/>
          <w:sz w:val="24"/>
        </w:rPr>
        <w:t>Въведение</w:t>
      </w:r>
    </w:p>
    <w:p>
      <w:pPr>
        <w:jc w:val="both"/>
        <w:rPr>
          <w:rFonts w:ascii="Times New Roman" w:hAnsi="Times New Roman" w:cs="Times New Roman"/>
          <w:noProof/>
          <w:sz w:val="24"/>
          <w:szCs w:val="24"/>
        </w:rPr>
      </w:pPr>
      <w:r>
        <w:rPr>
          <w:rFonts w:ascii="Times New Roman" w:hAnsi="Times New Roman"/>
          <w:noProof/>
          <w:sz w:val="24"/>
        </w:rPr>
        <w:t>С Директива 2004/109/ЕО на Европейския парламент и на Съвета от 15 декември 2004 г. относно хармонизиране на изискванията за прозрачност по отношение на информацията за издателите, чиито ценни книжа са допуснати за търгуване на регулиран пазар, и за изменение на Директива 2001/34/ЕО</w:t>
      </w:r>
      <w:r>
        <w:rPr>
          <w:rStyle w:val="FootnoteReference"/>
          <w:rFonts w:ascii="Times New Roman" w:hAnsi="Times New Roman"/>
          <w:noProof/>
          <w:sz w:val="24"/>
        </w:rPr>
        <w:footnoteReference w:id="1"/>
      </w:r>
      <w:r>
        <w:rPr>
          <w:rFonts w:ascii="Times New Roman" w:hAnsi="Times New Roman"/>
          <w:noProof/>
          <w:sz w:val="24"/>
        </w:rPr>
        <w:t xml:space="preserve"> бяха утвърдени изисквания за оповестяването на периодична и текуща информация за издателите, чиито ценни книжа са допуснати за търгуване на регулиран пазар в ЕС. </w:t>
      </w:r>
    </w:p>
    <w:p>
      <w:pPr>
        <w:jc w:val="both"/>
        <w:rPr>
          <w:rFonts w:ascii="Times New Roman" w:hAnsi="Times New Roman" w:cs="Times New Roman"/>
          <w:noProof/>
          <w:sz w:val="24"/>
          <w:szCs w:val="24"/>
        </w:rPr>
      </w:pPr>
      <w:r>
        <w:rPr>
          <w:rFonts w:ascii="Times New Roman" w:hAnsi="Times New Roman"/>
          <w:noProof/>
          <w:sz w:val="24"/>
        </w:rPr>
        <w:t xml:space="preserve">Директива 2010/78/ЕС от 24 ноември 2010 г. измени Директива 2004/109/ЕО и предостави правомощия на Комисията да приема делегирани актове, както е посочено в член 2, параграф 3, член 5, параграф 6, член 9, параграф 7, член 12, параграф 8, член 13, параграф 2, член 14, параграф 2, член 17, параграф 4, член 18, параграф 5, член 19, параграф 4, член 21, параграф 4, член 23, параграф 4, член 23, параграф 5, член 23, параграф 7 от Директива 2004/109/ЕО. Тези правомощия са предоставени на Комисията за срок от 4 години, считано от 4 януари 2011 г., т.е. до 3 януари 2015 г. </w:t>
      </w:r>
    </w:p>
    <w:p>
      <w:pPr>
        <w:pStyle w:val="ListParagraph"/>
        <w:numPr>
          <w:ilvl w:val="0"/>
          <w:numId w:val="4"/>
        </w:numPr>
        <w:jc w:val="both"/>
        <w:rPr>
          <w:rFonts w:ascii="Times New Roman" w:hAnsi="Times New Roman" w:cs="Times New Roman"/>
          <w:b/>
          <w:noProof/>
          <w:sz w:val="24"/>
          <w:szCs w:val="24"/>
        </w:rPr>
      </w:pPr>
      <w:r>
        <w:rPr>
          <w:rFonts w:ascii="Times New Roman" w:hAnsi="Times New Roman"/>
          <w:b/>
          <w:noProof/>
          <w:sz w:val="24"/>
        </w:rPr>
        <w:t xml:space="preserve">Правно основание </w:t>
      </w:r>
    </w:p>
    <w:p>
      <w:pPr>
        <w:jc w:val="both"/>
        <w:rPr>
          <w:rFonts w:ascii="Times New Roman" w:hAnsi="Times New Roman" w:cs="Times New Roman"/>
          <w:noProof/>
          <w:sz w:val="24"/>
          <w:szCs w:val="24"/>
        </w:rPr>
      </w:pPr>
      <w:r>
        <w:rPr>
          <w:rFonts w:ascii="Times New Roman" w:hAnsi="Times New Roman"/>
          <w:noProof/>
          <w:sz w:val="24"/>
        </w:rPr>
        <w:t xml:space="preserve">Настоящият доклад се изисква съгласно член 27, параграф 2а от Директива 2004/109/ЕО. В съответствие с този член Комисията изготвя доклад във връзка с делегирането на правомощия в последните шест месеца преди края на четиригодишния период. Настоящият доклад обхваща периода от 4 януари 2011 г. до 3 октомври 2015 г. </w:t>
      </w:r>
    </w:p>
    <w:p>
      <w:pPr>
        <w:pStyle w:val="ListParagraph"/>
        <w:numPr>
          <w:ilvl w:val="0"/>
          <w:numId w:val="4"/>
        </w:numPr>
        <w:jc w:val="both"/>
        <w:rPr>
          <w:rFonts w:ascii="Times New Roman" w:hAnsi="Times New Roman" w:cs="Times New Roman"/>
          <w:b/>
          <w:noProof/>
          <w:sz w:val="24"/>
          <w:szCs w:val="24"/>
        </w:rPr>
      </w:pPr>
      <w:r>
        <w:rPr>
          <w:rFonts w:ascii="Times New Roman" w:hAnsi="Times New Roman"/>
          <w:b/>
          <w:noProof/>
          <w:sz w:val="24"/>
        </w:rPr>
        <w:t>Упражняване на делегирането</w:t>
      </w:r>
    </w:p>
    <w:p>
      <w:pPr>
        <w:jc w:val="both"/>
        <w:rPr>
          <w:rFonts w:ascii="Times New Roman" w:hAnsi="Times New Roman" w:cs="Times New Roman"/>
          <w:noProof/>
          <w:sz w:val="24"/>
          <w:szCs w:val="24"/>
        </w:rPr>
      </w:pPr>
      <w:r>
        <w:rPr>
          <w:rFonts w:ascii="Times New Roman" w:hAnsi="Times New Roman"/>
          <w:noProof/>
          <w:sz w:val="24"/>
        </w:rPr>
        <w:t>През целия отчетен период Комисията упражнява единствено правомощията по член 23, параграф 4. Бяха приети следните делегирани актове:</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rPr>
        <w:t>Делегиран регламент (ЕС) № 310/2012 на Комисията от 21 декември 2011 година за изменение на Регламент (ЕО) № 1569/2007 за създаване на механизъм за определяне на еквивалентността на счетоводните стандарти, прилагани от емитенти на ценни книжа от трети държави съгласно Директиви 2003/71/ЕО и 2004/109/ЕО на Европейския парламент и на Съвета</w:t>
      </w:r>
      <w:r>
        <w:rPr>
          <w:rStyle w:val="FootnoteReference"/>
          <w:rFonts w:ascii="Times New Roman" w:hAnsi="Times New Roman"/>
          <w:noProof/>
          <w:sz w:val="24"/>
        </w:rPr>
        <w:footnoteReference w:id="2"/>
      </w:r>
      <w:r>
        <w:rPr>
          <w:rFonts w:ascii="Times New Roman" w:hAnsi="Times New Roman"/>
          <w:noProof/>
          <w:sz w:val="24"/>
        </w:rPr>
        <w:t>;</w:t>
      </w:r>
    </w:p>
    <w:p>
      <w:pPr>
        <w:pStyle w:val="ListParagraph"/>
        <w:jc w:val="both"/>
        <w:rPr>
          <w:rFonts w:ascii="Times New Roman" w:hAnsi="Times New Roman" w:cs="Times New Roman"/>
          <w:noProof/>
          <w:sz w:val="24"/>
          <w:szCs w:val="24"/>
        </w:rPr>
      </w:pPr>
    </w:p>
    <w:p>
      <w:pPr>
        <w:pStyle w:val="ListParagraph"/>
        <w:jc w:val="both"/>
        <w:rPr>
          <w:rFonts w:ascii="Times New Roman" w:hAnsi="Times New Roman" w:cs="Times New Roman"/>
          <w:noProof/>
          <w:sz w:val="24"/>
          <w:szCs w:val="24"/>
        </w:rPr>
      </w:pPr>
      <w:r>
        <w:rPr>
          <w:rFonts w:ascii="Times New Roman" w:hAnsi="Times New Roman"/>
          <w:noProof/>
          <w:sz w:val="24"/>
        </w:rPr>
        <w:t xml:space="preserve">С въпросния делегиран регламент Комисията актуализира условията, посочени в Регламент (ЕО) № 1569/2007, за приемане на счетоводните стандарти на трета държава за ограничен период от време. Делегираният регламент също така удължи до 31 декември 2014 г. ограничения срок, за който се прилага механизмът за признаване на еквивалентността на общоприетите счетоводни принципи (GAAP) на трети държави.   </w:t>
      </w:r>
    </w:p>
    <w:p>
      <w:pPr>
        <w:pStyle w:val="ListParagraph"/>
        <w:jc w:val="both"/>
        <w:rPr>
          <w:rFonts w:ascii="Times New Roman" w:hAnsi="Times New Roman" w:cs="Times New Roman"/>
          <w:noProof/>
          <w:sz w:val="24"/>
          <w:szCs w:val="24"/>
        </w:rPr>
      </w:pP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rPr>
        <w:t>Делегиран регламент (ЕС) № 2015/1605 на Комисията от 12 юни 2015 година за изменение на Регламент (ЕО) № 1569/2007 за създаване на механизъм за определяне на еквивалентността на счетоводните стандарти, прилагани от емитенти на ценни книжа от трети държави съгласно директиви 2003/71/ЕО и 2004/109/ЕО на Европейския парламент и на Съвета</w:t>
      </w:r>
      <w:r>
        <w:rPr>
          <w:rStyle w:val="FootnoteReference"/>
          <w:rFonts w:ascii="Times New Roman" w:hAnsi="Times New Roman"/>
          <w:noProof/>
          <w:sz w:val="24"/>
        </w:rPr>
        <w:footnoteReference w:id="3"/>
      </w:r>
      <w:r>
        <w:rPr>
          <w:rFonts w:ascii="Times New Roman" w:hAnsi="Times New Roman"/>
          <w:noProof/>
          <w:sz w:val="24"/>
        </w:rPr>
        <w:t xml:space="preserve">; </w:t>
      </w:r>
    </w:p>
    <w:p>
      <w:pPr>
        <w:pStyle w:val="ListParagraph"/>
        <w:jc w:val="both"/>
        <w:rPr>
          <w:rFonts w:ascii="Times New Roman" w:hAnsi="Times New Roman" w:cs="Times New Roman"/>
          <w:noProof/>
          <w:sz w:val="24"/>
          <w:szCs w:val="24"/>
        </w:rPr>
      </w:pPr>
    </w:p>
    <w:p>
      <w:pPr>
        <w:pStyle w:val="ListParagraph"/>
        <w:jc w:val="both"/>
        <w:rPr>
          <w:rFonts w:ascii="Times New Roman" w:hAnsi="Times New Roman" w:cs="Times New Roman"/>
          <w:noProof/>
          <w:sz w:val="24"/>
          <w:szCs w:val="24"/>
        </w:rPr>
      </w:pPr>
      <w:r>
        <w:rPr>
          <w:rFonts w:ascii="Times New Roman" w:hAnsi="Times New Roman"/>
          <w:noProof/>
          <w:sz w:val="24"/>
        </w:rPr>
        <w:t xml:space="preserve">С въпросния делегиран регламент също така бе удължен до 31 март 2016 г. ограниченият срок, за който се прилага механизмът за признаване на еквивалентността на общоприетите счетоводни принципи (GAAP) на трети държави.  </w:t>
      </w:r>
    </w:p>
    <w:p>
      <w:pPr>
        <w:jc w:val="both"/>
        <w:rPr>
          <w:rFonts w:ascii="Times New Roman" w:hAnsi="Times New Roman" w:cs="Times New Roman"/>
          <w:noProof/>
          <w:sz w:val="24"/>
          <w:szCs w:val="24"/>
        </w:rPr>
      </w:pPr>
      <w:r>
        <w:rPr>
          <w:rFonts w:ascii="Times New Roman" w:hAnsi="Times New Roman"/>
          <w:noProof/>
          <w:sz w:val="24"/>
        </w:rPr>
        <w:t xml:space="preserve">Въз основа на механизма, посочен в Регламент 1569/2007, Комисията признава общоприетите счетоводни принципи на Република Индия за еквивалентни на МСФО в Съюза за ограничен период от време до 31 март 2016 г.  </w:t>
      </w:r>
    </w:p>
    <w:p>
      <w:pPr>
        <w:jc w:val="both"/>
        <w:rPr>
          <w:rFonts w:ascii="Times New Roman" w:hAnsi="Times New Roman" w:cs="Times New Roman"/>
          <w:noProof/>
          <w:sz w:val="24"/>
          <w:szCs w:val="24"/>
        </w:rPr>
      </w:pPr>
      <w:r>
        <w:rPr>
          <w:rFonts w:ascii="Times New Roman" w:hAnsi="Times New Roman"/>
          <w:noProof/>
          <w:sz w:val="24"/>
        </w:rPr>
        <w:t>Следва да се отбележи, че Комисията прие по-голямата част от разпоредбите за прилагане по Директива 2004/109/ЕО чрез Директива 2007/14/ЕО на Комисията от 8 март 2007 г.</w:t>
      </w:r>
      <w:r>
        <w:rPr>
          <w:rStyle w:val="FootnoteReference"/>
          <w:rFonts w:ascii="Times New Roman" w:hAnsi="Times New Roman"/>
          <w:noProof/>
          <w:sz w:val="24"/>
        </w:rPr>
        <w:footnoteReference w:id="4"/>
      </w:r>
      <w:r>
        <w:rPr>
          <w:rFonts w:ascii="Times New Roman" w:hAnsi="Times New Roman"/>
          <w:noProof/>
          <w:sz w:val="24"/>
        </w:rPr>
        <w:t xml:space="preserve"> През периода, обхванат от доклада, Комисията не намери за необходимо да измени разпоредбите на Директива 2007/14/ЕО. Поради това по-голямата част от правомощията, посочени в член 27, параграф 2а, не са били използвани. Необходимо е обаче Комисията да запази настоящото приложно поле на оправомощаване за приемане на делегирани актове с цел да се подобри функционирането на Директива 2004/109/ЕО, ако е необходимо, и да бъде в състояние да реагира бързо на възможни промени в пазарната конюнктура.    </w:t>
      </w:r>
    </w:p>
    <w:p>
      <w:pPr>
        <w:pStyle w:val="ListParagraph"/>
        <w:jc w:val="both"/>
        <w:rPr>
          <w:rFonts w:ascii="Times New Roman" w:hAnsi="Times New Roman" w:cs="Times New Roman"/>
          <w:noProof/>
          <w:sz w:val="24"/>
          <w:szCs w:val="24"/>
        </w:rPr>
      </w:pPr>
    </w:p>
    <w:p>
      <w:pPr>
        <w:pStyle w:val="ListParagraph"/>
        <w:numPr>
          <w:ilvl w:val="0"/>
          <w:numId w:val="4"/>
        </w:numPr>
        <w:jc w:val="both"/>
        <w:rPr>
          <w:rFonts w:ascii="Times New Roman" w:hAnsi="Times New Roman" w:cs="Times New Roman"/>
          <w:b/>
          <w:noProof/>
          <w:sz w:val="24"/>
          <w:szCs w:val="24"/>
        </w:rPr>
      </w:pPr>
      <w:r>
        <w:rPr>
          <w:rFonts w:ascii="Times New Roman" w:hAnsi="Times New Roman"/>
          <w:b/>
          <w:noProof/>
          <w:sz w:val="24"/>
        </w:rPr>
        <w:t>Заключение</w:t>
      </w:r>
    </w:p>
    <w:p>
      <w:pPr>
        <w:jc w:val="both"/>
        <w:rPr>
          <w:rFonts w:ascii="Times New Roman" w:hAnsi="Times New Roman" w:cs="Times New Roman"/>
          <w:noProof/>
          <w:sz w:val="24"/>
          <w:szCs w:val="24"/>
        </w:rPr>
      </w:pPr>
      <w:r>
        <w:rPr>
          <w:rFonts w:ascii="Times New Roman" w:hAnsi="Times New Roman"/>
          <w:noProof/>
          <w:sz w:val="24"/>
        </w:rPr>
        <w:t>Комисията е упражнила правилно делегираните ѝ правомощия, за да се гарантира прилагането на необходимите разпоредби. Комисията приканва Европейския парламент и Съвета да вземат под внимание настоящия доклад.</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42535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lang w:val="pl-PL"/>
        </w:rPr>
      </w:pPr>
      <w:r>
        <w:rPr>
          <w:rStyle w:val="FootnoteReference"/>
        </w:rPr>
        <w:footnoteRef/>
      </w:r>
      <w:r>
        <w:t xml:space="preserve"> </w:t>
      </w:r>
      <w:r>
        <w:rPr>
          <w:rFonts w:ascii="Times New Roman" w:hAnsi="Times New Roman"/>
        </w:rPr>
        <w:t>ОВ L 390, 31.12.2004 г., стр. 38.</w:t>
      </w:r>
    </w:p>
  </w:footnote>
  <w:footnote w:id="2">
    <w:p>
      <w:pPr>
        <w:pStyle w:val="FootnoteText"/>
        <w:rPr>
          <w:rFonts w:ascii="Times New Roman" w:hAnsi="Times New Roman" w:cs="Times New Roman"/>
          <w:lang w:val="pl-PL"/>
        </w:rPr>
      </w:pPr>
      <w:r>
        <w:rPr>
          <w:rStyle w:val="FootnoteReference"/>
        </w:rPr>
        <w:footnoteRef/>
      </w:r>
      <w:r>
        <w:t xml:space="preserve"> </w:t>
      </w:r>
      <w:r>
        <w:rPr>
          <w:rFonts w:ascii="Times New Roman" w:hAnsi="Times New Roman" w:cs="Times New Roman"/>
        </w:rPr>
        <w:t>ОВ L 103, 13.4.2012 г., стр. 11—12.</w:t>
      </w:r>
    </w:p>
  </w:footnote>
  <w:footnote w:id="3">
    <w:p>
      <w:pPr>
        <w:pStyle w:val="FootnoteText"/>
        <w:rPr>
          <w:rFonts w:ascii="Times New Roman" w:hAnsi="Times New Roman" w:cs="Times New Roman"/>
          <w:lang w:val="pl-PL"/>
        </w:rPr>
      </w:pPr>
      <w:r>
        <w:rPr>
          <w:rStyle w:val="FootnoteReference"/>
        </w:rPr>
        <w:footnoteRef/>
      </w:r>
      <w:r>
        <w:t xml:space="preserve"> </w:t>
      </w:r>
      <w:r>
        <w:rPr>
          <w:rFonts w:ascii="Times New Roman" w:hAnsi="Times New Roman" w:cs="Times New Roman"/>
        </w:rPr>
        <w:t>ОВ L 249, 25.9.2015 г., стр. 3—4.</w:t>
      </w:r>
    </w:p>
  </w:footnote>
  <w:footnote w:id="4">
    <w:p>
      <w:pPr>
        <w:pStyle w:val="FootnoteText"/>
      </w:pPr>
      <w:r>
        <w:rPr>
          <w:rStyle w:val="FootnoteReference"/>
          <w:rFonts w:ascii="Times New Roman" w:hAnsi="Times New Roman" w:cs="Times New Roman"/>
        </w:rPr>
        <w:footnoteRef/>
      </w:r>
      <w:r>
        <w:rPr>
          <w:rFonts w:ascii="Times New Roman" w:hAnsi="Times New Roman" w:cs="Times New Roman"/>
        </w:rPr>
        <w:t xml:space="preserve"> Директива 2007/14/ЕО на Комисията от 8 март 2007 г. за определяне на подробни правила за прилагането на определени разпоредби от Директива 2004/109/ЕО относно хармонизиране на изискванията за прозрачност по отношение на информацията за емитенти, чиито ценни книжа са допуснати за търгуване на регулиран пазар  ОВ L 69, 9.3.2007 г., стр. 27—36.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DF5"/>
    <w:multiLevelType w:val="hybridMultilevel"/>
    <w:tmpl w:val="D9181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47471B"/>
    <w:multiLevelType w:val="hybridMultilevel"/>
    <w:tmpl w:val="3306D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971D57"/>
    <w:multiLevelType w:val="hybridMultilevel"/>
    <w:tmpl w:val="79B0E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F74BFC"/>
    <w:multiLevelType w:val="hybridMultilevel"/>
    <w:tmpl w:val="345AE8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A5A1755"/>
    <w:multiLevelType w:val="hybridMultilevel"/>
    <w:tmpl w:val="9468E9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D3BD19F639E449797BFEB4E4CFF7D51"/>
    <w:docVar w:name="LW_CROSSREFERENCE" w:val="&lt;UNUSED&gt;"/>
    <w:docVar w:name="LW_DocType" w:val="NORMAL"/>
    <w:docVar w:name="LW_EMISSION" w:val="17.12.2015"/>
    <w:docVar w:name="LW_EMISSION_ISODATE" w:val="2015-12-17"/>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655"/>
    <w:docVar w:name="LW_REF.INTERNE" w:val="&lt;UNUSED&gt;"/>
    <w:docVar w:name="LW_SOUS.TITRE.OBJ.CP" w:val="&lt;UNUSED&gt;"/>
    <w:docVar w:name="LW_SUPERTITRE" w:val="&lt;UNUSED&gt;"/>
    <w:docVar w:name="LW_TITRE.OBJ.CP" w:val="\u1086?\u1090?\u1085?\u1086?\u1089?\u1085?\u1086? \u1091?\u1087?\u1088?\u1072?\u1078?\u1085?\u1103?\u1074?\u1072?\u1085?\u1077?\u1090?\u1086? \u1085?\u1072? \u1087?\u1088?\u1072?\u1074?\u1086?\u1084?\u1086?\u1097?\u1080?\u1077?\u1090?\u1086? \u1079?\u1072? \u1087?\u1088?\u1080?\u1077?\u1084?\u1072?\u1085?\u1077? \u1085?\u1072? \u1076?\u1077?\u1083?\u1077?\u1075?\u1080?\u1088?\u1072?\u1085?\u1080? \u1072?\u1082?\u1090?\u1086?\u1074?\u1077?, \u1087?\u1088?\u1077?\u1076?\u1086?\u1089?\u1090?\u1072?\u1074?\u1077?\u1085?\u1086? \u1085?\u1072? \u1050?\u1086?\u1084?\u1080?\u1089?\u1080?\u1103?\u1090?\u1072? \u1089?\u1098?\u1075?\u1083?\u1072?\u1089?\u1085?\u1086? \u1044?\u1080?\u1088?\u1077?\u1082?\u1090?\u1080?\u1074?\u1072? 2004/109/\u1045?\u1054? \u1086?\u1090? 15 \u1076?\u1077?\u1082?\u1077?\u1084?\u1074?\u1088?\u1080? 2004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622</Words>
  <Characters>3520</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2015-11-26T13:05:00Z</dcterms:created>
  <dcterms:modified xsi:type="dcterms:W3CDTF">2015-12-17T08:24:00Z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