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23015791"/>
      <w:bookmarkStart w:id="1" w:name="_Toc371338152"/>
      <w:bookmarkStart w:id="2" w:name="_Toc395255548"/>
      <w:bookmarkStart w:id="3" w:name="_Toc392749496"/>
      <w:bookmarkStart w:id="4" w:name="_Ref419103554"/>
      <w:bookmarkStart w:id="5" w:name="_Ref422493878"/>
      <w:bookmarkStart w:id="6" w:name="_Ref422907756"/>
      <w:bookmarkStart w:id="7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15DEFF76E20641C88E53DF8D37DE3418" style="width:450.75pt;height:402pt">
            <v:imagedata r:id="rId9" o:title=""/>
          </v:shape>
        </w:pict>
      </w:r>
    </w:p>
    <w:bookmarkEnd w:id="7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b/>
          <w:smallCaps/>
          <w:noProof/>
          <w:sz w:val="22"/>
          <w:szCs w:val="24"/>
        </w:rPr>
      </w:pPr>
      <w:bookmarkStart w:id="8" w:name="_GoBack"/>
      <w:bookmarkEnd w:id="8"/>
      <w:r>
        <w:rPr>
          <w:b/>
          <w:smallCaps/>
          <w:noProof/>
          <w:sz w:val="22"/>
        </w:rPr>
        <w:lastRenderedPageBreak/>
        <w:t>Въведение</w:t>
      </w:r>
      <w:bookmarkEnd w:id="0"/>
      <w:r>
        <w:rPr>
          <w:b/>
          <w:smallCaps/>
          <w:noProof/>
          <w:sz w:val="22"/>
        </w:rPr>
        <w:t xml:space="preserve"> </w:t>
      </w:r>
      <w:bookmarkStart w:id="9" w:name="_Toc371338158"/>
      <w:bookmarkStart w:id="10" w:name="_Toc395255549"/>
      <w:bookmarkStart w:id="11" w:name="_Toc392749497"/>
      <w:bookmarkStart w:id="12" w:name="_Toc371338153"/>
      <w:bookmarkEnd w:id="1"/>
      <w:bookmarkEnd w:id="2"/>
      <w:bookmarkEnd w:id="3"/>
      <w:bookmarkEnd w:id="4"/>
      <w:bookmarkEnd w:id="5"/>
      <w:bookmarkEnd w:id="6"/>
    </w:p>
    <w:p>
      <w:pPr>
        <w:rPr>
          <w:noProof/>
        </w:rPr>
      </w:pPr>
      <w:bookmarkStart w:id="13" w:name="_Toc423015792"/>
      <w:r>
        <w:rPr>
          <w:noProof/>
        </w:rPr>
        <w:t>Настоящият доклад и придружаващият го работен документ на службите представлява вторият Двугодишен доклад на Европейския съюз (ЕС), както се изисква съгласно член 18, параграф 1 от Регламент (ЕС) № 525/2013 и Решение 2/CP.17 на Конференцията на страните по Рамковата конвенция на ООН по изменението на климата (РКООНИК). Те ще бъдат предадени на РКООНИК, като това ще бъде подаването на втория Двугодишен доклад на ЕС.</w:t>
      </w:r>
    </w:p>
    <w:p>
      <w:pPr>
        <w:rPr>
          <w:b/>
          <w:smallCaps/>
          <w:noProof/>
          <w:sz w:val="22"/>
        </w:rPr>
      </w:pPr>
      <w:r>
        <w:rPr>
          <w:b/>
          <w:smallCaps/>
          <w:noProof/>
          <w:sz w:val="22"/>
        </w:rPr>
        <w:t>Информация относно емисиите на парникови газове и тенденции</w:t>
      </w:r>
      <w:bookmarkEnd w:id="13"/>
    </w:p>
    <w:p>
      <w:pPr>
        <w:rPr>
          <w:noProof/>
        </w:rPr>
      </w:pPr>
      <w:r>
        <w:rPr>
          <w:noProof/>
        </w:rPr>
        <w:t>Сумарните емисии на парникови газове (ПГ) в ЕС-28, включително от международното въздухоплаване, са намалели с около 20 % между 1990 г. и 2013 г. Докладвани емисии са емисии, съответстващи на целта на ЕС съгласно Конвенцията и са взети от последното представяне на описа на ЕС на РКООНИК. Най-важният парников газ е CO</w:t>
      </w:r>
      <w:r>
        <w:rPr>
          <w:noProof/>
          <w:vertAlign w:val="subscript"/>
        </w:rPr>
        <w:t>2</w:t>
      </w:r>
      <w:r>
        <w:rPr>
          <w:noProof/>
        </w:rPr>
        <w:t xml:space="preserve"> и на него се дължат 82 % от сумарните емисии в ЕС-28 през 2013 г. </w:t>
      </w:r>
    </w:p>
    <w:p>
      <w:pPr>
        <w:rPr>
          <w:noProof/>
        </w:rPr>
      </w:pPr>
      <w:r>
        <w:rPr>
          <w:noProof/>
        </w:rPr>
        <w:t xml:space="preserve">Емисиите на глава от населението в ЕС са намалели с 26 % между 1990 г. и 2013 г. от 11,8 тона на глава от населението на 8,9 тона на глава от населението. Емисиите в ЕС-28 са намалявали, докато икономиката е отбелязала растеж.Разделянето на икономическия растеж от емисиите на ПГ се е развивало с постоянни темпове от 1990 г. насам. Нарастването на брутния вътрешен продукт (БВП) за периода 1990 г.—2013 г. е било приблизително 45 % за ЕС-28, докато емисиите на ПГ са намалели с около 20 %. В резултат на това интензивността на емисиите на парникови газове в ЕС е понижена почти наполовина. </w:t>
      </w:r>
    </w:p>
    <w:p>
      <w:pPr>
        <w:rPr>
          <w:noProof/>
        </w:rPr>
      </w:pPr>
      <w:bookmarkStart w:id="14" w:name="_Toc423015793"/>
      <w:r>
        <w:rPr>
          <w:noProof/>
        </w:rPr>
        <w:t>Изпълнението на структурни политики в областта на климата и енергетиката допринесе значително за това успешно разделяне. По-специално, прилагането на пакета за климата и енергетиката за 2020 г. доведе до значително увеличение на енергията от възобновяеми източници и до напредък в областта на енергийната ефективност. Тези два елемента са ключовите движещи фактори за наблюдаваното намаление в емисиите, като цената на въглеродните емисии действа като движеща сила, за която се очаква в бъдеще постепенно да се засилва.</w:t>
      </w:r>
    </w:p>
    <w:p>
      <w:pPr>
        <w:rPr>
          <w:b/>
          <w:smallCaps/>
          <w:noProof/>
          <w:sz w:val="22"/>
        </w:rPr>
      </w:pPr>
      <w:r>
        <w:rPr>
          <w:b/>
          <w:smallCaps/>
          <w:noProof/>
          <w:sz w:val="22"/>
        </w:rPr>
        <w:t>Количествена цел за намаляване на емисиите във всички икономически отрасли</w:t>
      </w:r>
      <w:bookmarkEnd w:id="14"/>
      <w:r>
        <w:rPr>
          <w:b/>
          <w:smallCaps/>
          <w:noProof/>
          <w:sz w:val="22"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В рамките на РКООНИК, ЕС и неговите държави членки приеха съвместна цел за намаляване на емисиите, за да намалят до 2020 г. емисиите на ПГ с най-малко 20 %  в сравнение с нивата от 1990 г., с предложение под условие да преминат към намаление с 30 % ако и други развити страни поемат задължение за подобни намаления на емисиите и развиващите се страни допринесат по подходящ начин съобразно своите отговорности и съответни възможности. </w:t>
      </w:r>
    </w:p>
    <w:p>
      <w:pPr>
        <w:rPr>
          <w:noProof/>
        </w:rPr>
      </w:pPr>
      <w:r>
        <w:rPr>
          <w:noProof/>
        </w:rPr>
        <w:t xml:space="preserve">Целта на ЕС е заложена законодателно и се прилага от ЕС и неговите държави членки. В основата на това законодателство, пакетът на ЕС в областта на климата и енергетиката определя цел за намаление до 2020 г. на емисиите на ПГ с 20 % в сравнение с нивата от 1990 г., което е еквивалентно на -14 % в сравнение с нивата от 2005 г. Необходимото усилие за постигане на такова намаление беше разпределено между секторите, обхванати от Схемата за търговия с емисии на ЕС (СТЕ на ЕС), и останалите сектори, попадащи в приложното поле на Решението за споделяне на усилията (РСУ). </w:t>
      </w:r>
    </w:p>
    <w:p>
      <w:pPr>
        <w:keepNext/>
        <w:rPr>
          <w:b/>
          <w:smallCaps/>
          <w:noProof/>
          <w:szCs w:val="24"/>
        </w:rPr>
      </w:pPr>
      <w:bookmarkStart w:id="15" w:name="_Toc423015794"/>
      <w:r>
        <w:rPr>
          <w:b/>
          <w:smallCaps/>
          <w:noProof/>
        </w:rPr>
        <w:t xml:space="preserve">Напредък </w:t>
      </w:r>
      <w:bookmarkEnd w:id="9"/>
      <w:bookmarkEnd w:id="10"/>
      <w:bookmarkEnd w:id="11"/>
      <w:r>
        <w:rPr>
          <w:b/>
          <w:smallCaps/>
          <w:noProof/>
        </w:rPr>
        <w:t>в постигането на целта за намаление на емисиите във всички икономически отрасли</w:t>
      </w:r>
      <w:bookmarkEnd w:id="15"/>
      <w:r>
        <w:rPr>
          <w:b/>
          <w:smallCaps/>
          <w:noProof/>
        </w:rPr>
        <w:t xml:space="preserve"> —</w:t>
      </w:r>
      <w:bookmarkStart w:id="16" w:name="_Toc423015795"/>
      <w:bookmarkEnd w:id="12"/>
      <w:r>
        <w:rPr>
          <w:b/>
          <w:smallCaps/>
          <w:noProof/>
        </w:rPr>
        <w:t xml:space="preserve"> Политики и мерки на ЕС и тяхното въздействие</w:t>
      </w:r>
      <w:bookmarkEnd w:id="16"/>
    </w:p>
    <w:p>
      <w:pPr>
        <w:rPr>
          <w:noProof/>
        </w:rPr>
      </w:pPr>
      <w:r>
        <w:rPr>
          <w:noProof/>
        </w:rPr>
        <w:t>ЕС и 28-те държави членки както поотделно, така и заедно, от доста години насам предприемат национални и международни действия за борба с изменението на климата, които доведоха до значително намаление на емисиите.</w:t>
      </w:r>
    </w:p>
    <w:p>
      <w:pPr>
        <w:rPr>
          <w:noProof/>
        </w:rPr>
      </w:pPr>
      <w:r>
        <w:rPr>
          <w:noProof/>
        </w:rPr>
        <w:t xml:space="preserve">За да се отговори на предизвикателствата и нуждите от инвестиции, свързани с действията в областта на климата, ЕС се съгласи, че най-малко 20 % от бюджета на ЕС за 2014 г.—2020 г. — 180 милиарда евро — следва да се изразходват за действия, свързани с изменението на климата. Това представлява значително увеличение в сравнение с разходите, свързани с действията в областта на климата в предходния бюджет, които представлява 6,8 % от бюджета на ЕС за периода 2007 г.—2013 г. За да се постигне това, във всички основни разходни програми на ЕС са интегрирани действия по смекчаване на изменението на климата и адаптиране към него, по-специално в политиката на сближаване, регионалното развитие, енергетиката, транспорта, научните изследвания и нововъведенията и общата селскостопанска политика. </w:t>
      </w:r>
    </w:p>
    <w:p>
      <w:pPr>
        <w:rPr>
          <w:noProof/>
        </w:rPr>
      </w:pPr>
      <w:r>
        <w:rPr>
          <w:noProof/>
        </w:rPr>
        <w:t>ЕС и неговите държави членки постоянно засилват законодателството, за да дадат възможност за намаляване на емисиите на ПГ и за преход към нисковъглеродна икономика. Ключовите събития в развитието на политиката в периода след представяне на първия двугодишен доклад включват промени на СТЕ на ЕС, нови законодателни инструменти в транспортния сектор и подсилен Регламент относно флуорсъдържащите парникови газове.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От 2013 г. насам, СТЕ на ЕС функционира съгласно подобрените и хармонизирани правила за нейната трета фаза, включваща периода 2013 г.—2020 г. Като основен инструмент за постигане на намаляване на емисиите по СТЕ на ЕС до 43 % през 2030 г. в сравнение с нивата от 2005 г. е необходима добре функционираща и реформирана СТЕ на ЕС. Ето защо водещият инструмент на Европа е в процес на значителни структурни реформи, за да се насочи ЕС по пътя към нисковъглеродна икономика.</w:t>
      </w:r>
    </w:p>
    <w:p>
      <w:pPr>
        <w:autoSpaceDE w:val="0"/>
        <w:autoSpaceDN w:val="0"/>
        <w:adjustRightInd w:val="0"/>
        <w:spacing w:after="0"/>
        <w:rPr>
          <w:noProof/>
        </w:rPr>
      </w:pP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Като първа стъпка, за да се отговори на предизвикателството на нарастващия излишък от квоти за емисии, който се натрупа в СТЕ на ЕС, продажбата на търг на 900 милиона квоти беше отложена. Като втора стъпка, беше договорен  резерв за стабилност на пазара, който едновременно ще реши проблема с натрупания излишък на квоти и ще повиши устойчивостта на системата към големи сътресения чрез коригиране на предлагането на квоти на търгове. Накрая, през юли 2015 г. Комисията предложи преразглеждане на СТЕ на ЕС с цел да се приложи намаление на емисиите по СТЕ на ЕС до 43 % през 2030 г. в сравнение с нивата от 2005 г. Това е последната стъпка, необходима за да може СТЕ на ЕС да прояви напълно своята сила в контекста на 2030 г.</w:t>
      </w:r>
    </w:p>
    <w:p>
      <w:pPr>
        <w:autoSpaceDE w:val="0"/>
        <w:autoSpaceDN w:val="0"/>
        <w:adjustRightInd w:val="0"/>
        <w:spacing w:after="0"/>
        <w:rPr>
          <w:noProof/>
        </w:rPr>
      </w:pP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Ключови събития в развитието на политиката имаше и в транспортния сектор, с ново законодателство на ЕС, определящо задължителни цели за емисиите на  новите леки и лекотоварни автомобили, които трябва да бъдат постигнати до 2021 г. Стратегията за тежкотоварните автомобили, приета през май 2014 г., е първата инициатива за мерки за разхода на гориво и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на камиони, градски и туристически автобуси. През април 2015 г. ЕС прие законодателен инструмент, предвиждащ общоевропейска система за мониторинг, докладване и проверка в областта на превозите като първа стъпка в стратегията на ЕС за намаляване на емисиите в този сектор. </w:t>
      </w:r>
    </w:p>
    <w:p>
      <w:pPr>
        <w:autoSpaceDE w:val="0"/>
        <w:autoSpaceDN w:val="0"/>
        <w:adjustRightInd w:val="0"/>
        <w:spacing w:after="0"/>
        <w:rPr>
          <w:noProof/>
        </w:rPr>
      </w:pPr>
    </w:p>
    <w:p>
      <w:pPr>
        <w:rPr>
          <w:noProof/>
        </w:rPr>
      </w:pPr>
      <w:r>
        <w:rPr>
          <w:noProof/>
        </w:rPr>
        <w:t>Преразгледаният регламент относно флуорсъдържащите парникови газове, който се прилага от 1 януари 2015 г., засилва вече съществуващите мерки (напр. ограничаване на газовете чрез откриване на пропуски от неплътност, инсталиране на оборудване от обучен персонал, обратно извличане на използваните газове) и въвежда поетапно намаляване на употребата на флуорсъдържащи газове, което ще намали сумарните емисии на флуорсъдаржащи парникови газове в ЕС с две трети до 2030 г. в сравнение с нивата от 2014 г. Той също така забранява пускането на пазара на флуорсъдържащи парникови газове при определени обстоятелства, когато съществуват алтернативи, напр. домашни хладилници и замразители, включващи флуоровъглеводороди с потенциал за глобално затопляне (ПГЗ) над 150.</w:t>
      </w:r>
    </w:p>
    <w:p>
      <w:pPr>
        <w:rPr>
          <w:noProof/>
        </w:rPr>
      </w:pPr>
      <w:r>
        <w:rPr>
          <w:noProof/>
        </w:rPr>
        <w:t>Освен това, въз основа на Пакета за климата и енергетиката от 2020 г. и в съответствие с целта за преминаване към конкурентоспособна икономика с ниски въглеродни емисии, Европейският съвет постигна споразумение през октомври 2014 г. относно основните градивни елементи на Рамката за политиките в областта на климата и енергетиката до 2030 г.: задължителна цел от най-малко 40 % вътрешно намаление на емисиите на парникови газове до 2030 г. в сравнение с нивата от 1990 г.; цел от най-малко 27 % дял на енергията от възобновяеми източници до 2030 г., която цел е задължителна на равнището на ЕС; ориентировъчна цел за подобряване на енергийната ефективност с най-малко 27 % за 2030 г., която да се преразглежда през 2020 г. с оглед на цел за подобряване на енергийната ефективност с 30 %.</w:t>
      </w:r>
    </w:p>
    <w:p>
      <w:pPr>
        <w:rPr>
          <w:noProof/>
        </w:rPr>
      </w:pPr>
      <w:r>
        <w:rPr>
          <w:noProof/>
        </w:rPr>
        <w:t xml:space="preserve">За тази цел Комисията вече предложи преработена Директива за СТЕ на ЕС през юли 2015 г., която е в процес на обсъждане в институциите на ЕС и ще представи законодателни предложения, обхващащи секторите извън обхвата на СТЕ. Комисията също така пуска инициативите, предвидени в Стратегическата рамка за енергийния съюз, включително предстоящите предложения относно възобновяемите източници на енергия и енергийната ефективност. </w:t>
      </w:r>
    </w:p>
    <w:p>
      <w:pPr>
        <w:rPr>
          <w:b/>
          <w:smallCaps/>
          <w:noProof/>
        </w:rPr>
      </w:pPr>
      <w:bookmarkStart w:id="17" w:name="_Toc390936614"/>
      <w:bookmarkStart w:id="18" w:name="_Toc390942394"/>
      <w:bookmarkStart w:id="19" w:name="_Toc390936615"/>
      <w:bookmarkStart w:id="20" w:name="_Toc390942395"/>
      <w:bookmarkStart w:id="21" w:name="_Toc397612356"/>
      <w:bookmarkStart w:id="22" w:name="_Toc398043847"/>
      <w:bookmarkStart w:id="23" w:name="_Toc398193313"/>
      <w:bookmarkStart w:id="24" w:name="_Toc423015798"/>
      <w:bookmarkEnd w:id="17"/>
      <w:bookmarkEnd w:id="18"/>
      <w:bookmarkEnd w:id="19"/>
      <w:bookmarkEnd w:id="20"/>
      <w:bookmarkEnd w:id="21"/>
      <w:bookmarkEnd w:id="22"/>
      <w:bookmarkEnd w:id="23"/>
      <w:r>
        <w:rPr>
          <w:b/>
          <w:smallCaps/>
          <w:noProof/>
        </w:rPr>
        <w:t>Напредък в постигането на целта за намаляване на емисиите във всички икономически отрасли — Прогнози</w:t>
      </w:r>
      <w:bookmarkEnd w:id="24"/>
    </w:p>
    <w:p>
      <w:pPr>
        <w:rPr>
          <w:noProof/>
        </w:rPr>
      </w:pPr>
      <w:r>
        <w:rPr>
          <w:noProof/>
        </w:rPr>
        <w:t xml:space="preserve">Според най-новите прогнози при съществуващите мерки, като агрегирани стойности въз основа на данните, представени от държавите членки през 2015 г. на ЕС, се прогнозира  че емисиите че ще бъдат с 24 % по-ниски през 2020 г. в сравнение с 1990 г. Следователно понастоящем ЕС е на път да изпълни своята цел за 2020 г. </w:t>
      </w:r>
    </w:p>
    <w:p>
      <w:pPr>
        <w:rPr>
          <w:noProof/>
        </w:rPr>
      </w:pPr>
      <w:r>
        <w:rPr>
          <w:noProof/>
        </w:rPr>
        <w:t xml:space="preserve">До 2030 г. емисиите на ПГ се очаква да намалеят допълнително. </w:t>
      </w:r>
    </w:p>
    <w:p>
      <w:pPr>
        <w:rPr>
          <w:noProof/>
        </w:rPr>
      </w:pPr>
      <w:r>
        <w:rPr>
          <w:noProof/>
        </w:rPr>
        <w:t>Емисиите от енергийния сектор, без да се включва транспортът, представляват най-големият дял от сумарните емисии на ПГ и от прогнозираното намаление на сумарните емисиите. Емисиите от този сектор се очаква да намалеят с приблизително 33 % през 2020 г. в сравнение с 1990 г. и с около 38 % до 2030 г. Транспортният сектор е единственият сектор, чиито емисии се очаква да нараснат с 13 % между 1990 г. и 2020 г., и след това да бъдат без изменение до 2030 г. След 2007 г. е видимо бавно, но постоянно намаляване на емисиите от транспорта поради комбинация от по-високи цени на горивата и по-строги политики, като стандартите за CO</w:t>
      </w:r>
      <w:r>
        <w:rPr>
          <w:noProof/>
          <w:vertAlign w:val="subscript"/>
        </w:rPr>
        <w:t>2</w:t>
      </w:r>
      <w:r>
        <w:rPr>
          <w:noProof/>
        </w:rPr>
        <w:t xml:space="preserve"> за леките коли и вановете. </w:t>
      </w:r>
    </w:p>
    <w:p>
      <w:pPr>
        <w:rPr>
          <w:b/>
          <w:smallCaps/>
          <w:noProof/>
        </w:rPr>
      </w:pPr>
      <w:bookmarkStart w:id="25" w:name="_Toc390936632"/>
      <w:bookmarkStart w:id="26" w:name="_Toc390942413"/>
      <w:bookmarkStart w:id="27" w:name="_Toc423015799"/>
      <w:bookmarkStart w:id="28" w:name="_Toc395255569"/>
      <w:bookmarkStart w:id="29" w:name="_Toc392749516"/>
      <w:bookmarkStart w:id="30" w:name="_Toc371338173"/>
      <w:bookmarkEnd w:id="25"/>
      <w:bookmarkEnd w:id="26"/>
      <w:r>
        <w:rPr>
          <w:b/>
          <w:smallCaps/>
          <w:noProof/>
        </w:rPr>
        <w:t>Предоставяне на финансова, техническа и свързана с изграждането на капацитет помощ на партньори от развиващите се страни</w:t>
      </w:r>
      <w:bookmarkEnd w:id="27"/>
    </w:p>
    <w:bookmarkEnd w:id="28"/>
    <w:bookmarkEnd w:id="29"/>
    <w:bookmarkEnd w:id="30"/>
    <w:p>
      <w:pPr>
        <w:rPr>
          <w:noProof/>
        </w:rPr>
      </w:pPr>
      <w:r>
        <w:rPr>
          <w:noProof/>
        </w:rPr>
        <w:t>Финансирането на борбата с изменението на климата играе ключова роля като средство за постигане на договорената цел за ограничаване на повишаването на средната глобална температура до не повече от 2°C над нивата отпреди индустриализацията, постигане на еволюционно преминаването към икономики с ниски емисии на ПГ и подпомагане на устойчиво развитие, независещо от изменението на климата. ЕС и неговите държави членки са сред най-големите донори на официална помощ за развитие (ОПР) за развиващите се страни, като на него се падат 58,2 млрд. евро през 2014 г. и е отпуснал 7,34 млрд. евро за бързо финансиране за периода 2010 г.—2012 г. Освен това през 2014 г. ЕС и неговите държави членки са отпуснали заедно 14,5 милиарда евро, за да подпомогнат развиващите се страни да се справят с изменението на климата.</w:t>
      </w:r>
    </w:p>
    <w:p>
      <w:pPr>
        <w:rPr>
          <w:noProof/>
        </w:rPr>
      </w:pPr>
      <w:r>
        <w:rPr>
          <w:noProof/>
        </w:rPr>
        <w:t xml:space="preserve">ЕС насърчава възприемането на общ и всеобхватен подход за финансиране за развитие, включително дейности във връзка с изменението на климата като част от „Програмата за промяна“, наблягайки върху взаимно подсилващи се съпътстващи ползи за климата и развитието. </w:t>
      </w:r>
    </w:p>
    <w:p>
      <w:pPr>
        <w:rPr>
          <w:noProof/>
        </w:rPr>
      </w:pPr>
      <w:r>
        <w:rPr>
          <w:noProof/>
        </w:rPr>
        <w:t xml:space="preserve">Общият размер на подкрепата, предоставяна от ЕС на развиващите се страни, които са страни по РКООНИК, възлезе през 2013 г. и 2014 г. на 2178 млн. щатски долара (1641 млн. евро). </w:t>
      </w:r>
    </w:p>
    <w:p>
      <w:pPr>
        <w:rPr>
          <w:noProof/>
        </w:rPr>
      </w:pPr>
      <w:r>
        <w:rPr>
          <w:noProof/>
        </w:rPr>
        <w:t>Изграждането на капацитет е в основата на помощта от ЕС за развитие и помощта за развитие като всички проекти за сътрудничество чрез помощи за развитие в областта на изменението на климата включват дейности за трансфер на технологии. Европа играе водеща роля в областта на нисковъглеродните технологии и запазва своята позиция с редица политически инициативи. ЕС подкрепя разработването и внедряването на технологии в развиващите се страни чрез значителни инвестиции в нововъведения.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820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729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25C5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844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D83E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065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6249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4703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CE8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4552127F"/>
    <w:multiLevelType w:val="singleLevel"/>
    <w:tmpl w:val="057A5296"/>
    <w:name w:val="0,6466137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0"/>
  </w:num>
  <w:num w:numId="5">
    <w:abstractNumId w:val="5"/>
  </w:num>
  <w:num w:numId="6">
    <w:abstractNumId w:val="14"/>
  </w:num>
  <w:num w:numId="7">
    <w:abstractNumId w:val="4"/>
  </w:num>
  <w:num w:numId="8">
    <w:abstractNumId w:val="21"/>
  </w:num>
  <w:num w:numId="9">
    <w:abstractNumId w:val="3"/>
  </w:num>
  <w:num w:numId="10">
    <w:abstractNumId w:val="22"/>
  </w:num>
  <w:num w:numId="11">
    <w:abstractNumId w:val="12"/>
  </w:num>
  <w:num w:numId="12">
    <w:abstractNumId w:val="20"/>
  </w:num>
  <w:num w:numId="13">
    <w:abstractNumId w:val="19"/>
  </w:num>
  <w:num w:numId="14">
    <w:abstractNumId w:val="17"/>
  </w:num>
  <w:num w:numId="15">
    <w:abstractNumId w:val="18"/>
  </w:num>
  <w:num w:numId="16">
    <w:abstractNumId w:val="6"/>
  </w:num>
  <w:num w:numId="17">
    <w:abstractNumId w:val="9"/>
  </w:num>
  <w:num w:numId="18">
    <w:abstractNumId w:val="13"/>
  </w:num>
  <w:num w:numId="19">
    <w:abstractNumId w:val="2"/>
  </w:num>
  <w:num w:numId="20">
    <w:abstractNumId w:val="8"/>
  </w:num>
  <w:num w:numId="21">
    <w:abstractNumId w:val="1"/>
  </w:num>
  <w:num w:numId="22">
    <w:abstractNumId w:val="11"/>
  </w:num>
  <w:num w:numId="23">
    <w:abstractNumId w:val="0"/>
  </w:num>
  <w:num w:numId="24">
    <w:abstractNumId w:val="23"/>
  </w:num>
  <w:num w:numId="25">
    <w:abstractNumId w:val="9"/>
  </w:num>
  <w:num w:numId="26">
    <w:abstractNumId w:val="13"/>
  </w:num>
  <w:num w:numId="27">
    <w:abstractNumId w:val="8"/>
  </w:num>
  <w:num w:numId="28">
    <w:abstractNumId w:val="11"/>
  </w:num>
  <w:num w:numId="29">
    <w:abstractNumId w:val="23"/>
  </w:num>
  <w:num w:numId="30">
    <w:abstractNumId w:val="9"/>
  </w:num>
  <w:num w:numId="31">
    <w:abstractNumId w:val="13"/>
  </w:num>
  <w:num w:numId="32">
    <w:abstractNumId w:val="8"/>
  </w:num>
  <w:num w:numId="33">
    <w:abstractNumId w:val="11"/>
  </w:num>
  <w:num w:numId="34">
    <w:abstractNumId w:val="23"/>
  </w:num>
  <w:num w:numId="35">
    <w:abstractNumId w:val="9"/>
  </w:num>
  <w:num w:numId="36">
    <w:abstractNumId w:val="13"/>
  </w:num>
  <w:num w:numId="37">
    <w:abstractNumId w:val="8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15DEFF76E20641C88E53DF8D37DE3418"/>
    <w:docVar w:name="LW_CROSSREFERENCE" w:val="{SWD(2015) 282 final}"/>
    <w:docVar w:name="LW_DocType" w:val="NORMAL"/>
    <w:docVar w:name="LW_EMISSION" w:val="15.12.2015"/>
    <w:docVar w:name="LW_EMISSION_ISODATE" w:val="2015-12-15"/>
    <w:docVar w:name="LW_EMISSION_LOCATION" w:val="BRX"/>
    <w:docVar w:name="LW_EMISSION_PREFIX" w:val="Брюксел, "/>
    <w:docVar w:name="LW_EMISSION_SUFFIX" w:val=" \u1075?."/>
    <w:docVar w:name="LW_ID_DOCTYPE_NONLW" w:val="CP-003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642"/>
    <w:docVar w:name="LW_REF.INTERNE" w:val="&lt;UNUSED&gt;"/>
    <w:docVar w:name="LW_SOUS.TITRE.OBJ" w:val="(\u1080?\u1079?\u1080?\u1089?\u1082?\u1074?\u1072?\u1085? \u1089?\u1098?\u1075?\u1083?\u1072?\u1089?\u1085?\u1086? \u1095?\u1083?\u1077?\u1085? 18, \u1087?\u1072?\u1088?\u1072?\u1075?\u1088?\u1072?\u1092? 1 \u1086?\u1090? \u1056?\u1077?\u1075?\u1083?\u1072?\u1084?\u1077?\u1085?\u1090? (\u1045?\u1057?) \u8470? 525/2013 \u1085?\u1072? \u1045?\u1074?\u1088?\u1086?\u1087?\u1077?\u1081?\u1089?\u1082?\u1080?\u1103? \u1087?\u1072?\u1088?\u1083?\u1072?\u1084?\u1077?\u1085?\u1090? \u1080? \u1085?\u1072? \u1057?\u1098?\u1074?\u1077?\u1090?\u1072? \u1086?\u1090? 21&lt;LWCR:NBS&gt;\u1084?\u1072?\u1081? 2013 \u1075?. \u1086?\u1090?\u1085?\u1086?\u1089?\u1085?\u1086? \u1084?\u1077?\u1093?\u1072?\u1085?\u1080?\u1079?\u1098?\u1084? \u1079?\u1072? \u1084?\u1086?\u1085?\u1080?\u1090?\u1086?\u1088?\u1080?\u1085?\u1075? \u1080? \u1076?\u1086?\u1082?\u1083?\u1072?\u1076?\u1074?\u1072?\u1085?\u1077? \u1085?\u1072? \u1077?\u1084?\u1080?\u1089?\u1080?\u1080?\u1090?\u1077? \u1085?\u1072? \u1087?\u1072?\u1088?\u1085?\u1080?\u1082?\u1086?\u1074?\u1080? \u1075?\u1072?\u1079?\u1086?\u1074?\u1077? \u1080? \u1079?\u1072? \u1076?\u1086?\u1082?\u1083?\u1072?\u1076?\u1074?\u1072?\u1085?\u1077? \u1085?\u1072? \u1076?\u1088?\u1091?\u1075?\u1072? \u1080?\u1085?\u1092?\u1086?\u1088?\u1084?\u1072?\u1094?\u1080?\u1103?, \u1089?\u1074?\u1098?\u1088?\u1079?\u1072?\u1085?\u1072? \u1089? \u1080?\u1079?\u1084?\u1077?\u1085?\u1077?\u1085?\u1080?\u1077?\u1090?\u1086? \u1085?\u1072? \u1082?\u1083?\u1080?\u1084?\u1072?\u1090?\u1072?, \u1085?\u1072? \u1085?\u1072?\u1094?\u1080?\u1086?\u1085?\u1072?\u1083?\u1085?\u1086? \u1088?\u1072?\u1074?\u1085?\u1080?\u1097?\u1077? \u1080? \u1085?\u1072? \u1088?\u1072?\u1074?\u1085?\u1080?\u1097?\u1077?\u1090?\u1086? \u1085?\u1072? \u1057?\u1098?\u1102?\u1079?\u1072? \u1080? \u1086?\u1090?\u1084?\u1103?\u1085?\u1072? \u1085?\u1072? \u1056?\u1077?\u1096?\u1077?\u1085?\u1080?\u1077? \u8470? 280/2004/\u1045?\u1054? \u1080? \u1056?\u1077?\u1096?\u1077?\u1085?\u1080?\u1077? 2/CP.17 \u1085?\u1072? \u1050?\u1086?\u1085?\u1092?\u1077?\u1088?\u1077?\u1085?\u1094?\u1080?\u1103?\u1090?\u1072? \u1085?\u1072? \u1089?\u1090?\u1088?\u1072?\u1085?\u1080?\u1090?\u1077? \u1087?\u1086? \u1056?\u1050?\u1054?\u1054?\u1053?\u1048?\u1050?)"/>
    <w:docVar w:name="LW_SOUS.TITRE.OBJ.CP" w:val="(\u1080?\u1079?\u1080?\u1089?\u1082?\u1074?\u1072?\u1085? \u1089?\u1098?\u1075?\u1083?\u1072?\u1089?\u1085?\u1086? \u1095?\u1083?\u1077?\u1085? 18, \u1087?\u1072?\u1088?\u1072?\u1075?\u1088?\u1072?\u1092? 1 \u1086?\u1090? \u1056?\u1077?\u1075?\u1083?\u1072?\u1084?\u1077?\u1085?\u1090? (\u1045?\u1057?) \u8470? 525/2013 \u1085?\u1072? \u1045?\u1074?\u1088?\u1086?\u1087?\u1077?\u1081?\u1089?\u1082?\u1080?\u1103? \u1087?\u1072?\u1088?\u1083?\u1072?\u1084?\u1077?\u1085?\u1090? \u1080? \u1085?\u1072? \u1057?\u1098?\u1074?\u1077?\u1090?\u1072? \u1086?\u1090? 21 \u1084?\u1072?\u1081? 2013 \u1075?. \u1086?\u1090?\u1085?\u1086?\u1089?\u1085?\u1086? \u1084?\u1077?\u1093?\u1072?\u1085?\u1080?\u1079?\u1098?\u1084? \u1079?\u1072? \u1084?\u1086?\u1085?\u1080?\u1090?\u1086?\u1088?\u1080?\u1085?\u1075? \u1080? \u1076?\u1086?\u1082?\u1083?\u1072?\u1076?\u1074?\u1072?\u1085?\u1077? \u1085?\u1072? \u1077?\u1084?\u1080?\u1089?\u1080?\u1080?\u1090?\u1077? \u1085?\u1072? \u1087?\u1072?\u1088?\u1085?\u1080?\u1082?\u1086?\u1074?\u1080? \u1075?\u1072?\u1079?\u1086?\u1074?\u1077? \u1080? \u1079?\u1072? \u1076?\u1086?\u1082?\u1083?\u1072?\u1076?\u1074?\u1072?\u1085?\u1077? \u1085?\u1072? \u1076?\u1088?\u1091?\u1075?\u1072? \u1080?\u1085?\u1092?\u1086?\u1088?\u1084?\u1072?\u1094?\u1080?\u1103?, \u1089?\u1074?\u1098?\u1088?\u1079?\u1072?\u1085?\u1072? \u1089? \u1080?\u1079?\u1084?\u1077?\u1085?\u1077?\u1085?\u1080?\u1077?\u1090?\u1086? \u1085?\u1072? \u1082?\u1083?\u1080?\u1084?\u1072?\u1090?\u1072?, \u1085?\u1072? \u1085?\u1072?\u1094?\u1080?\u1086?\u1085?\u1072?\u1083?\u1085?\u1086? \u1088?\u1072?\u1074?\u1085?\u1080?\u1097?\u1077? \u1080? \u1085?\u1072? \u1088?\u1072?\u1074?\u1085?\u1080?\u1097?\u1077?\u1090?\u1086? \u1085?\u1072? \u1057?\u1098?\u1102?\u1079?\u1072? \u1080? \u1086?\u1090?\u1084?\u1103?\u1085?\u1072? \u1085?\u1072? \u1056?\u1077?\u1096?\u1077?\u1085?\u1080?\u1077? \u8470? 280/2004/\u1045?\u1054? \u1080? \u1056?\u1077?\u1096?\u1077?\u1085?\u1080?\u1077? 2/CP.17 \u1085?\u1072? \u1050?\u1086?\u1085?\u1092?\u1077?\u1088?\u1077?\u1085?\u1094?\u1080?\u1103?\u1090?\u1072? \u1085?\u1072? \u1089?\u1090?\u1088?\u1072?\u1085?\u1080?\u1090?\u1077? \u1087?\u1086? \u1056?\u1050?\u1054?\u1054?\u1053?\u1048?\u1050?)"/>
    <w:docVar w:name="LW_SUPERTITRE" w:val="&lt;UNUSED&gt;"/>
    <w:docVar w:name="LW_TITRE.OBJ.CP" w:val="\u1042?\u1090?\u1086?\u1088?\u1080? \u1076?\u1074?\u1091?\u1075?\u1086?\u1076?\u1080?\u1096?\u1077?\u1085? \u1076?\u1086?\u1082?\u1083?\u1072?\u1076? \u1085?\u1072? \u1045?\u1074?\u1088?\u1086?\u1087?\u1077?\u1081?\u1089?\u1082?\u1080?\u1103? \u1089?\u1098?\u1102?\u1079? \u1089?\u1098?\u1075?\u1083?\u1072?\u1089?\u1085?\u1086? \u1056?\u1072?\u1084?\u1082?\u1086?\u1074?\u1072?\u1090?\u1072? \u1082?\u1086?\u1085?\u1074?\u1077?\u1085?\u1094?\u1080?\u1103? \u1085?\u1072? \u1054?\u1054?\u1053? \u1087?\u1086? \u1080?\u1079?\u1084?\u1077?\u1085?\u1077?\u1085?\u1080?\u1077?\u1090?\u1086? \u1085?\u1072? \u1082?\u1083?\u1080?\u1084?\u1072?\u1090?\u1072?"/>
    <w:docVar w:name="LW_TYPE.DOC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0">
    <w:name w:val="Bullet 0"/>
    <w:basedOn w:val="Normal"/>
    <w:pPr>
      <w:numPr>
        <w:numId w:val="1"/>
      </w:numPr>
      <w:spacing w:before="120" w:after="120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mallCaps/>
      <w:noProof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  <w:rPr>
      <w:lang w:eastAsia="en-US" w:bidi="ar-SA"/>
    </w:rPr>
  </w:style>
  <w:style w:type="paragraph" w:styleId="ListBullet">
    <w:name w:val="List Bullet"/>
    <w:basedOn w:val="Normal"/>
    <w:pPr>
      <w:numPr>
        <w:numId w:val="3"/>
      </w:numPr>
    </w:pPr>
    <w:rPr>
      <w:lang w:eastAsia="en-US" w:bidi="ar-SA"/>
    </w:rPr>
  </w:style>
  <w:style w:type="paragraph" w:customStyle="1" w:styleId="ListBullet1">
    <w:name w:val="List Bullet 1"/>
    <w:basedOn w:val="Normal"/>
    <w:pPr>
      <w:numPr>
        <w:numId w:val="4"/>
      </w:numPr>
    </w:pPr>
    <w:rPr>
      <w:lang w:eastAsia="en-US" w:bidi="ar-SA"/>
    </w:rPr>
  </w:style>
  <w:style w:type="paragraph" w:styleId="ListBullet2">
    <w:name w:val="List Bullet 2"/>
    <w:basedOn w:val="Normal"/>
    <w:pPr>
      <w:numPr>
        <w:numId w:val="6"/>
      </w:numPr>
    </w:pPr>
    <w:rPr>
      <w:lang w:eastAsia="en-US" w:bidi="ar-SA"/>
    </w:rPr>
  </w:style>
  <w:style w:type="paragraph" w:styleId="ListBullet3">
    <w:name w:val="List Bullet 3"/>
    <w:basedOn w:val="Normal"/>
    <w:pPr>
      <w:numPr>
        <w:numId w:val="8"/>
      </w:numPr>
    </w:pPr>
    <w:rPr>
      <w:lang w:eastAsia="en-US" w:bidi="ar-SA"/>
    </w:rPr>
  </w:style>
  <w:style w:type="paragraph" w:styleId="ListBullet4">
    <w:name w:val="List Bullet 4"/>
    <w:basedOn w:val="Normal"/>
    <w:pPr>
      <w:numPr>
        <w:numId w:val="10"/>
      </w:numPr>
    </w:pPr>
    <w:rPr>
      <w:lang w:eastAsia="en-US" w:bidi="ar-SA"/>
    </w:rPr>
  </w:style>
  <w:style w:type="paragraph" w:customStyle="1" w:styleId="ListDash">
    <w:name w:val="List Dash"/>
    <w:basedOn w:val="Normal"/>
    <w:pPr>
      <w:numPr>
        <w:numId w:val="11"/>
      </w:numPr>
    </w:pPr>
    <w:rPr>
      <w:lang w:eastAsia="en-US" w:bidi="ar-SA"/>
    </w:rPr>
  </w:style>
  <w:style w:type="paragraph" w:customStyle="1" w:styleId="ListDash1">
    <w:name w:val="List Dash 1"/>
    <w:basedOn w:val="Normal"/>
    <w:pPr>
      <w:numPr>
        <w:numId w:val="12"/>
      </w:numPr>
    </w:pPr>
    <w:rPr>
      <w:lang w:eastAsia="en-US" w:bidi="ar-SA"/>
    </w:rPr>
  </w:style>
  <w:style w:type="paragraph" w:customStyle="1" w:styleId="ListDash2">
    <w:name w:val="List Dash 2"/>
    <w:basedOn w:val="Normal"/>
    <w:pPr>
      <w:numPr>
        <w:numId w:val="13"/>
      </w:numPr>
    </w:pPr>
    <w:rPr>
      <w:lang w:eastAsia="en-US" w:bidi="ar-SA"/>
    </w:rPr>
  </w:style>
  <w:style w:type="paragraph" w:customStyle="1" w:styleId="ListDash3">
    <w:name w:val="List Dash 3"/>
    <w:basedOn w:val="Normal"/>
    <w:pPr>
      <w:numPr>
        <w:numId w:val="14"/>
      </w:numPr>
    </w:pPr>
    <w:rPr>
      <w:lang w:eastAsia="en-US" w:bidi="ar-SA"/>
    </w:rPr>
  </w:style>
  <w:style w:type="paragraph" w:customStyle="1" w:styleId="ListDash4">
    <w:name w:val="List Dash 4"/>
    <w:basedOn w:val="Normal"/>
    <w:pPr>
      <w:numPr>
        <w:numId w:val="15"/>
      </w:numPr>
    </w:pPr>
    <w:rPr>
      <w:lang w:eastAsia="en-US" w:bidi="ar-SA"/>
    </w:rPr>
  </w:style>
  <w:style w:type="paragraph" w:styleId="ListNumber">
    <w:name w:val="List Number"/>
    <w:basedOn w:val="Normal"/>
    <w:pPr>
      <w:numPr>
        <w:numId w:val="35"/>
      </w:numPr>
    </w:pPr>
    <w:rPr>
      <w:lang w:eastAsia="en-US" w:bidi="ar-SA"/>
    </w:rPr>
  </w:style>
  <w:style w:type="paragraph" w:customStyle="1" w:styleId="ListNumber1">
    <w:name w:val="List Number 1"/>
    <w:basedOn w:val="Normal"/>
    <w:pPr>
      <w:numPr>
        <w:numId w:val="36"/>
      </w:numPr>
    </w:pPr>
    <w:rPr>
      <w:lang w:eastAsia="en-US" w:bidi="ar-SA"/>
    </w:rPr>
  </w:style>
  <w:style w:type="paragraph" w:styleId="ListNumber2">
    <w:name w:val="List Number 2"/>
    <w:basedOn w:val="Normal"/>
    <w:pPr>
      <w:numPr>
        <w:numId w:val="37"/>
      </w:numPr>
    </w:pPr>
    <w:rPr>
      <w:lang w:eastAsia="en-US" w:bidi="ar-SA"/>
    </w:rPr>
  </w:style>
  <w:style w:type="paragraph" w:styleId="ListNumber3">
    <w:name w:val="List Number 3"/>
    <w:basedOn w:val="Normal"/>
    <w:pPr>
      <w:numPr>
        <w:numId w:val="38"/>
      </w:numPr>
    </w:pPr>
    <w:rPr>
      <w:lang w:eastAsia="en-US" w:bidi="ar-SA"/>
    </w:rPr>
  </w:style>
  <w:style w:type="paragraph" w:styleId="ListNumber4">
    <w:name w:val="List Number 4"/>
    <w:basedOn w:val="Normal"/>
    <w:pPr>
      <w:numPr>
        <w:numId w:val="39"/>
      </w:numPr>
    </w:pPr>
    <w:rPr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35"/>
      </w:numPr>
    </w:pPr>
    <w:rPr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36"/>
      </w:numPr>
    </w:pPr>
    <w:rPr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37"/>
      </w:numPr>
    </w:pPr>
    <w:rPr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38"/>
      </w:numPr>
    </w:pPr>
    <w:rPr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39"/>
      </w:numPr>
    </w:pPr>
    <w:rPr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35"/>
      </w:numPr>
    </w:pPr>
    <w:rPr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36"/>
      </w:numPr>
    </w:pPr>
    <w:rPr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37"/>
      </w:numPr>
    </w:pPr>
    <w:rPr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38"/>
      </w:numPr>
    </w:pPr>
    <w:rPr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39"/>
      </w:numPr>
    </w:pPr>
    <w:rPr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35"/>
      </w:numPr>
    </w:pPr>
    <w:rPr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36"/>
      </w:numPr>
    </w:pPr>
    <w:rPr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37"/>
      </w:numPr>
    </w:pPr>
    <w:rPr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38"/>
      </w:numPr>
    </w:pPr>
    <w:rPr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39"/>
      </w:numPr>
    </w:pPr>
    <w:rPr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0">
    <w:name w:val="Bullet 0"/>
    <w:basedOn w:val="Normal"/>
    <w:pPr>
      <w:numPr>
        <w:numId w:val="1"/>
      </w:numPr>
      <w:spacing w:before="120" w:after="120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mallCaps/>
      <w:noProof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mallCaps/>
      <w:noProof/>
      <w:sz w:val="24"/>
      <w:szCs w:val="24"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  <w:rPr>
      <w:lang w:eastAsia="en-US" w:bidi="ar-SA"/>
    </w:rPr>
  </w:style>
  <w:style w:type="paragraph" w:styleId="ListBullet">
    <w:name w:val="List Bullet"/>
    <w:basedOn w:val="Normal"/>
    <w:pPr>
      <w:numPr>
        <w:numId w:val="3"/>
      </w:numPr>
    </w:pPr>
    <w:rPr>
      <w:lang w:eastAsia="en-US" w:bidi="ar-SA"/>
    </w:rPr>
  </w:style>
  <w:style w:type="paragraph" w:customStyle="1" w:styleId="ListBullet1">
    <w:name w:val="List Bullet 1"/>
    <w:basedOn w:val="Normal"/>
    <w:pPr>
      <w:numPr>
        <w:numId w:val="4"/>
      </w:numPr>
    </w:pPr>
    <w:rPr>
      <w:lang w:eastAsia="en-US" w:bidi="ar-SA"/>
    </w:rPr>
  </w:style>
  <w:style w:type="paragraph" w:styleId="ListBullet2">
    <w:name w:val="List Bullet 2"/>
    <w:basedOn w:val="Normal"/>
    <w:pPr>
      <w:numPr>
        <w:numId w:val="6"/>
      </w:numPr>
    </w:pPr>
    <w:rPr>
      <w:lang w:eastAsia="en-US" w:bidi="ar-SA"/>
    </w:rPr>
  </w:style>
  <w:style w:type="paragraph" w:styleId="ListBullet3">
    <w:name w:val="List Bullet 3"/>
    <w:basedOn w:val="Normal"/>
    <w:pPr>
      <w:numPr>
        <w:numId w:val="8"/>
      </w:numPr>
    </w:pPr>
    <w:rPr>
      <w:lang w:eastAsia="en-US" w:bidi="ar-SA"/>
    </w:rPr>
  </w:style>
  <w:style w:type="paragraph" w:styleId="ListBullet4">
    <w:name w:val="List Bullet 4"/>
    <w:basedOn w:val="Normal"/>
    <w:pPr>
      <w:numPr>
        <w:numId w:val="10"/>
      </w:numPr>
    </w:pPr>
    <w:rPr>
      <w:lang w:eastAsia="en-US" w:bidi="ar-SA"/>
    </w:rPr>
  </w:style>
  <w:style w:type="paragraph" w:customStyle="1" w:styleId="ListDash">
    <w:name w:val="List Dash"/>
    <w:basedOn w:val="Normal"/>
    <w:pPr>
      <w:numPr>
        <w:numId w:val="11"/>
      </w:numPr>
    </w:pPr>
    <w:rPr>
      <w:lang w:eastAsia="en-US" w:bidi="ar-SA"/>
    </w:rPr>
  </w:style>
  <w:style w:type="paragraph" w:customStyle="1" w:styleId="ListDash1">
    <w:name w:val="List Dash 1"/>
    <w:basedOn w:val="Normal"/>
    <w:pPr>
      <w:numPr>
        <w:numId w:val="12"/>
      </w:numPr>
    </w:pPr>
    <w:rPr>
      <w:lang w:eastAsia="en-US" w:bidi="ar-SA"/>
    </w:rPr>
  </w:style>
  <w:style w:type="paragraph" w:customStyle="1" w:styleId="ListDash2">
    <w:name w:val="List Dash 2"/>
    <w:basedOn w:val="Normal"/>
    <w:pPr>
      <w:numPr>
        <w:numId w:val="13"/>
      </w:numPr>
    </w:pPr>
    <w:rPr>
      <w:lang w:eastAsia="en-US" w:bidi="ar-SA"/>
    </w:rPr>
  </w:style>
  <w:style w:type="paragraph" w:customStyle="1" w:styleId="ListDash3">
    <w:name w:val="List Dash 3"/>
    <w:basedOn w:val="Normal"/>
    <w:pPr>
      <w:numPr>
        <w:numId w:val="14"/>
      </w:numPr>
    </w:pPr>
    <w:rPr>
      <w:lang w:eastAsia="en-US" w:bidi="ar-SA"/>
    </w:rPr>
  </w:style>
  <w:style w:type="paragraph" w:customStyle="1" w:styleId="ListDash4">
    <w:name w:val="List Dash 4"/>
    <w:basedOn w:val="Normal"/>
    <w:pPr>
      <w:numPr>
        <w:numId w:val="15"/>
      </w:numPr>
    </w:pPr>
    <w:rPr>
      <w:lang w:eastAsia="en-US" w:bidi="ar-SA"/>
    </w:rPr>
  </w:style>
  <w:style w:type="paragraph" w:styleId="ListNumber">
    <w:name w:val="List Number"/>
    <w:basedOn w:val="Normal"/>
    <w:pPr>
      <w:numPr>
        <w:numId w:val="35"/>
      </w:numPr>
    </w:pPr>
    <w:rPr>
      <w:lang w:eastAsia="en-US" w:bidi="ar-SA"/>
    </w:rPr>
  </w:style>
  <w:style w:type="paragraph" w:customStyle="1" w:styleId="ListNumber1">
    <w:name w:val="List Number 1"/>
    <w:basedOn w:val="Normal"/>
    <w:pPr>
      <w:numPr>
        <w:numId w:val="36"/>
      </w:numPr>
    </w:pPr>
    <w:rPr>
      <w:lang w:eastAsia="en-US" w:bidi="ar-SA"/>
    </w:rPr>
  </w:style>
  <w:style w:type="paragraph" w:styleId="ListNumber2">
    <w:name w:val="List Number 2"/>
    <w:basedOn w:val="Normal"/>
    <w:pPr>
      <w:numPr>
        <w:numId w:val="37"/>
      </w:numPr>
    </w:pPr>
    <w:rPr>
      <w:lang w:eastAsia="en-US" w:bidi="ar-SA"/>
    </w:rPr>
  </w:style>
  <w:style w:type="paragraph" w:styleId="ListNumber3">
    <w:name w:val="List Number 3"/>
    <w:basedOn w:val="Normal"/>
    <w:pPr>
      <w:numPr>
        <w:numId w:val="38"/>
      </w:numPr>
    </w:pPr>
    <w:rPr>
      <w:lang w:eastAsia="en-US" w:bidi="ar-SA"/>
    </w:rPr>
  </w:style>
  <w:style w:type="paragraph" w:styleId="ListNumber4">
    <w:name w:val="List Number 4"/>
    <w:basedOn w:val="Normal"/>
    <w:pPr>
      <w:numPr>
        <w:numId w:val="39"/>
      </w:numPr>
    </w:pPr>
    <w:rPr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35"/>
      </w:numPr>
    </w:pPr>
    <w:rPr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36"/>
      </w:numPr>
    </w:pPr>
    <w:rPr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37"/>
      </w:numPr>
    </w:pPr>
    <w:rPr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38"/>
      </w:numPr>
    </w:pPr>
    <w:rPr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39"/>
      </w:numPr>
    </w:pPr>
    <w:rPr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35"/>
      </w:numPr>
    </w:pPr>
    <w:rPr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36"/>
      </w:numPr>
    </w:pPr>
    <w:rPr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37"/>
      </w:numPr>
    </w:pPr>
    <w:rPr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38"/>
      </w:numPr>
    </w:pPr>
    <w:rPr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39"/>
      </w:numPr>
    </w:pPr>
    <w:rPr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35"/>
      </w:numPr>
    </w:pPr>
    <w:rPr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36"/>
      </w:numPr>
    </w:pPr>
    <w:rPr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37"/>
      </w:numPr>
    </w:pPr>
    <w:rPr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38"/>
      </w:numPr>
    </w:pPr>
    <w:rPr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39"/>
      </w:numPr>
    </w:pPr>
    <w:rPr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C2A6-6C04-438D-AA58-37FB5112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45</TotalTime>
  <Pages>5</Pages>
  <Words>1816</Words>
  <Characters>9627</Characters>
  <Application>Microsoft Office Word</Application>
  <DocSecurity>0</DocSecurity>
  <Lines>165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23</cp:revision>
  <dcterms:created xsi:type="dcterms:W3CDTF">2015-11-05T10:36:00Z</dcterms:created>
  <dcterms:modified xsi:type="dcterms:W3CDTF">2015-12-14T11:18:00Z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3.0</vt:lpwstr>
  </property>
  <property fmtid="{D5CDD505-2E9C-101B-9397-08002B2CF9AE}" pid="7" name="Last edited using">
    <vt:lpwstr>EL </vt:lpwstr>
  </property>
  <property fmtid="{D5CDD505-2E9C-101B-9397-08002B2CF9AE}" pid="8" name="DocStatus">
    <vt:lpwstr>Green</vt:lpwstr>
  </property>
</Properties>
</file>