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B2" w:rsidRPr="00EA49C6" w:rsidRDefault="00874734" w:rsidP="00874734">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9FB7E93A1944BDF92A9B166B7FE2D85" style="width:450pt;height:450pt">
            <v:imagedata r:id="rId9" o:title=""/>
          </v:shape>
        </w:pict>
      </w:r>
      <w:bookmarkEnd w:id="0"/>
    </w:p>
    <w:p w:rsidR="002428B2" w:rsidRPr="00EA49C6" w:rsidRDefault="002428B2">
      <w:pPr>
        <w:rPr>
          <w:rFonts w:eastAsia="SimSun"/>
          <w:noProof/>
        </w:rPr>
        <w:sectPr w:rsidR="002428B2" w:rsidRPr="00EA49C6" w:rsidSect="00874734">
          <w:footerReference w:type="default" r:id="rId10"/>
          <w:pgSz w:w="11907" w:h="16839"/>
          <w:pgMar w:top="1134" w:right="1417" w:bottom="1134" w:left="1417" w:header="709" w:footer="709" w:gutter="0"/>
          <w:pgNumType w:start="1"/>
          <w:cols w:space="720"/>
          <w:docGrid w:linePitch="360"/>
        </w:sectPr>
      </w:pPr>
    </w:p>
    <w:p w:rsidR="002428B2" w:rsidRPr="00EA49C6" w:rsidRDefault="002428B2">
      <w:pPr>
        <w:pStyle w:val="Exposdesmotifstitre"/>
        <w:rPr>
          <w:noProof/>
        </w:rPr>
      </w:pPr>
      <w:r w:rsidRPr="00EA49C6">
        <w:lastRenderedPageBreak/>
        <w:t>EXPOSÉ DES MOTIFS</w:t>
      </w:r>
    </w:p>
    <w:p w:rsidR="002428B2" w:rsidRPr="00EA49C6" w:rsidRDefault="002428B2">
      <w:pPr>
        <w:rPr>
          <w:noProof/>
        </w:rPr>
      </w:pPr>
    </w:p>
    <w:p w:rsidR="002428B2" w:rsidRPr="00EA49C6" w:rsidRDefault="002428B2">
      <w:pPr>
        <w:pStyle w:val="ManualHeading1"/>
        <w:spacing w:before="120"/>
        <w:rPr>
          <w:noProof/>
        </w:rPr>
      </w:pPr>
      <w:r w:rsidRPr="00CD4A68">
        <w:t>1</w:t>
      </w:r>
      <w:r w:rsidRPr="00EA49C6">
        <w:t>.</w:t>
      </w:r>
      <w:r w:rsidRPr="00EA49C6">
        <w:tab/>
        <w:t>CONTEXTE DE LA PROPOSITION</w:t>
      </w:r>
    </w:p>
    <w:p w:rsidR="002428B2" w:rsidRPr="00EA49C6" w:rsidRDefault="002428B2">
      <w:pPr>
        <w:pStyle w:val="ManualHeading2"/>
        <w:rPr>
          <w:noProof/>
        </w:rPr>
      </w:pPr>
      <w:r w:rsidRPr="00CD4A68">
        <w:t>1</w:t>
      </w:r>
      <w:r w:rsidRPr="00EA49C6">
        <w:t>.</w:t>
      </w:r>
      <w:r w:rsidRPr="00CD4A68">
        <w:t>1</w:t>
      </w:r>
      <w:r w:rsidRPr="00EA49C6">
        <w:tab/>
        <w:t>Contexte général</w:t>
      </w:r>
    </w:p>
    <w:p w:rsidR="002428B2" w:rsidRPr="00EA49C6" w:rsidRDefault="002428B2">
      <w:pPr>
        <w:rPr>
          <w:rFonts w:eastAsia="SimSun"/>
          <w:noProof/>
        </w:rPr>
      </w:pPr>
      <w:r w:rsidRPr="00EA49C6">
        <w:t xml:space="preserve">L’économie européenne perd une quantité considérable de matières premières secondaires potentielles, qui se retrouvent dans les flux de déchets. En </w:t>
      </w:r>
      <w:r w:rsidRPr="00CD4A68">
        <w:t>2013</w:t>
      </w:r>
      <w:r w:rsidRPr="00EA49C6">
        <w:t xml:space="preserve">, l’Union européenne a produit au total environ </w:t>
      </w:r>
      <w:r w:rsidRPr="00CD4A68">
        <w:t>2</w:t>
      </w:r>
      <w:r w:rsidRPr="00EA49C6">
        <w:t>,</w:t>
      </w:r>
      <w:r w:rsidRPr="00CD4A68">
        <w:t>5</w:t>
      </w:r>
      <w:r w:rsidRPr="00EA49C6">
        <w:t xml:space="preserve"> milliards de tonnes de déchets dont </w:t>
      </w:r>
      <w:r w:rsidRPr="00CD4A68">
        <w:t>1</w:t>
      </w:r>
      <w:r w:rsidRPr="00EA49C6">
        <w:t>,</w:t>
      </w:r>
      <w:r w:rsidRPr="00CD4A68">
        <w:t>6</w:t>
      </w:r>
      <w:r w:rsidRPr="00EA49C6">
        <w:t xml:space="preserve"> milliard de tonnes n’ont pas été réutilisés ni recyclés et ont donc été perdus pour l’économie européenne. Selon les estimations, quelque </w:t>
      </w:r>
      <w:r w:rsidRPr="00CD4A68">
        <w:t>600</w:t>
      </w:r>
      <w:r w:rsidRPr="00EA49C6">
        <w:t xml:space="preserve"> millions de tonnes supplémentaires de déchets auraient pu être recyclés ou réutilisés. À titre d’exemple, seule une part limitée (</w:t>
      </w:r>
      <w:r w:rsidRPr="00CD4A68">
        <w:t>43</w:t>
      </w:r>
      <w:r w:rsidRPr="00EA49C6">
        <w:t> %) des déchets municipaux générés dans l’Union a été recyclée; le reste a été mis en décharge (</w:t>
      </w:r>
      <w:r w:rsidRPr="00CD4A68">
        <w:t>31</w:t>
      </w:r>
      <w:r w:rsidRPr="00EA49C6">
        <w:t> %) ou incinéré (</w:t>
      </w:r>
      <w:r w:rsidRPr="00CD4A68">
        <w:t>26</w:t>
      </w:r>
      <w:r w:rsidRPr="00EA49C6">
        <w:t xml:space="preserve"> %). L’Union passe donc à côté d'occasions non négligeables d’améliorer l’efficacité d’utilisation des ressources et de créer une économie plus circulaire. </w:t>
      </w:r>
    </w:p>
    <w:p w:rsidR="002428B2" w:rsidRPr="00EA49C6" w:rsidRDefault="002428B2">
      <w:pPr>
        <w:rPr>
          <w:rFonts w:eastAsia="SimSun"/>
          <w:noProof/>
        </w:rPr>
      </w:pPr>
      <w:r w:rsidRPr="00EA49C6">
        <w:t xml:space="preserve">En ce qui concerne la gestion des déchets, force est aussi de constater l'existence de grandes différences entre les États membres de l'Union. En </w:t>
      </w:r>
      <w:r w:rsidRPr="00CD4A68">
        <w:t>2011</w:t>
      </w:r>
      <w:r w:rsidRPr="00EA49C6">
        <w:t xml:space="preserve">, alors que six États membres ont mis en décharge moins de </w:t>
      </w:r>
      <w:r w:rsidRPr="00CD4A68">
        <w:t>3</w:t>
      </w:r>
      <w:r w:rsidRPr="00EA49C6">
        <w:t xml:space="preserve"> % de leurs déchets municipaux, </w:t>
      </w:r>
      <w:r w:rsidRPr="00CD4A68">
        <w:t>18</w:t>
      </w:r>
      <w:r w:rsidRPr="00EA49C6">
        <w:t xml:space="preserve"> autres ont eu recours à cette pratique pour se débarrasser de plus de </w:t>
      </w:r>
      <w:r w:rsidRPr="00CD4A68">
        <w:t>50</w:t>
      </w:r>
      <w:r w:rsidRPr="00EA49C6">
        <w:t xml:space="preserve"> %, voire de plus de </w:t>
      </w:r>
      <w:r w:rsidRPr="00CD4A68">
        <w:t>90</w:t>
      </w:r>
      <w:r w:rsidRPr="00EA49C6">
        <w:t> %, des leurs. Il convient de mettre fin à ces disparités dans les plus brefs délais.</w:t>
      </w:r>
    </w:p>
    <w:p w:rsidR="002428B2" w:rsidRPr="00EA49C6" w:rsidRDefault="002428B2">
      <w:pPr>
        <w:rPr>
          <w:rFonts w:eastAsia="SimSun"/>
          <w:noProof/>
        </w:rPr>
      </w:pPr>
      <w:r w:rsidRPr="00EA49C6">
        <w:t xml:space="preserve">Les propositions visant à modifier la directive </w:t>
      </w:r>
      <w:r w:rsidRPr="00CD4A68">
        <w:t>2008</w:t>
      </w:r>
      <w:r w:rsidRPr="00EA49C6">
        <w:t>/</w:t>
      </w:r>
      <w:r w:rsidRPr="00CD4A68">
        <w:t>98</w:t>
      </w:r>
      <w:r w:rsidRPr="00EA49C6">
        <w:t>/CE relative aux déchets</w:t>
      </w:r>
      <w:r w:rsidRPr="00EA49C6">
        <w:rPr>
          <w:rStyle w:val="FootnoteReference"/>
          <w:noProof/>
        </w:rPr>
        <w:footnoteReference w:id="2"/>
      </w:r>
      <w:r w:rsidRPr="00EA49C6">
        <w:t xml:space="preserve">, la directive </w:t>
      </w:r>
      <w:r w:rsidRPr="00CD4A68">
        <w:t>94</w:t>
      </w:r>
      <w:r w:rsidRPr="00EA49C6">
        <w:t>/</w:t>
      </w:r>
      <w:r w:rsidRPr="00CD4A68">
        <w:t>62</w:t>
      </w:r>
      <w:r w:rsidRPr="00EA49C6">
        <w:t>/CE relative aux emballages et aux déchets d’emballages</w:t>
      </w:r>
      <w:r w:rsidRPr="00EA49C6">
        <w:rPr>
          <w:rStyle w:val="FootnoteReference"/>
          <w:noProof/>
        </w:rPr>
        <w:footnoteReference w:id="3"/>
      </w:r>
      <w:r w:rsidRPr="00EA49C6">
        <w:t xml:space="preserve">, la directive </w:t>
      </w:r>
      <w:r w:rsidRPr="00CD4A68">
        <w:t>1999</w:t>
      </w:r>
      <w:r w:rsidRPr="00EA49C6">
        <w:t>/</w:t>
      </w:r>
      <w:r w:rsidRPr="00CD4A68">
        <w:t>31</w:t>
      </w:r>
      <w:r w:rsidRPr="00EA49C6">
        <w:t>/CE concernant la mise en décharge des déchets</w:t>
      </w:r>
      <w:r w:rsidRPr="00EA49C6">
        <w:rPr>
          <w:rStyle w:val="FootnoteReference"/>
          <w:noProof/>
        </w:rPr>
        <w:footnoteReference w:id="4"/>
      </w:r>
      <w:r w:rsidRPr="00EA49C6">
        <w:t xml:space="preserve">, la directive </w:t>
      </w:r>
      <w:r w:rsidRPr="00CD4A68">
        <w:t>2000</w:t>
      </w:r>
      <w:r w:rsidRPr="00EA49C6">
        <w:t>/</w:t>
      </w:r>
      <w:r w:rsidRPr="00CD4A68">
        <w:t>53</w:t>
      </w:r>
      <w:r w:rsidRPr="00EA49C6">
        <w:t>/CE relative aux véhicules hors d’usage</w:t>
      </w:r>
      <w:r w:rsidRPr="00EA49C6">
        <w:rPr>
          <w:rStyle w:val="FootnoteReference"/>
          <w:noProof/>
        </w:rPr>
        <w:footnoteReference w:id="5"/>
      </w:r>
      <w:r w:rsidRPr="00EA49C6">
        <w:t xml:space="preserve">, la directive </w:t>
      </w:r>
      <w:r w:rsidRPr="00CD4A68">
        <w:t>2006</w:t>
      </w:r>
      <w:r w:rsidRPr="00EA49C6">
        <w:t>/</w:t>
      </w:r>
      <w:r w:rsidRPr="00CD4A68">
        <w:t>66</w:t>
      </w:r>
      <w:r w:rsidRPr="00EA49C6">
        <w:t>/CE relative aux piles et accumulateurs ainsi qu’aux déchets de piles et d’accumulateurs</w:t>
      </w:r>
      <w:r w:rsidRPr="00EA49C6">
        <w:rPr>
          <w:rStyle w:val="FootnoteReference"/>
          <w:noProof/>
        </w:rPr>
        <w:footnoteReference w:id="6"/>
      </w:r>
      <w:r w:rsidRPr="00EA49C6">
        <w:t xml:space="preserve"> et la directive </w:t>
      </w:r>
      <w:r w:rsidRPr="00CD4A68">
        <w:t>2012</w:t>
      </w:r>
      <w:r w:rsidRPr="00EA49C6">
        <w:t>/</w:t>
      </w:r>
      <w:r w:rsidRPr="00CD4A68">
        <w:t>19</w:t>
      </w:r>
      <w:r w:rsidRPr="00EA49C6">
        <w:t>/UE relative aux déchets d’équipements électriques et électroniques</w:t>
      </w:r>
      <w:r w:rsidRPr="00EA49C6">
        <w:rPr>
          <w:rStyle w:val="FootnoteReference"/>
          <w:noProof/>
        </w:rPr>
        <w:footnoteReference w:id="7"/>
      </w:r>
      <w:r w:rsidRPr="00EA49C6">
        <w:t xml:space="preserve"> font partie d'un train de mesures sur l'économie circulaire qui englobe également une communication de la Commission intitulée «Boucler la boucle ─ Un plan d'action de l'Union européenne en faveur de l'économie circulaire».</w:t>
      </w:r>
    </w:p>
    <w:p w:rsidR="002428B2" w:rsidRPr="00EA49C6" w:rsidRDefault="002428B2">
      <w:pPr>
        <w:pStyle w:val="ManualHeading2"/>
        <w:rPr>
          <w:noProof/>
        </w:rPr>
      </w:pPr>
      <w:r w:rsidRPr="00CD4A68">
        <w:t>1</w:t>
      </w:r>
      <w:r w:rsidRPr="00EA49C6">
        <w:t>.</w:t>
      </w:r>
      <w:r w:rsidRPr="00CD4A68">
        <w:t>2</w:t>
      </w:r>
      <w:r w:rsidRPr="00EA49C6">
        <w:tab/>
        <w:t>Motivation et objectifs de la proposition</w:t>
      </w:r>
    </w:p>
    <w:p w:rsidR="002428B2" w:rsidRPr="00EA49C6" w:rsidRDefault="002428B2">
      <w:pPr>
        <w:rPr>
          <w:noProof/>
        </w:rPr>
      </w:pPr>
      <w:r w:rsidRPr="00EA49C6">
        <w:t>Les évolutions récentes donnent à penser qu'il est possible de progresser davantage en matière d'utilisation efficace des ressources et que des avantages économiques, environnementaux et sociaux considérables peuvent en résulter. Transformer les déchets en ressources est essentiel pour une utilisation plus efficace des ressources et pour «boucler la boucle», dans une économie circulaire.</w:t>
      </w:r>
    </w:p>
    <w:p w:rsidR="002428B2" w:rsidRPr="00EA49C6" w:rsidRDefault="002428B2">
      <w:pPr>
        <w:rPr>
          <w:noProof/>
        </w:rPr>
      </w:pPr>
      <w:r w:rsidRPr="00EA49C6">
        <w:t xml:space="preserve">Les objectifs chiffrés juridiquement contraignants fixés par la législation européenne en matière de déchets ont joué un rôle déterminant dans l'amélioration des pratiques de gestion </w:t>
      </w:r>
      <w:r w:rsidRPr="00EA49C6">
        <w:lastRenderedPageBreak/>
        <w:t>des déchets, la stimulation de l’innovation dans le domaine du recyclage, la limitation de la mise en décharge et la mise en place de mesures d'incitation destinées à faire évoluer le comportement des consommateurs. Des avantages considérables sont à attendre d'un développement de la politique relative aux déchets: une croissance durable et de nouveaux emplois, moins d'émissions de gaz à effet de serre, des économies directes liées à l’amélioration des pratiques de gestion des déchets et un meilleur environnement.</w:t>
      </w:r>
    </w:p>
    <w:p w:rsidR="002428B2" w:rsidRPr="00EA49C6" w:rsidRDefault="002428B2">
      <w:pPr>
        <w:rPr>
          <w:rFonts w:eastAsia="SimSun"/>
          <w:noProof/>
        </w:rPr>
      </w:pPr>
      <w:r w:rsidRPr="00EA49C6">
        <w:t xml:space="preserve">La proposition de modification de la directive </w:t>
      </w:r>
      <w:r w:rsidRPr="00CD4A68">
        <w:t>2008</w:t>
      </w:r>
      <w:r w:rsidRPr="00EA49C6">
        <w:t>/</w:t>
      </w:r>
      <w:r w:rsidRPr="00CD4A68">
        <w:t>98</w:t>
      </w:r>
      <w:r w:rsidRPr="00EA49C6">
        <w:t xml:space="preserve">/CE répond à l'obligation juridique de réexamen des objectifs de gestion des déchets qui y sont définis. Les propositions qui font partie du train de mesures sur l'économie circulaire et modifient les six directives mentionnées plus haut s'appuient en partie sur la proposition que la Commission avait présentée en juillet </w:t>
      </w:r>
      <w:r w:rsidRPr="00CD4A68">
        <w:t>2014</w:t>
      </w:r>
      <w:r w:rsidRPr="00EA49C6">
        <w:t xml:space="preserve"> puis retirée en février </w:t>
      </w:r>
      <w:r w:rsidRPr="00CD4A68">
        <w:t>2015</w:t>
      </w:r>
      <w:r w:rsidRPr="00EA49C6">
        <w:t>. Ces propositions sont en accord avec les objectifs de la feuille de route pour une Europe efficace dans l’utilisation des ressources</w:t>
      </w:r>
      <w:r w:rsidRPr="00EA49C6">
        <w:rPr>
          <w:rStyle w:val="FootnoteReference"/>
          <w:noProof/>
        </w:rPr>
        <w:footnoteReference w:id="8"/>
      </w:r>
      <w:r w:rsidRPr="00EA49C6">
        <w:t xml:space="preserve"> et du </w:t>
      </w:r>
      <w:r w:rsidRPr="00CD4A68">
        <w:t>7</w:t>
      </w:r>
      <w:r w:rsidRPr="00EA49C6">
        <w:rPr>
          <w:noProof/>
          <w:vertAlign w:val="superscript"/>
        </w:rPr>
        <w:t>e</w:t>
      </w:r>
      <w:r w:rsidRPr="00EA49C6">
        <w:t xml:space="preserve"> programme d’action pour l’environnement</w:t>
      </w:r>
      <w:r w:rsidRPr="00EA49C6">
        <w:rPr>
          <w:rStyle w:val="FootnoteReference"/>
          <w:noProof/>
        </w:rPr>
        <w:footnoteReference w:id="9"/>
      </w:r>
      <w:r w:rsidRPr="00EA49C6">
        <w:t>, notamment la mise en œuvre intégrale de la hiérarchie des déchets</w:t>
      </w:r>
      <w:r w:rsidRPr="00EA49C6">
        <w:rPr>
          <w:rStyle w:val="FootnoteReference"/>
          <w:noProof/>
        </w:rPr>
        <w:footnoteReference w:id="10"/>
      </w:r>
      <w:r w:rsidRPr="00EA49C6">
        <w:t xml:space="preserve"> dans tous les États membres, la diminution de la production de déchets, dans l'absolu et par habitant, la garantie d'un recyclage de haute qualité et le recours aux déchets recyclés en tant que source importante et fiable de matières premières pour l’Union. Elles contribuent également à la mise en œuvre de l’initiative «Matières premières»</w:t>
      </w:r>
      <w:r w:rsidRPr="00EA49C6">
        <w:rPr>
          <w:rStyle w:val="FootnoteReference"/>
          <w:noProof/>
        </w:rPr>
        <w:footnoteReference w:id="11"/>
      </w:r>
      <w:r w:rsidRPr="00EA49C6">
        <w:t xml:space="preserve"> de l'Union et répondent à la nécessité d'éviter le gaspillage alimentaire. En outre, ces propositions simplifient les exigences en matière de rapports prévues par les six directives.</w:t>
      </w:r>
    </w:p>
    <w:p w:rsidR="002428B2" w:rsidRPr="00EA49C6" w:rsidRDefault="002428B2">
      <w:pPr>
        <w:pStyle w:val="ManualHeading1"/>
        <w:spacing w:before="120"/>
        <w:rPr>
          <w:noProof/>
        </w:rPr>
      </w:pPr>
      <w:r w:rsidRPr="00CD4A68">
        <w:t>2</w:t>
      </w:r>
      <w:r w:rsidRPr="00EA49C6">
        <w:t>.</w:t>
      </w:r>
      <w:r w:rsidRPr="00EA49C6">
        <w:tab/>
        <w:t>RÉSULTATS DES CONSULTATIONS DES PARTIES INTÉRESSÉES ET DES ANALYSES D'IMPACT</w:t>
      </w:r>
    </w:p>
    <w:p w:rsidR="002428B2" w:rsidRPr="00EA49C6" w:rsidRDefault="002428B2">
      <w:pPr>
        <w:pStyle w:val="ManualHeading2"/>
        <w:rPr>
          <w:noProof/>
        </w:rPr>
      </w:pPr>
      <w:r w:rsidRPr="00CD4A68">
        <w:t>2</w:t>
      </w:r>
      <w:r w:rsidRPr="00EA49C6">
        <w:t>.</w:t>
      </w:r>
      <w:r w:rsidRPr="00CD4A68">
        <w:t>1</w:t>
      </w:r>
      <w:r w:rsidRPr="00EA49C6">
        <w:tab/>
        <w:t>Études</w:t>
      </w:r>
    </w:p>
    <w:p w:rsidR="002428B2" w:rsidRPr="00EA49C6" w:rsidRDefault="002428B2">
      <w:pPr>
        <w:rPr>
          <w:rFonts w:eastAsia="SimSun"/>
          <w:noProof/>
        </w:rPr>
      </w:pPr>
      <w:r w:rsidRPr="00EA49C6">
        <w:t>Les propositions et l’analyse d’impact qui les accompagne évaluent les aspects technologiques et socioéconomiques et les questions de coûts-bénéfices liés à la mise en œuvre et au développement de la législation européenne sur les déchets. Un complément à l’analyse d’impact a été établi afin d’analyser les effets potentiels de variantes supplémentaires des principales options stratégiques définies dans l’analyse d’impact.</w:t>
      </w:r>
    </w:p>
    <w:p w:rsidR="002428B2" w:rsidRPr="00EA49C6" w:rsidRDefault="002428B2">
      <w:pPr>
        <w:pStyle w:val="ManualHeading2"/>
        <w:rPr>
          <w:noProof/>
        </w:rPr>
      </w:pPr>
      <w:r w:rsidRPr="00CD4A68">
        <w:t>2</w:t>
      </w:r>
      <w:r w:rsidRPr="00EA49C6">
        <w:t>.</w:t>
      </w:r>
      <w:r w:rsidRPr="00CD4A68">
        <w:t>2</w:t>
      </w:r>
      <w:r w:rsidRPr="00EA49C6">
        <w:tab/>
        <w:t>Consultation interne</w:t>
      </w:r>
    </w:p>
    <w:p w:rsidR="002428B2" w:rsidRPr="00EA49C6" w:rsidRDefault="002428B2">
      <w:pPr>
        <w:rPr>
          <w:rFonts w:eastAsia="SimSun"/>
          <w:noProof/>
        </w:rPr>
      </w:pPr>
      <w:r w:rsidRPr="00EA49C6">
        <w:t>Au sein de la Commission, un groupe de pilotage de l’analyse d’impact, composé de divers services de la Commission (SG, ECFIN, GROW, CLIMA, JRC et ESTAT), a suivi la préparation</w:t>
      </w:r>
      <w:r w:rsidR="006B7BC6">
        <w:t xml:space="preserve"> des propositions législatives.</w:t>
      </w:r>
    </w:p>
    <w:p w:rsidR="002428B2" w:rsidRPr="00EA49C6" w:rsidRDefault="002428B2">
      <w:pPr>
        <w:pStyle w:val="ManualHeading2"/>
        <w:rPr>
          <w:noProof/>
        </w:rPr>
      </w:pPr>
      <w:r w:rsidRPr="00CD4A68">
        <w:t>2</w:t>
      </w:r>
      <w:r w:rsidRPr="00EA49C6">
        <w:t>.</w:t>
      </w:r>
      <w:r w:rsidRPr="00CD4A68">
        <w:t>3</w:t>
      </w:r>
      <w:r w:rsidRPr="00EA49C6">
        <w:tab/>
        <w:t>Consultation externe</w:t>
      </w:r>
    </w:p>
    <w:p w:rsidR="002428B2" w:rsidRPr="00EA49C6" w:rsidRDefault="002428B2">
      <w:pPr>
        <w:rPr>
          <w:rFonts w:eastAsia="SimSun"/>
          <w:noProof/>
        </w:rPr>
      </w:pPr>
      <w:r w:rsidRPr="00EA49C6">
        <w:t xml:space="preserve">Une liste indicative des questions à traiter a été établie par la Commission, et les premiers entretiens avec les principales parties prenantes ont débuté en février </w:t>
      </w:r>
      <w:r w:rsidRPr="00CD4A68">
        <w:t>2013</w:t>
      </w:r>
      <w:r w:rsidRPr="00EA49C6">
        <w:t xml:space="preserve">. En accord avec les normes minimales en matière de consultation, une consultation publique en ligne a été lancée en juin </w:t>
      </w:r>
      <w:r w:rsidRPr="00CD4A68">
        <w:t>2013</w:t>
      </w:r>
      <w:r w:rsidRPr="00EA49C6">
        <w:t xml:space="preserve"> et s’est achevée en septembre </w:t>
      </w:r>
      <w:r w:rsidRPr="00CD4A68">
        <w:t>2013</w:t>
      </w:r>
      <w:r w:rsidRPr="00EA49C6">
        <w:t xml:space="preserve">. </w:t>
      </w:r>
      <w:r w:rsidRPr="00CD4A68">
        <w:t>670</w:t>
      </w:r>
      <w:r w:rsidRPr="00EA49C6">
        <w:t xml:space="preserve"> réponses ont été reçues, témoignant de l'intérêt manifesté par l'opinion publique à l'égard de la situation en matière de gestion des déchets dans l'UE et des fortes attentes vis-à-vis de l’action de l’UE dans ce domaine. Une </w:t>
      </w:r>
      <w:r w:rsidRPr="00EA49C6">
        <w:lastRenderedPageBreak/>
        <w:t xml:space="preserve">consultation spécifique des États membres a été organisée entre juin et septembre </w:t>
      </w:r>
      <w:r w:rsidRPr="00CD4A68">
        <w:t>2015</w:t>
      </w:r>
      <w:r w:rsidRPr="00EA49C6">
        <w:t xml:space="preserve"> ainsi qu’une consultation plus large sur l’économie circulaire. </w:t>
      </w:r>
    </w:p>
    <w:p w:rsidR="002428B2" w:rsidRPr="00EA49C6" w:rsidRDefault="002428B2">
      <w:pPr>
        <w:pStyle w:val="ManualHeading2"/>
        <w:rPr>
          <w:noProof/>
        </w:rPr>
      </w:pPr>
      <w:r w:rsidRPr="00CD4A68">
        <w:t>2</w:t>
      </w:r>
      <w:r w:rsidRPr="00EA49C6">
        <w:t>.</w:t>
      </w:r>
      <w:r w:rsidRPr="00CD4A68">
        <w:t>4</w:t>
      </w:r>
      <w:r w:rsidRPr="00EA49C6">
        <w:tab/>
        <w:t>Analyse d'impact</w:t>
      </w:r>
    </w:p>
    <w:p w:rsidR="002428B2" w:rsidRPr="00EA49C6" w:rsidRDefault="002428B2">
      <w:pPr>
        <w:rPr>
          <w:rFonts w:eastAsia="SimSun"/>
          <w:noProof/>
        </w:rPr>
      </w:pPr>
      <w:r w:rsidRPr="00EA49C6">
        <w:t xml:space="preserve">Un rapport d’analyse d’impact et un résumé ont été publiés en même temps que la proposition adoptée en juillet </w:t>
      </w:r>
      <w:r w:rsidRPr="00CD4A68">
        <w:t>2014</w:t>
      </w:r>
      <w:r w:rsidRPr="00EA49C6">
        <w:rPr>
          <w:rStyle w:val="FootnoteReference"/>
          <w:noProof/>
        </w:rPr>
        <w:footnoteReference w:id="12"/>
      </w:r>
      <w:r w:rsidRPr="00EA49C6">
        <w:t>. L’analyse d’impact, qui reste valable en tant que principale base d'analyse des propositions de révision de la législation, étudie les principales incidences environnementales, sociales et économiques des différentes stratégies possibles pour améliorer la gestion des déchets dans l’Union européenne. Des stratégies plus ou moins ambitieuses sont évaluées et comparées à un «scénario de référence» afin de déterminer les instruments et les objectifs les plus appropriés permettant de réduire les coûts au minimum et d'obtenir le maximum de bénéfices.</w:t>
      </w:r>
    </w:p>
    <w:p w:rsidR="002428B2" w:rsidRPr="00EA49C6" w:rsidRDefault="002428B2">
      <w:pPr>
        <w:rPr>
          <w:rFonts w:eastAsia="SimSun"/>
          <w:noProof/>
        </w:rPr>
      </w:pPr>
      <w:r w:rsidRPr="00EA49C6">
        <w:t xml:space="preserve">Le comité des analyses d’impact de la Commission a rendu un avis favorable sur l’analyse d’impact le </w:t>
      </w:r>
      <w:r w:rsidRPr="00CD4A68">
        <w:t>8</w:t>
      </w:r>
      <w:r w:rsidRPr="00EA49C6">
        <w:t xml:space="preserve"> avril </w:t>
      </w:r>
      <w:r w:rsidRPr="00CD4A68">
        <w:t>2014</w:t>
      </w:r>
      <w:r w:rsidRPr="00EA49C6">
        <w:t>, tout en formulant un certain nombre de recommandations afin d’affiner le rapport. Le comité a demandé de préciser la définition du problème et la nécessité de fixer de nouveaux objectifs chiffrés à moyen terme, de renforcer les arguments en faveur d’une interdiction de la mise en décharge du point de vue de la subsidiarité et la proportionnalité ainsi que les arguments en faveur d'objectifs uniformes pour tous les États membres, et d’expliquer de façon plus détaillée comment les performances diverses des États membres sont prises en compte dans la proposition.</w:t>
      </w:r>
    </w:p>
    <w:p w:rsidR="002428B2" w:rsidRPr="00EA49C6" w:rsidRDefault="002428B2">
      <w:pPr>
        <w:rPr>
          <w:rFonts w:eastAsia="SimSun"/>
          <w:noProof/>
          <w:szCs w:val="24"/>
        </w:rPr>
      </w:pPr>
      <w:r w:rsidRPr="00EA49C6">
        <w:t xml:space="preserve">Il ressort de l’analyse d’impact qu'une combinaison des options apportera les avantages suivants: </w:t>
      </w:r>
    </w:p>
    <w:p w:rsidR="002428B2" w:rsidRPr="00EA49C6" w:rsidRDefault="002428B2">
      <w:pPr>
        <w:pStyle w:val="Tiret0"/>
        <w:numPr>
          <w:ilvl w:val="0"/>
          <w:numId w:val="10"/>
        </w:numPr>
        <w:rPr>
          <w:rFonts w:eastAsia="SimSun"/>
          <w:noProof/>
        </w:rPr>
      </w:pPr>
      <w:r w:rsidRPr="00EA49C6">
        <w:t>allégement de la charge administrative, en particulier pour les petits établissements ou les petites entreprises, simplification et amélioration de la mise en œuvre, notamment grâce à des objectifs chiffrés parfaitement adaptés;</w:t>
      </w:r>
    </w:p>
    <w:p w:rsidR="002428B2" w:rsidRPr="00EA49C6" w:rsidRDefault="002428B2">
      <w:pPr>
        <w:pStyle w:val="Tiret0"/>
        <w:numPr>
          <w:ilvl w:val="0"/>
          <w:numId w:val="9"/>
        </w:numPr>
        <w:rPr>
          <w:rFonts w:eastAsia="SimSun"/>
          <w:noProof/>
        </w:rPr>
      </w:pPr>
      <w:r w:rsidRPr="00EA49C6">
        <w:t xml:space="preserve">création d’emplois – plus de </w:t>
      </w:r>
      <w:r w:rsidRPr="00CD4A68">
        <w:t>170</w:t>
      </w:r>
      <w:r w:rsidRPr="00EA49C6">
        <w:t> </w:t>
      </w:r>
      <w:r w:rsidRPr="00CD4A68">
        <w:t>000</w:t>
      </w:r>
      <w:r w:rsidRPr="00EA49C6">
        <w:t xml:space="preserve"> emplois directs pourraient être créés d’ici à </w:t>
      </w:r>
      <w:r w:rsidRPr="00CD4A68">
        <w:t>2035</w:t>
      </w:r>
      <w:r w:rsidRPr="00EA49C6">
        <w:t>, dont la plupart impossibles à</w:t>
      </w:r>
      <w:r w:rsidR="006B7BC6">
        <w:t xml:space="preserve"> délocaliser en dehors de l’UE;</w:t>
      </w:r>
    </w:p>
    <w:p w:rsidR="002428B2" w:rsidRPr="00EA49C6" w:rsidRDefault="002428B2">
      <w:pPr>
        <w:pStyle w:val="Tiret0"/>
        <w:numPr>
          <w:ilvl w:val="0"/>
          <w:numId w:val="9"/>
        </w:numPr>
        <w:rPr>
          <w:rFonts w:eastAsia="SimSun"/>
          <w:noProof/>
        </w:rPr>
      </w:pPr>
      <w:r w:rsidRPr="00EA49C6">
        <w:t xml:space="preserve">réduction des émissions de gaz à effet de serre – plus de </w:t>
      </w:r>
      <w:r w:rsidRPr="00CD4A68">
        <w:t>600</w:t>
      </w:r>
      <w:r w:rsidRPr="00EA49C6">
        <w:t xml:space="preserve"> millions de tonnes de gaz à effet de serre pourraient être évitées entre </w:t>
      </w:r>
      <w:r w:rsidRPr="00CD4A68">
        <w:t>2015</w:t>
      </w:r>
      <w:r w:rsidRPr="00EA49C6">
        <w:t xml:space="preserve"> et </w:t>
      </w:r>
      <w:r w:rsidRPr="00CD4A68">
        <w:t>2035</w:t>
      </w:r>
      <w:r w:rsidRPr="00EA49C6">
        <w:t>;</w:t>
      </w:r>
    </w:p>
    <w:p w:rsidR="002428B2" w:rsidRPr="00EA49C6" w:rsidRDefault="002428B2">
      <w:pPr>
        <w:pStyle w:val="Tiret0"/>
        <w:numPr>
          <w:ilvl w:val="0"/>
          <w:numId w:val="9"/>
        </w:numPr>
        <w:rPr>
          <w:rFonts w:eastAsia="SimSun"/>
          <w:noProof/>
        </w:rPr>
      </w:pPr>
      <w:r w:rsidRPr="00EA49C6">
        <w:t>effets positifs sur la compétitivité des secteurs de la gestion et du recyclage des déchets de l'UE, ainsi que sur celle de l’industrie manufacturière (amélioration des régimes de responsabilité élargie des producteurs, réduction des risques liés à l’accès aux matières premières);</w:t>
      </w:r>
    </w:p>
    <w:p w:rsidR="002428B2" w:rsidRPr="00EA49C6" w:rsidRDefault="002428B2">
      <w:pPr>
        <w:pStyle w:val="Tiret0"/>
        <w:numPr>
          <w:ilvl w:val="0"/>
          <w:numId w:val="9"/>
        </w:numPr>
        <w:rPr>
          <w:rFonts w:eastAsia="SimSun"/>
          <w:noProof/>
        </w:rPr>
      </w:pPr>
      <w:r w:rsidRPr="00EA49C6">
        <w:t>réinjection de matières premières secondaires dans l’économie de l’Union et, partant, réduction de la dépendance de l’UE à l’égard des importations de matières premières.</w:t>
      </w:r>
    </w:p>
    <w:p w:rsidR="002428B2" w:rsidRPr="00EA49C6" w:rsidRDefault="002428B2">
      <w:pPr>
        <w:rPr>
          <w:rFonts w:eastAsia="SimSun"/>
          <w:noProof/>
        </w:rPr>
      </w:pPr>
      <w:r w:rsidRPr="00EA49C6">
        <w:t>Une note d'analyse complétant l’analyse d'impact a été publiée en même temps que la proposition législative. Dans cette note, un certain nombre d’options supplémentaires et de variantes ont été analysées dans le but de mieux prendre en compte la diversité des situations de départ de chaque État membre.</w:t>
      </w:r>
    </w:p>
    <w:p w:rsidR="002428B2" w:rsidRPr="00EA49C6" w:rsidRDefault="002428B2">
      <w:pPr>
        <w:pStyle w:val="ManualHeading1"/>
        <w:spacing w:before="120"/>
        <w:rPr>
          <w:noProof/>
        </w:rPr>
      </w:pPr>
      <w:r w:rsidRPr="00CD4A68">
        <w:t>3</w:t>
      </w:r>
      <w:r w:rsidRPr="00EA49C6">
        <w:t>.</w:t>
      </w:r>
      <w:r w:rsidRPr="00EA49C6">
        <w:tab/>
        <w:t>ÉLÉMENTS JURIDIQUES DE LA PROPOSITION</w:t>
      </w:r>
    </w:p>
    <w:p w:rsidR="002428B2" w:rsidRPr="00EA49C6" w:rsidRDefault="002428B2">
      <w:pPr>
        <w:pStyle w:val="ManualHeading2"/>
        <w:rPr>
          <w:noProof/>
        </w:rPr>
      </w:pPr>
      <w:r w:rsidRPr="00CD4A68">
        <w:t>3</w:t>
      </w:r>
      <w:r w:rsidRPr="00EA49C6">
        <w:t>.</w:t>
      </w:r>
      <w:r w:rsidRPr="00CD4A68">
        <w:t>1</w:t>
      </w:r>
      <w:r w:rsidRPr="00EA49C6">
        <w:tab/>
        <w:t>Résumé des mesures proposées</w:t>
      </w:r>
    </w:p>
    <w:p w:rsidR="002428B2" w:rsidRPr="00EA49C6" w:rsidRDefault="002428B2">
      <w:pPr>
        <w:pStyle w:val="Text1"/>
        <w:ind w:left="0"/>
        <w:rPr>
          <w:noProof/>
        </w:rPr>
      </w:pPr>
      <w:r w:rsidRPr="00EA49C6">
        <w:t>Les principaux éléments des propositions de modification de la législation européenne en matière de déchets sont les sui</w:t>
      </w:r>
      <w:r w:rsidR="006B7BC6">
        <w:t>vants:</w:t>
      </w:r>
    </w:p>
    <w:p w:rsidR="002428B2" w:rsidRPr="00EA49C6" w:rsidRDefault="002428B2">
      <w:pPr>
        <w:pStyle w:val="Tiret0"/>
        <w:numPr>
          <w:ilvl w:val="0"/>
          <w:numId w:val="9"/>
        </w:numPr>
        <w:rPr>
          <w:rFonts w:eastAsia="SimSun"/>
          <w:noProof/>
        </w:rPr>
      </w:pPr>
      <w:r w:rsidRPr="00EA49C6">
        <w:lastRenderedPageBreak/>
        <w:t>harmonisation des définitions;</w:t>
      </w:r>
    </w:p>
    <w:p w:rsidR="002428B2" w:rsidRPr="00EA49C6" w:rsidRDefault="002428B2">
      <w:pPr>
        <w:pStyle w:val="Tiret0"/>
        <w:numPr>
          <w:ilvl w:val="0"/>
          <w:numId w:val="9"/>
        </w:numPr>
        <w:rPr>
          <w:rFonts w:eastAsia="SimSun"/>
          <w:noProof/>
        </w:rPr>
      </w:pPr>
      <w:r w:rsidRPr="00EA49C6">
        <w:t>augmentation de l’objectif de préparation en vue du réemploi et de recyclage des déchets municipaux, qui p</w:t>
      </w:r>
      <w:r w:rsidR="006B7BC6">
        <w:t xml:space="preserve">assera à </w:t>
      </w:r>
      <w:r w:rsidR="006B7BC6" w:rsidRPr="00CD4A68">
        <w:t>65</w:t>
      </w:r>
      <w:r w:rsidR="006B7BC6">
        <w:t xml:space="preserve"> % à l’horizon </w:t>
      </w:r>
      <w:r w:rsidR="006B7BC6" w:rsidRPr="00CD4A68">
        <w:t>2030</w:t>
      </w:r>
      <w:r w:rsidR="006B7BC6">
        <w:t>;</w:t>
      </w:r>
    </w:p>
    <w:p w:rsidR="002428B2" w:rsidRPr="00EA49C6" w:rsidRDefault="002428B2">
      <w:pPr>
        <w:pStyle w:val="Tiret0"/>
        <w:numPr>
          <w:ilvl w:val="0"/>
          <w:numId w:val="9"/>
        </w:numPr>
        <w:rPr>
          <w:rFonts w:eastAsia="SimSun"/>
          <w:noProof/>
        </w:rPr>
      </w:pPr>
      <w:r w:rsidRPr="00EA49C6">
        <w:t>augmentation des objectifs de préparation en vue du réemploi et de recyclage des déchets d’emballages et simplification de la série d’objectifs;</w:t>
      </w:r>
    </w:p>
    <w:p w:rsidR="002428B2" w:rsidRPr="00EA49C6" w:rsidRDefault="002428B2">
      <w:pPr>
        <w:pStyle w:val="Tiret0"/>
        <w:numPr>
          <w:ilvl w:val="0"/>
          <w:numId w:val="9"/>
        </w:numPr>
        <w:rPr>
          <w:rFonts w:eastAsia="SimSun"/>
          <w:noProof/>
        </w:rPr>
      </w:pPr>
      <w:r w:rsidRPr="00EA49C6">
        <w:t>réduction progressive de la mise en décharge des déchets municipaux po</w:t>
      </w:r>
      <w:r w:rsidR="006B7BC6">
        <w:t xml:space="preserve">ur arriver à </w:t>
      </w:r>
      <w:r w:rsidR="006B7BC6" w:rsidRPr="00CD4A68">
        <w:t>10</w:t>
      </w:r>
      <w:r w:rsidR="006B7BC6">
        <w:t xml:space="preserve"> % d’ici à </w:t>
      </w:r>
      <w:r w:rsidR="006B7BC6" w:rsidRPr="00CD4A68">
        <w:t>2030</w:t>
      </w:r>
      <w:r w:rsidR="006B7BC6">
        <w:t>;</w:t>
      </w:r>
    </w:p>
    <w:p w:rsidR="002428B2" w:rsidRPr="00EA49C6" w:rsidRDefault="002428B2">
      <w:pPr>
        <w:pStyle w:val="Tiret0"/>
        <w:numPr>
          <w:ilvl w:val="0"/>
          <w:numId w:val="9"/>
        </w:numPr>
        <w:rPr>
          <w:rFonts w:eastAsia="SimSun"/>
          <w:noProof/>
        </w:rPr>
      </w:pPr>
      <w:r w:rsidRPr="00EA49C6">
        <w:t>harmonisation accrue et simplification du cadre juridique applicable aux sous-produits et au statut de fin de la qualité de déchet;</w:t>
      </w:r>
    </w:p>
    <w:p w:rsidR="002428B2" w:rsidRPr="00EA49C6" w:rsidRDefault="002428B2">
      <w:pPr>
        <w:pStyle w:val="Tiret0"/>
        <w:numPr>
          <w:ilvl w:val="0"/>
          <w:numId w:val="9"/>
        </w:numPr>
        <w:rPr>
          <w:rFonts w:eastAsia="SimSun"/>
          <w:noProof/>
        </w:rPr>
      </w:pPr>
      <w:r w:rsidRPr="00EA49C6">
        <w:t>nouvelles mesures visant à promouvoir la prévention, notamment du gaspilla</w:t>
      </w:r>
      <w:r w:rsidR="006B7BC6">
        <w:t>ge alimentaire, et le réemploi;</w:t>
      </w:r>
    </w:p>
    <w:p w:rsidR="002428B2" w:rsidRPr="00EA49C6" w:rsidRDefault="002428B2">
      <w:pPr>
        <w:pStyle w:val="Tiret0"/>
        <w:numPr>
          <w:ilvl w:val="0"/>
          <w:numId w:val="9"/>
        </w:numPr>
        <w:rPr>
          <w:rFonts w:eastAsia="SimSun"/>
          <w:noProof/>
        </w:rPr>
      </w:pPr>
      <w:r w:rsidRPr="00EA49C6">
        <w:t>fixation de conditions minimales de fonctionnement pour les régimes de responsabilité élargie du producteur;</w:t>
      </w:r>
    </w:p>
    <w:p w:rsidR="002428B2" w:rsidRPr="00EA49C6" w:rsidRDefault="002428B2">
      <w:pPr>
        <w:pStyle w:val="Tiret0"/>
        <w:numPr>
          <w:ilvl w:val="0"/>
          <w:numId w:val="9"/>
        </w:numPr>
        <w:rPr>
          <w:rFonts w:eastAsia="SimSun"/>
          <w:noProof/>
        </w:rPr>
      </w:pPr>
      <w:r w:rsidRPr="00EA49C6">
        <w:t>mise en place d’un système d’alerte précoce permettant de contrôler le respect des objectifs de recyclage;</w:t>
      </w:r>
    </w:p>
    <w:p w:rsidR="002428B2" w:rsidRPr="00EA49C6" w:rsidRDefault="002428B2">
      <w:pPr>
        <w:pStyle w:val="Tiret0"/>
        <w:numPr>
          <w:ilvl w:val="0"/>
          <w:numId w:val="9"/>
        </w:numPr>
        <w:rPr>
          <w:rFonts w:eastAsia="SimSun"/>
          <w:noProof/>
        </w:rPr>
      </w:pPr>
      <w:r w:rsidRPr="00EA49C6">
        <w:t>simplification et rationalisation des obligations en matière de rapports;</w:t>
      </w:r>
    </w:p>
    <w:p w:rsidR="002428B2" w:rsidRPr="00EA49C6" w:rsidRDefault="002428B2">
      <w:pPr>
        <w:pStyle w:val="Tiret0"/>
        <w:numPr>
          <w:ilvl w:val="0"/>
          <w:numId w:val="9"/>
        </w:numPr>
        <w:rPr>
          <w:rFonts w:eastAsia="SimSun"/>
          <w:noProof/>
        </w:rPr>
      </w:pPr>
      <w:r w:rsidRPr="00EA49C6">
        <w:t xml:space="preserve">harmonisation des dispositions avec celles des articles </w:t>
      </w:r>
      <w:r w:rsidRPr="00CD4A68">
        <w:t>290</w:t>
      </w:r>
      <w:r w:rsidRPr="00EA49C6">
        <w:t xml:space="preserve"> et </w:t>
      </w:r>
      <w:r w:rsidRPr="00CD4A68">
        <w:t>291</w:t>
      </w:r>
      <w:r w:rsidRPr="00EA49C6">
        <w:t xml:space="preserve"> du TFUE relatifs aux actes délégués et aux actes d’exécution.</w:t>
      </w:r>
    </w:p>
    <w:p w:rsidR="002428B2" w:rsidRPr="00EA49C6" w:rsidRDefault="002428B2">
      <w:pPr>
        <w:pStyle w:val="ManualHeading2"/>
        <w:rPr>
          <w:noProof/>
        </w:rPr>
      </w:pPr>
      <w:r w:rsidRPr="00CD4A68">
        <w:t>3</w:t>
      </w:r>
      <w:r w:rsidRPr="00EA49C6">
        <w:t>.</w:t>
      </w:r>
      <w:r w:rsidRPr="00CD4A68">
        <w:t>2</w:t>
      </w:r>
      <w:r w:rsidRPr="00EA49C6">
        <w:tab/>
        <w:t>Base juridique et droit d’agir</w:t>
      </w:r>
    </w:p>
    <w:p w:rsidR="002428B2" w:rsidRPr="00EA49C6" w:rsidRDefault="002428B2">
      <w:pPr>
        <w:pStyle w:val="Text1"/>
        <w:ind w:left="0"/>
        <w:rPr>
          <w:rFonts w:eastAsia="SimSun"/>
          <w:noProof/>
        </w:rPr>
      </w:pPr>
      <w:r w:rsidRPr="00EA49C6">
        <w:t xml:space="preserve">Les propositions modifient six directives concernant la gestion de différents déchets. Les propositions visant à modifier la directive </w:t>
      </w:r>
      <w:r w:rsidRPr="00CD4A68">
        <w:t>2008</w:t>
      </w:r>
      <w:r w:rsidRPr="00EA49C6">
        <w:t>/</w:t>
      </w:r>
      <w:r w:rsidRPr="00CD4A68">
        <w:t>98</w:t>
      </w:r>
      <w:r w:rsidRPr="00EA49C6">
        <w:t xml:space="preserve">/CE, la directive </w:t>
      </w:r>
      <w:r w:rsidRPr="00CD4A68">
        <w:t>1999</w:t>
      </w:r>
      <w:r w:rsidRPr="00EA49C6">
        <w:t>/</w:t>
      </w:r>
      <w:r w:rsidRPr="00CD4A68">
        <w:t>31</w:t>
      </w:r>
      <w:r w:rsidRPr="00EA49C6">
        <w:t xml:space="preserve">/CE, la directive </w:t>
      </w:r>
      <w:r w:rsidRPr="00CD4A68">
        <w:t>2000</w:t>
      </w:r>
      <w:r w:rsidRPr="00EA49C6">
        <w:t>/</w:t>
      </w:r>
      <w:r w:rsidRPr="00CD4A68">
        <w:t>53</w:t>
      </w:r>
      <w:r w:rsidRPr="00EA49C6">
        <w:t xml:space="preserve">/CE, la directive </w:t>
      </w:r>
      <w:r w:rsidRPr="00CD4A68">
        <w:t>2006</w:t>
      </w:r>
      <w:r w:rsidRPr="00EA49C6">
        <w:t>/</w:t>
      </w:r>
      <w:r w:rsidRPr="00CD4A68">
        <w:t>66</w:t>
      </w:r>
      <w:r w:rsidRPr="00EA49C6">
        <w:t xml:space="preserve">/CE et la directive </w:t>
      </w:r>
      <w:r w:rsidRPr="00CD4A68">
        <w:t>2012</w:t>
      </w:r>
      <w:r w:rsidRPr="00EA49C6">
        <w:t>/</w:t>
      </w:r>
      <w:r w:rsidRPr="00CD4A68">
        <w:t>19</w:t>
      </w:r>
      <w:r w:rsidRPr="00EA49C6">
        <w:t xml:space="preserve">/UE sont fondées sur l'article </w:t>
      </w:r>
      <w:r w:rsidRPr="00CD4A68">
        <w:t>192</w:t>
      </w:r>
      <w:r w:rsidRPr="00EA49C6">
        <w:t xml:space="preserve">, paragraphe </w:t>
      </w:r>
      <w:r w:rsidRPr="00CD4A68">
        <w:t>1</w:t>
      </w:r>
      <w:r w:rsidRPr="00EA49C6">
        <w:t xml:space="preserve">, TFUE, tandis que la proposition de modification de la directive </w:t>
      </w:r>
      <w:r w:rsidRPr="00CD4A68">
        <w:t>94</w:t>
      </w:r>
      <w:r w:rsidRPr="00EA49C6">
        <w:t>/</w:t>
      </w:r>
      <w:r w:rsidRPr="00CD4A68">
        <w:t>62</w:t>
      </w:r>
      <w:r w:rsidRPr="00EA49C6">
        <w:t xml:space="preserve">/CE repose sur l'article </w:t>
      </w:r>
      <w:r w:rsidRPr="00CD4A68">
        <w:t>114</w:t>
      </w:r>
      <w:r w:rsidRPr="00EA49C6">
        <w:t xml:space="preserve"> TFUE. </w:t>
      </w:r>
    </w:p>
    <w:p w:rsidR="002428B2" w:rsidRPr="00EA49C6" w:rsidRDefault="002428B2">
      <w:pPr>
        <w:pStyle w:val="Text1"/>
        <w:ind w:left="0"/>
        <w:rPr>
          <w:rFonts w:eastAsia="SimSun"/>
          <w:noProof/>
        </w:rPr>
      </w:pPr>
      <w:r w:rsidRPr="00EA49C6">
        <w:t xml:space="preserve">L'article </w:t>
      </w:r>
      <w:r w:rsidRPr="00CD4A68">
        <w:t>11</w:t>
      </w:r>
      <w:r w:rsidRPr="00EA49C6">
        <w:t xml:space="preserve">, paragraphe </w:t>
      </w:r>
      <w:r w:rsidRPr="00CD4A68">
        <w:t>2</w:t>
      </w:r>
      <w:r w:rsidRPr="00EA49C6">
        <w:t xml:space="preserve">, de la directive </w:t>
      </w:r>
      <w:r w:rsidRPr="00CD4A68">
        <w:t>2008</w:t>
      </w:r>
      <w:r w:rsidRPr="00EA49C6">
        <w:t>/</w:t>
      </w:r>
      <w:r w:rsidRPr="00CD4A68">
        <w:t>98</w:t>
      </w:r>
      <w:r w:rsidRPr="00EA49C6">
        <w:t xml:space="preserve">/CE fixe un objectif de </w:t>
      </w:r>
      <w:r w:rsidRPr="00CD4A68">
        <w:t>50</w:t>
      </w:r>
      <w:r w:rsidRPr="00EA49C6">
        <w:t xml:space="preserve"> % pour la préparation en vue du réemploi et le recyclage des déchets ménagers et assimilés, ainsi qu’un objectif de </w:t>
      </w:r>
      <w:r w:rsidRPr="00CD4A68">
        <w:t>70</w:t>
      </w:r>
      <w:r w:rsidRPr="00EA49C6">
        <w:t xml:space="preserve"> % pour la préparation en vue du réemploi, le recyclage et les autres formes de valorisation des déchets de construction et de démolition non dangereux d'ici à </w:t>
      </w:r>
      <w:r w:rsidRPr="00CD4A68">
        <w:t>2020</w:t>
      </w:r>
      <w:r w:rsidRPr="00EA49C6">
        <w:t xml:space="preserve">. En vertu de l’article </w:t>
      </w:r>
      <w:r w:rsidRPr="00CD4A68">
        <w:t>11</w:t>
      </w:r>
      <w:r w:rsidRPr="00EA49C6">
        <w:t xml:space="preserve">, paragraphe </w:t>
      </w:r>
      <w:r w:rsidRPr="00CD4A68">
        <w:t>4</w:t>
      </w:r>
      <w:r w:rsidRPr="00EA49C6">
        <w:t xml:space="preserve">, la Commission était tenue d'examiner ces objectifs pour le </w:t>
      </w:r>
      <w:r w:rsidRPr="00CD4A68">
        <w:t>31</w:t>
      </w:r>
      <w:r w:rsidRPr="00EA49C6">
        <w:t xml:space="preserve"> décembre </w:t>
      </w:r>
      <w:r w:rsidRPr="00CD4A68">
        <w:t>2014</w:t>
      </w:r>
      <w:r w:rsidRPr="00EA49C6">
        <w:t xml:space="preserve"> au plus tard, en vue, au besoin, de les renforcer et d'envisager la fixation d'objectifs pour d'autres flux de déchets, en tenant compte de l’impact environnemental, économique et social de la fixation de tels objectifs. Conformément à l’article </w:t>
      </w:r>
      <w:r w:rsidRPr="00CD4A68">
        <w:t>9</w:t>
      </w:r>
      <w:r w:rsidRPr="00EA49C6">
        <w:t xml:space="preserve">, point c), la Commission devait fixer, d'ici la fin de l'année </w:t>
      </w:r>
      <w:r w:rsidRPr="00CD4A68">
        <w:t>2014</w:t>
      </w:r>
      <w:r w:rsidRPr="00EA49C6">
        <w:t xml:space="preserve">, des objectifs de prévention des déchets et de découplage à l'horizon </w:t>
      </w:r>
      <w:r w:rsidRPr="00CD4A68">
        <w:t>2020</w:t>
      </w:r>
      <w:r w:rsidRPr="00EA49C6">
        <w:t xml:space="preserve">, sur la base des meilleures pratiques disponibles et, si nécessaire, réviser les indicateurs visés à l'article </w:t>
      </w:r>
      <w:r w:rsidRPr="00CD4A68">
        <w:t>29</w:t>
      </w:r>
      <w:r w:rsidRPr="00EA49C6">
        <w:t xml:space="preserve">, paragraphe </w:t>
      </w:r>
      <w:r w:rsidRPr="00CD4A68">
        <w:t>4</w:t>
      </w:r>
      <w:r w:rsidRPr="00EA49C6">
        <w:t xml:space="preserve">. Enfin, en vertu de l’article </w:t>
      </w:r>
      <w:r w:rsidRPr="00CD4A68">
        <w:t>37</w:t>
      </w:r>
      <w:r w:rsidRPr="00EA49C6">
        <w:t xml:space="preserve">, paragraphe </w:t>
      </w:r>
      <w:r w:rsidRPr="00CD4A68">
        <w:t>4</w:t>
      </w:r>
      <w:r w:rsidRPr="00EA49C6">
        <w:t xml:space="preserve">, la Commission était tenue de procéder, dans le premier rapport prévu pour le </w:t>
      </w:r>
      <w:r w:rsidRPr="00CD4A68">
        <w:t>12</w:t>
      </w:r>
      <w:r w:rsidRPr="00EA49C6">
        <w:t xml:space="preserve"> décembre </w:t>
      </w:r>
      <w:r w:rsidRPr="00CD4A68">
        <w:t>2014</w:t>
      </w:r>
      <w:r w:rsidRPr="00EA49C6">
        <w:t xml:space="preserve">, à l’évaluation d’un certain nombre de mesures, notamment les régimes de responsabilité des producteurs pour des flux de déchets spécifiques, les objectifs, les indicateurs et les mesures de recyclage ainsi que les opérations de valorisation matérielle et énergétique susceptibles de contribuer plus efficacement à la réalisation des objectifs définis à l'article </w:t>
      </w:r>
      <w:r w:rsidRPr="00CD4A68">
        <w:t>1</w:t>
      </w:r>
      <w:r w:rsidRPr="00EA49C6">
        <w:rPr>
          <w:vertAlign w:val="superscript"/>
        </w:rPr>
        <w:t>er</w:t>
      </w:r>
      <w:r w:rsidRPr="00EA49C6">
        <w:t xml:space="preserve"> et à l'article </w:t>
      </w:r>
      <w:r w:rsidRPr="00CD4A68">
        <w:t>4</w:t>
      </w:r>
      <w:r w:rsidRPr="00EA49C6">
        <w:t>.</w:t>
      </w:r>
    </w:p>
    <w:p w:rsidR="002428B2" w:rsidRPr="00EA49C6" w:rsidRDefault="002428B2">
      <w:pPr>
        <w:pStyle w:val="Text1"/>
        <w:ind w:left="0"/>
        <w:rPr>
          <w:rFonts w:eastAsia="SimSun"/>
          <w:noProof/>
        </w:rPr>
      </w:pPr>
      <w:r w:rsidRPr="00EA49C6">
        <w:t xml:space="preserve">L’article </w:t>
      </w:r>
      <w:r w:rsidRPr="00CD4A68">
        <w:t>5</w:t>
      </w:r>
      <w:r w:rsidRPr="00EA49C6">
        <w:t xml:space="preserve">, paragraphe </w:t>
      </w:r>
      <w:r w:rsidRPr="00CD4A68">
        <w:t>2</w:t>
      </w:r>
      <w:r w:rsidRPr="00EA49C6">
        <w:t xml:space="preserve">, de la directive </w:t>
      </w:r>
      <w:r w:rsidRPr="00CD4A68">
        <w:t>1999</w:t>
      </w:r>
      <w:r w:rsidRPr="00EA49C6">
        <w:t>/</w:t>
      </w:r>
      <w:r w:rsidRPr="00CD4A68">
        <w:t>31</w:t>
      </w:r>
      <w:r w:rsidRPr="00EA49C6">
        <w:t xml:space="preserve">/CE énonce trois objectifs pour éviter la mise en décharge des déchets municipaux biodégradables et interdit la mise en décharge pour certains flux de déchets. Le dernier objectif visant à éviter la mise en décharge des déchets municipaux biodégradables doit être atteint par les États membres au plus tard le </w:t>
      </w:r>
      <w:r w:rsidRPr="00CD4A68">
        <w:t>16</w:t>
      </w:r>
      <w:r w:rsidRPr="00EA49C6">
        <w:t xml:space="preserve"> juillet </w:t>
      </w:r>
      <w:r w:rsidRPr="00CD4A68">
        <w:lastRenderedPageBreak/>
        <w:t>2016</w:t>
      </w:r>
      <w:r w:rsidRPr="00EA49C6">
        <w:t xml:space="preserve">. En vertu de l’article </w:t>
      </w:r>
      <w:r w:rsidRPr="00CD4A68">
        <w:t>5</w:t>
      </w:r>
      <w:r w:rsidRPr="00EA49C6">
        <w:t xml:space="preserve">, paragraphe </w:t>
      </w:r>
      <w:r w:rsidRPr="00CD4A68">
        <w:t>2</w:t>
      </w:r>
      <w:r w:rsidRPr="00EA49C6">
        <w:t xml:space="preserve">, cet objectif devait être réexaminé avant le </w:t>
      </w:r>
      <w:r w:rsidRPr="00CD4A68">
        <w:t>16</w:t>
      </w:r>
      <w:r w:rsidRPr="00EA49C6">
        <w:t xml:space="preserve"> juillet </w:t>
      </w:r>
      <w:r w:rsidRPr="00CD4A68">
        <w:t>2014</w:t>
      </w:r>
      <w:r w:rsidRPr="00EA49C6">
        <w:t xml:space="preserve"> en vue de le confirmer ou de le modifier afin de garantir un niveau élevé de protection de l’environnement et compte tenu de l’expérience pratique acquise par les États membres dans la réalisation des deux objectifs précédents.</w:t>
      </w:r>
    </w:p>
    <w:p w:rsidR="002428B2" w:rsidRPr="00EA49C6" w:rsidRDefault="002428B2">
      <w:pPr>
        <w:pStyle w:val="Text1"/>
        <w:ind w:left="0"/>
        <w:rPr>
          <w:rFonts w:eastAsia="SimSun"/>
          <w:noProof/>
        </w:rPr>
      </w:pPr>
      <w:r w:rsidRPr="00EA49C6">
        <w:t xml:space="preserve">L’article </w:t>
      </w:r>
      <w:r w:rsidRPr="00CD4A68">
        <w:t>6</w:t>
      </w:r>
      <w:r w:rsidRPr="00EA49C6">
        <w:t xml:space="preserve">, paragraphe </w:t>
      </w:r>
      <w:r w:rsidRPr="00CD4A68">
        <w:t>1</w:t>
      </w:r>
      <w:r w:rsidRPr="00EA49C6">
        <w:t xml:space="preserve">, de la directive </w:t>
      </w:r>
      <w:r w:rsidRPr="00CD4A68">
        <w:t>94</w:t>
      </w:r>
      <w:r w:rsidRPr="00EA49C6">
        <w:t>/</w:t>
      </w:r>
      <w:r w:rsidRPr="00CD4A68">
        <w:t>62</w:t>
      </w:r>
      <w:r w:rsidRPr="00EA49C6">
        <w:t xml:space="preserve">/CE définit des objectifs de valorisation et de recyclage des déchets d’emballages, qui, en vertu de l’article </w:t>
      </w:r>
      <w:r w:rsidRPr="00CD4A68">
        <w:t>6</w:t>
      </w:r>
      <w:r w:rsidRPr="00EA49C6">
        <w:t xml:space="preserve">, paragraphe </w:t>
      </w:r>
      <w:r w:rsidRPr="00CD4A68">
        <w:t>5</w:t>
      </w:r>
      <w:r w:rsidRPr="00EA49C6">
        <w:t>, sont fixés tous les cinq ans sur la base de l’expérience pratique acquise dans les États membres, des résultats de la recherche scientifique et des techniques d’évaluation telles que les analyses du cycle de vie et l’analyse coûts-bénéfices.</w:t>
      </w:r>
    </w:p>
    <w:p w:rsidR="002428B2" w:rsidRPr="00EA49C6" w:rsidRDefault="002428B2">
      <w:pPr>
        <w:pStyle w:val="ManualHeading2"/>
        <w:rPr>
          <w:noProof/>
        </w:rPr>
      </w:pPr>
      <w:r w:rsidRPr="00CD4A68">
        <w:t>3</w:t>
      </w:r>
      <w:r w:rsidRPr="00EA49C6">
        <w:t>.</w:t>
      </w:r>
      <w:r w:rsidRPr="00CD4A68">
        <w:t>3</w:t>
      </w:r>
      <w:r w:rsidRPr="00EA49C6">
        <w:tab/>
        <w:t>Principes de subsidiarité et de proportionnalité</w:t>
      </w:r>
    </w:p>
    <w:p w:rsidR="002428B2" w:rsidRPr="00EA49C6" w:rsidRDefault="002428B2">
      <w:pPr>
        <w:pStyle w:val="Text1"/>
        <w:ind w:left="0"/>
        <w:rPr>
          <w:rFonts w:eastAsia="SimSun"/>
          <w:noProof/>
        </w:rPr>
      </w:pPr>
      <w:r w:rsidRPr="00EA49C6">
        <w:t xml:space="preserve">Les propositions sont conformes aux principes de subsidiarité et de proportionnalité énoncés à l’article </w:t>
      </w:r>
      <w:r w:rsidRPr="00CD4A68">
        <w:t>5</w:t>
      </w:r>
      <w:r w:rsidRPr="00EA49C6">
        <w:t xml:space="preserve"> du traité sur l’Union européenne. Elles se limitent à modifier les directives susmentionnées en établissant un cadre définissant des objectifs communs, tout en laissant aux États membres la liberté de décider des modalités de mise en œuvre.</w:t>
      </w:r>
    </w:p>
    <w:p w:rsidR="002428B2" w:rsidRPr="00EA49C6" w:rsidRDefault="002428B2">
      <w:pPr>
        <w:pStyle w:val="ManualHeading2"/>
        <w:rPr>
          <w:noProof/>
        </w:rPr>
      </w:pPr>
      <w:r w:rsidRPr="00CD4A68">
        <w:t>3</w:t>
      </w:r>
      <w:r w:rsidRPr="00EA49C6">
        <w:t>.</w:t>
      </w:r>
      <w:r w:rsidRPr="00CD4A68">
        <w:t>4</w:t>
      </w:r>
      <w:r w:rsidRPr="00EA49C6">
        <w:tab/>
        <w:t>Documents explicatifs</w:t>
      </w:r>
    </w:p>
    <w:p w:rsidR="002428B2" w:rsidRPr="00EA49C6" w:rsidRDefault="002428B2">
      <w:pPr>
        <w:pStyle w:val="Text1"/>
        <w:ind w:left="0"/>
        <w:rPr>
          <w:rFonts w:eastAsia="SimSun"/>
          <w:noProof/>
        </w:rPr>
      </w:pPr>
      <w:r w:rsidRPr="00EA49C6">
        <w:t>La Commission estime que des documents expliquant les mesures nationales de transposition des directives sont nécessaires afin d’améliorer la qualité de l’information sur la transposition de ces directives.</w:t>
      </w:r>
    </w:p>
    <w:p w:rsidR="002428B2" w:rsidRPr="00EA49C6" w:rsidRDefault="002428B2">
      <w:pPr>
        <w:pStyle w:val="Text1"/>
        <w:ind w:left="0"/>
        <w:rPr>
          <w:rFonts w:eastAsia="SimSun"/>
          <w:noProof/>
        </w:rPr>
      </w:pPr>
      <w:r w:rsidRPr="00EA49C6">
        <w:t>La législation relative aux déchets est souvent transposée de façon très décentralisée dans les États membres, y compris à l’échelon régional ou local et dans de nombreux actes juridiques, en fonction de la structure administrative de l’État membre. En conséquence, lors de la transposition des directives modifiées, les États membres pourraient être amenés à modifier un large éventail d’actes législatifs aux niveaux national, régional et local.</w:t>
      </w:r>
    </w:p>
    <w:p w:rsidR="002428B2" w:rsidRPr="00EA49C6" w:rsidRDefault="002428B2">
      <w:pPr>
        <w:pStyle w:val="Text1"/>
        <w:ind w:left="0"/>
        <w:rPr>
          <w:rFonts w:eastAsia="SimSun"/>
          <w:noProof/>
        </w:rPr>
      </w:pPr>
      <w:r w:rsidRPr="00EA49C6">
        <w:t xml:space="preserve">Les propositions modifient six directives distinctes concernant les déchets et ont des effets sur un grand nombre de dispositions juridiquement contraignantes; elles impliquent notamment une modification de l'ensemble des objectifs définis dans la directive </w:t>
      </w:r>
      <w:r w:rsidRPr="00CD4A68">
        <w:t>2008</w:t>
      </w:r>
      <w:r w:rsidRPr="00EA49C6">
        <w:t>/</w:t>
      </w:r>
      <w:r w:rsidRPr="00CD4A68">
        <w:t>98</w:t>
      </w:r>
      <w:r w:rsidRPr="00EA49C6">
        <w:t xml:space="preserve">/CE, la directive </w:t>
      </w:r>
      <w:r w:rsidRPr="00CD4A68">
        <w:t>1999</w:t>
      </w:r>
      <w:r w:rsidRPr="00EA49C6">
        <w:t>/</w:t>
      </w:r>
      <w:r w:rsidRPr="00CD4A68">
        <w:t>31</w:t>
      </w:r>
      <w:r w:rsidRPr="00EA49C6">
        <w:t xml:space="preserve">/CE et la directive </w:t>
      </w:r>
      <w:r w:rsidRPr="00CD4A68">
        <w:t>94</w:t>
      </w:r>
      <w:r w:rsidRPr="00EA49C6">
        <w:t>/</w:t>
      </w:r>
      <w:r w:rsidRPr="00CD4A68">
        <w:t>62</w:t>
      </w:r>
      <w:r w:rsidRPr="00EA49C6">
        <w:t xml:space="preserve">/CE et une simplification de la directive </w:t>
      </w:r>
      <w:r w:rsidRPr="00CD4A68">
        <w:t>2000</w:t>
      </w:r>
      <w:r w:rsidRPr="00EA49C6">
        <w:t>/</w:t>
      </w:r>
      <w:r w:rsidRPr="00CD4A68">
        <w:t>53</w:t>
      </w:r>
      <w:r w:rsidRPr="00EA49C6">
        <w:t xml:space="preserve">/CE, de la directive </w:t>
      </w:r>
      <w:r w:rsidRPr="00CD4A68">
        <w:t>2006</w:t>
      </w:r>
      <w:r w:rsidRPr="00EA49C6">
        <w:t>/</w:t>
      </w:r>
      <w:r w:rsidRPr="00CD4A68">
        <w:t>66</w:t>
      </w:r>
      <w:r w:rsidRPr="00EA49C6">
        <w:t xml:space="preserve">/CE et de la directive </w:t>
      </w:r>
      <w:r w:rsidRPr="00CD4A68">
        <w:t>2012</w:t>
      </w:r>
      <w:r w:rsidRPr="00EA49C6">
        <w:t>/</w:t>
      </w:r>
      <w:r w:rsidRPr="00CD4A68">
        <w:t>19</w:t>
      </w:r>
      <w:r w:rsidRPr="00EA49C6">
        <w:t>/UE. Il s’agit d’une révision complexe de la législation en matière de déchets, qui est susceptible d'avoir une incidence sur un certain nombre d’actes législatifs nationaux.</w:t>
      </w:r>
    </w:p>
    <w:p w:rsidR="002428B2" w:rsidRPr="00EA49C6" w:rsidRDefault="002428B2">
      <w:pPr>
        <w:pStyle w:val="Text1"/>
        <w:ind w:left="0"/>
        <w:rPr>
          <w:rFonts w:eastAsia="SimSun"/>
          <w:noProof/>
        </w:rPr>
      </w:pPr>
      <w:r w:rsidRPr="00EA49C6">
        <w:t>Les objectifs révisés de gestion des déchets contenus dans les directives modifiées sont interdépendants et ils devraient être soigneusement transposés en droit national avant d'être incorporés dans les systèmes nationaux de gestion des déchets.</w:t>
      </w:r>
    </w:p>
    <w:p w:rsidR="002428B2" w:rsidRPr="00EA49C6" w:rsidRDefault="002428B2">
      <w:pPr>
        <w:pStyle w:val="Text1"/>
        <w:ind w:left="0"/>
        <w:rPr>
          <w:rFonts w:eastAsia="SimSun"/>
          <w:noProof/>
        </w:rPr>
      </w:pPr>
      <w:r w:rsidRPr="00EA49C6">
        <w:t>Les dispositions proposées auront une incidence sur un large éventail de parties prenantes publiques et privées dans les États membres, ainsi que des retombées importantes sur les futurs investissements dans l'infrastructure de gestion des déchets. La transposition complète et correcte des nouveaux textes législatifs est essentielle pour garantir la réalisation des objectifs de ceux-ci (à savoir protéger la santé humaine et l’environnement, utiliser plus efficacement les ressources et veiller au bon fonctionnement du marché intérieur en évitant les entraves aux échanges et les restrictions de la concurrence à l’intérieur de l’UE).</w:t>
      </w:r>
    </w:p>
    <w:p w:rsidR="002428B2" w:rsidRPr="00EA49C6" w:rsidRDefault="002428B2" w:rsidP="006B7BC6">
      <w:pPr>
        <w:pStyle w:val="Text1"/>
        <w:ind w:left="0"/>
        <w:rPr>
          <w:rFonts w:eastAsia="SimSun"/>
          <w:noProof/>
        </w:rPr>
      </w:pPr>
      <w:r w:rsidRPr="00EA49C6">
        <w:t xml:space="preserve">L'obligation de fournir des documents explicatifs peut entraîner une charge administrative supplémentaire pour certains États membres. Cependant, ces documents explicatifs sont nécessaires pour vérifier que la transposition est complète et correcte, ce qui est essentiel pour les raisons évoquées plus haut et ne saurait être assuré efficacement par des mesures moins pesantes. En outre, les documents explicatifs peuvent considérablement alléger la tâche administrative de vérification de la conformité incombant à la Commission; en l'absence de </w:t>
      </w:r>
      <w:r w:rsidRPr="00EA49C6">
        <w:lastRenderedPageBreak/>
        <w:t>tels documents, il faudrait des ressources considérables et de nombreux contacts avec les autorités nationales pour suivre les méthodes de transposition dans tous les États membres.</w:t>
      </w:r>
    </w:p>
    <w:p w:rsidR="002428B2" w:rsidRPr="00EA49C6" w:rsidRDefault="002428B2">
      <w:pPr>
        <w:pStyle w:val="Text1"/>
        <w:ind w:left="0"/>
        <w:rPr>
          <w:rFonts w:eastAsia="SimSun"/>
          <w:noProof/>
        </w:rPr>
      </w:pPr>
      <w:r w:rsidRPr="00EA49C6">
        <w:t>Compte tenu de ce qui précède, il convient d'inviter les États membres à joindre à la notification de leurs mesures de transposition un ou plusieurs documents expliquant le lien entre les dispositions des directives modifiant la législation de l'UE en matière de déchets et les parties correspondantes de leurs instruments nationaux de transposition.</w:t>
      </w:r>
    </w:p>
    <w:p w:rsidR="002428B2" w:rsidRPr="00EA49C6" w:rsidRDefault="002428B2">
      <w:pPr>
        <w:pStyle w:val="ManualHeading2"/>
        <w:rPr>
          <w:noProof/>
        </w:rPr>
      </w:pPr>
      <w:r w:rsidRPr="00CD4A68">
        <w:t>3</w:t>
      </w:r>
      <w:r w:rsidRPr="00EA49C6">
        <w:t>.</w:t>
      </w:r>
      <w:r w:rsidRPr="00CD4A68">
        <w:t>5</w:t>
      </w:r>
      <w:r w:rsidRPr="00EA49C6">
        <w:tab/>
        <w:t>Pouvoirs délégués et compétences d'exécution de la Commission</w:t>
      </w:r>
    </w:p>
    <w:p w:rsidR="002428B2" w:rsidRPr="00EA49C6" w:rsidRDefault="002428B2">
      <w:pPr>
        <w:pStyle w:val="Text1"/>
        <w:ind w:left="0"/>
        <w:rPr>
          <w:rFonts w:eastAsia="SimSun"/>
          <w:noProof/>
        </w:rPr>
      </w:pPr>
      <w:r w:rsidRPr="00EA49C6">
        <w:t xml:space="preserve">Les pouvoirs délégués et d’exécution de la Commission sont définis et les procédures correspondantes pour l’adoption de ces actes établies à l'article </w:t>
      </w:r>
      <w:r w:rsidRPr="00CD4A68">
        <w:t>1</w:t>
      </w:r>
      <w:r w:rsidRPr="00EA49C6">
        <w:rPr>
          <w:vertAlign w:val="superscript"/>
        </w:rPr>
        <w:t>er</w:t>
      </w:r>
      <w:r w:rsidRPr="00EA49C6">
        <w:t xml:space="preserve">, paragraphes </w:t>
      </w:r>
      <w:r w:rsidRPr="00CD4A68">
        <w:t>4</w:t>
      </w:r>
      <w:r w:rsidRPr="00EA49C6">
        <w:t xml:space="preserve">, </w:t>
      </w:r>
      <w:r w:rsidRPr="00CD4A68">
        <w:t>5</w:t>
      </w:r>
      <w:r w:rsidRPr="00EA49C6">
        <w:t xml:space="preserve">, </w:t>
      </w:r>
      <w:r w:rsidRPr="00CD4A68">
        <w:t>6</w:t>
      </w:r>
      <w:r w:rsidRPr="00EA49C6">
        <w:t xml:space="preserve">, </w:t>
      </w:r>
      <w:r w:rsidRPr="00CD4A68">
        <w:t>9</w:t>
      </w:r>
      <w:r w:rsidRPr="00EA49C6">
        <w:t xml:space="preserve">, </w:t>
      </w:r>
      <w:r w:rsidRPr="00CD4A68">
        <w:t>11</w:t>
      </w:r>
      <w:r w:rsidRPr="00EA49C6">
        <w:t xml:space="preserve">, </w:t>
      </w:r>
      <w:r w:rsidRPr="00CD4A68">
        <w:t>14</w:t>
      </w:r>
      <w:r w:rsidRPr="00EA49C6">
        <w:t xml:space="preserve">, </w:t>
      </w:r>
      <w:r w:rsidRPr="00CD4A68">
        <w:t>15</w:t>
      </w:r>
      <w:r w:rsidRPr="00EA49C6">
        <w:t xml:space="preserve">, </w:t>
      </w:r>
      <w:r w:rsidRPr="00CD4A68">
        <w:t>18</w:t>
      </w:r>
      <w:r w:rsidRPr="00EA49C6">
        <w:t xml:space="preserve">, </w:t>
      </w:r>
      <w:r w:rsidRPr="00CD4A68">
        <w:t>19</w:t>
      </w:r>
      <w:r w:rsidRPr="00EA49C6">
        <w:t xml:space="preserve">, </w:t>
      </w:r>
      <w:r w:rsidRPr="00CD4A68">
        <w:t>21</w:t>
      </w:r>
      <w:r w:rsidRPr="00EA49C6">
        <w:t xml:space="preserve"> et </w:t>
      </w:r>
      <w:r w:rsidRPr="00CD4A68">
        <w:t>22</w:t>
      </w:r>
      <w:r w:rsidRPr="00EA49C6">
        <w:t xml:space="preserve">, de la proposition concernant la directive </w:t>
      </w:r>
      <w:r w:rsidRPr="00CD4A68">
        <w:t>2008</w:t>
      </w:r>
      <w:r w:rsidRPr="00EA49C6">
        <w:t>/</w:t>
      </w:r>
      <w:r w:rsidRPr="00CD4A68">
        <w:t>98</w:t>
      </w:r>
      <w:r w:rsidRPr="00EA49C6">
        <w:t xml:space="preserve">/CE, à l'article </w:t>
      </w:r>
      <w:r w:rsidRPr="00CD4A68">
        <w:t>1</w:t>
      </w:r>
      <w:r w:rsidRPr="00EA49C6">
        <w:rPr>
          <w:vertAlign w:val="superscript"/>
        </w:rPr>
        <w:t>er</w:t>
      </w:r>
      <w:r w:rsidRPr="00EA49C6">
        <w:t xml:space="preserve">, paragraphes </w:t>
      </w:r>
      <w:r w:rsidRPr="00CD4A68">
        <w:t>4</w:t>
      </w:r>
      <w:r w:rsidRPr="00EA49C6">
        <w:t xml:space="preserve">, </w:t>
      </w:r>
      <w:r w:rsidRPr="00CD4A68">
        <w:t>6</w:t>
      </w:r>
      <w:r w:rsidRPr="00EA49C6">
        <w:t xml:space="preserve">, </w:t>
      </w:r>
      <w:r w:rsidRPr="00CD4A68">
        <w:t>7</w:t>
      </w:r>
      <w:r w:rsidRPr="00EA49C6">
        <w:t xml:space="preserve">, </w:t>
      </w:r>
      <w:r w:rsidRPr="00CD4A68">
        <w:t>9</w:t>
      </w:r>
      <w:r w:rsidRPr="00EA49C6">
        <w:t xml:space="preserve"> et </w:t>
      </w:r>
      <w:r w:rsidRPr="00CD4A68">
        <w:t>10</w:t>
      </w:r>
      <w:r w:rsidRPr="00EA49C6">
        <w:t xml:space="preserve">, de la proposition concernant la directive </w:t>
      </w:r>
      <w:r w:rsidRPr="00CD4A68">
        <w:t>94</w:t>
      </w:r>
      <w:r w:rsidRPr="00EA49C6">
        <w:t>/</w:t>
      </w:r>
      <w:r w:rsidRPr="00CD4A68">
        <w:t>62</w:t>
      </w:r>
      <w:r w:rsidRPr="00EA49C6">
        <w:t xml:space="preserve">/CE, à l'article </w:t>
      </w:r>
      <w:r w:rsidRPr="00CD4A68">
        <w:t>1</w:t>
      </w:r>
      <w:r w:rsidRPr="00EA49C6">
        <w:rPr>
          <w:vertAlign w:val="superscript"/>
        </w:rPr>
        <w:t>er</w:t>
      </w:r>
      <w:r w:rsidRPr="00EA49C6">
        <w:t xml:space="preserve">, paragraphes </w:t>
      </w:r>
      <w:r w:rsidRPr="00CD4A68">
        <w:t>6</w:t>
      </w:r>
      <w:r w:rsidRPr="00EA49C6">
        <w:t xml:space="preserve"> et </w:t>
      </w:r>
      <w:r w:rsidRPr="00CD4A68">
        <w:t>7</w:t>
      </w:r>
      <w:r w:rsidRPr="00EA49C6">
        <w:t xml:space="preserve">, de la proposition concernant la directive </w:t>
      </w:r>
      <w:r w:rsidRPr="00CD4A68">
        <w:t>1999</w:t>
      </w:r>
      <w:r w:rsidRPr="00EA49C6">
        <w:t>/</w:t>
      </w:r>
      <w:r w:rsidRPr="00CD4A68">
        <w:t>31</w:t>
      </w:r>
      <w:r w:rsidRPr="00EA49C6">
        <w:t xml:space="preserve">/CE et aux articles </w:t>
      </w:r>
      <w:r w:rsidRPr="00CD4A68">
        <w:t>1</w:t>
      </w:r>
      <w:r w:rsidRPr="00EA49C6">
        <w:rPr>
          <w:vertAlign w:val="superscript"/>
        </w:rPr>
        <w:t>er</w:t>
      </w:r>
      <w:r w:rsidRPr="00EA49C6">
        <w:t xml:space="preserve"> et </w:t>
      </w:r>
      <w:r w:rsidRPr="00CD4A68">
        <w:t>3</w:t>
      </w:r>
      <w:r w:rsidRPr="00EA49C6">
        <w:t xml:space="preserve"> de la proposition concernant les directives </w:t>
      </w:r>
      <w:r w:rsidRPr="00CD4A68">
        <w:t>2000</w:t>
      </w:r>
      <w:r w:rsidRPr="00EA49C6">
        <w:t>/</w:t>
      </w:r>
      <w:r w:rsidRPr="00CD4A68">
        <w:t>53</w:t>
      </w:r>
      <w:r w:rsidRPr="00EA49C6">
        <w:t xml:space="preserve">/CE et </w:t>
      </w:r>
      <w:r w:rsidRPr="00CD4A68">
        <w:t>2012</w:t>
      </w:r>
      <w:r w:rsidRPr="00EA49C6">
        <w:t>/</w:t>
      </w:r>
      <w:r w:rsidRPr="00CD4A68">
        <w:t>19</w:t>
      </w:r>
      <w:r w:rsidRPr="00EA49C6">
        <w:t>/UE.</w:t>
      </w:r>
    </w:p>
    <w:p w:rsidR="002428B2" w:rsidRPr="00EA49C6" w:rsidRDefault="002428B2">
      <w:pPr>
        <w:pStyle w:val="ManualHeading1"/>
        <w:spacing w:before="120"/>
        <w:rPr>
          <w:noProof/>
        </w:rPr>
      </w:pPr>
      <w:r w:rsidRPr="00CD4A68">
        <w:t>4</w:t>
      </w:r>
      <w:r w:rsidRPr="00EA49C6">
        <w:t>.</w:t>
      </w:r>
      <w:r w:rsidRPr="00EA49C6">
        <w:tab/>
        <w:t>INCIDENCE BUDGÉTAIRE</w:t>
      </w:r>
    </w:p>
    <w:p w:rsidR="002428B2" w:rsidRPr="00EA49C6" w:rsidRDefault="002428B2">
      <w:pPr>
        <w:rPr>
          <w:noProof/>
        </w:rPr>
      </w:pPr>
      <w:r w:rsidRPr="00EA49C6">
        <w:t xml:space="preserve">Les propositions n’auront pas d’incidence sur le budget de l’Union européenne et ne sont donc pas accompagnées de la fiche financière prévue à l’article </w:t>
      </w:r>
      <w:r w:rsidRPr="00CD4A68">
        <w:t>31</w:t>
      </w:r>
      <w:r w:rsidRPr="00EA49C6">
        <w:t xml:space="preserve"> du règlement financier [règlement (UE, Euratom) nº </w:t>
      </w:r>
      <w:r w:rsidRPr="00CD4A68">
        <w:t>966</w:t>
      </w:r>
      <w:r w:rsidRPr="00EA49C6">
        <w:t>/</w:t>
      </w:r>
      <w:r w:rsidRPr="00CD4A68">
        <w:t>2012</w:t>
      </w:r>
      <w:r w:rsidRPr="00EA49C6">
        <w:t xml:space="preserve"> du Parlement européen et du Conseil du </w:t>
      </w:r>
      <w:r w:rsidRPr="00CD4A68">
        <w:t>25</w:t>
      </w:r>
      <w:r w:rsidRPr="00EA49C6">
        <w:t xml:space="preserve"> octobre </w:t>
      </w:r>
      <w:r w:rsidRPr="00CD4A68">
        <w:t>2012</w:t>
      </w:r>
      <w:r w:rsidRPr="00EA49C6">
        <w:t xml:space="preserve"> relatif aux règles financières applicables au budget général de l’Union et abrogeant le règlement (CE, Euratom) nº </w:t>
      </w:r>
      <w:r w:rsidRPr="00CD4A68">
        <w:t>1605</w:t>
      </w:r>
      <w:r w:rsidRPr="00EA49C6">
        <w:t>/</w:t>
      </w:r>
      <w:r w:rsidRPr="00CD4A68">
        <w:t>2002</w:t>
      </w:r>
      <w:r w:rsidRPr="00EA49C6">
        <w:t xml:space="preserve"> du Conseil].</w:t>
      </w:r>
    </w:p>
    <w:p w:rsidR="002428B2" w:rsidRPr="00EA49C6" w:rsidRDefault="002428B2">
      <w:pPr>
        <w:rPr>
          <w:noProof/>
        </w:rPr>
      </w:pPr>
      <w:r w:rsidRPr="00EA49C6">
        <w:br w:type="page"/>
      </w:r>
    </w:p>
    <w:p w:rsidR="002428B2" w:rsidRPr="00EA49C6" w:rsidRDefault="00874734" w:rsidP="00874734">
      <w:pPr>
        <w:pStyle w:val="Rfrenceinterinstitutionnelle"/>
        <w:rPr>
          <w:noProof/>
        </w:rPr>
      </w:pPr>
      <w:r w:rsidRPr="00874734">
        <w:lastRenderedPageBreak/>
        <w:t>2015/0272 (COD)</w:t>
      </w:r>
    </w:p>
    <w:p w:rsidR="002428B2" w:rsidRPr="00EA49C6" w:rsidRDefault="00877289" w:rsidP="00877289">
      <w:pPr>
        <w:pStyle w:val="Statut"/>
        <w:rPr>
          <w:noProof/>
        </w:rPr>
      </w:pPr>
      <w:r w:rsidRPr="00877289">
        <w:t>Proposition de</w:t>
      </w:r>
    </w:p>
    <w:p w:rsidR="002428B2" w:rsidRPr="00EA49C6" w:rsidRDefault="00877289" w:rsidP="00877289">
      <w:pPr>
        <w:pStyle w:val="Typedudocument"/>
        <w:rPr>
          <w:noProof/>
        </w:rPr>
      </w:pPr>
      <w:r w:rsidRPr="00877289">
        <w:t>DIRECTIVE DU PARLEMENT EUROPÉEN ET DU CONSEIL</w:t>
      </w:r>
    </w:p>
    <w:p w:rsidR="002428B2" w:rsidRPr="00EA49C6" w:rsidRDefault="00877289" w:rsidP="00877289">
      <w:pPr>
        <w:pStyle w:val="Titreobjet"/>
        <w:rPr>
          <w:noProof/>
        </w:rPr>
      </w:pPr>
      <w:r w:rsidRPr="00877289">
        <w:t xml:space="preserve">modifiant la directive 2000/53/CE relative aux véhicules hors d'usage, la directive 2006/66/CE relative aux piles et accumulateurs ainsi qu'aux déchets de piles et d'accumulateurs, et la directive 2012/19/UE relative aux déchets d’équipements électriques et électroniques </w:t>
      </w:r>
    </w:p>
    <w:p w:rsidR="002428B2" w:rsidRPr="00EA49C6" w:rsidRDefault="00877289" w:rsidP="00877289">
      <w:pPr>
        <w:pStyle w:val="IntrtEEE"/>
        <w:rPr>
          <w:noProof/>
        </w:rPr>
      </w:pPr>
      <w:r w:rsidRPr="00877289">
        <w:t>(Texte présentant de l’intérêt pour l’EEE)</w:t>
      </w:r>
    </w:p>
    <w:p w:rsidR="002428B2" w:rsidRPr="00EA49C6" w:rsidRDefault="002428B2">
      <w:pPr>
        <w:pStyle w:val="Institutionquiagit"/>
        <w:spacing w:before="120"/>
        <w:rPr>
          <w:noProof/>
        </w:rPr>
      </w:pPr>
      <w:r w:rsidRPr="00EA49C6">
        <w:t>LE PARLEMENT EUROPÉEN ET LE CONSEIL DE L'UNION EUROPÉENNE,</w:t>
      </w:r>
    </w:p>
    <w:p w:rsidR="002428B2" w:rsidRPr="00EA49C6" w:rsidRDefault="002428B2">
      <w:pPr>
        <w:rPr>
          <w:noProof/>
        </w:rPr>
      </w:pPr>
      <w:r w:rsidRPr="00EA49C6">
        <w:t xml:space="preserve">vu le traité sur le fonctionnement de l’Union européenne, et notamment son article </w:t>
      </w:r>
      <w:r w:rsidRPr="00CD4A68">
        <w:t>192</w:t>
      </w:r>
      <w:r w:rsidRPr="00EA49C6">
        <w:t xml:space="preserve">, paragraphe </w:t>
      </w:r>
      <w:r w:rsidRPr="00CD4A68">
        <w:t>1</w:t>
      </w:r>
      <w:r w:rsidRPr="00EA49C6">
        <w:t>,</w:t>
      </w:r>
    </w:p>
    <w:p w:rsidR="002428B2" w:rsidRPr="00EA49C6" w:rsidRDefault="002428B2">
      <w:pPr>
        <w:rPr>
          <w:noProof/>
        </w:rPr>
      </w:pPr>
      <w:r w:rsidRPr="00EA49C6">
        <w:t>vu la proposition de la Commission européenne,</w:t>
      </w:r>
    </w:p>
    <w:p w:rsidR="002428B2" w:rsidRPr="00EA49C6" w:rsidRDefault="002428B2">
      <w:pPr>
        <w:rPr>
          <w:noProof/>
        </w:rPr>
      </w:pPr>
      <w:r w:rsidRPr="00EA49C6">
        <w:t>après transmission du projet d'acte législatif aux parlements nationaux,</w:t>
      </w:r>
    </w:p>
    <w:p w:rsidR="002428B2" w:rsidRPr="00EA49C6" w:rsidRDefault="002428B2">
      <w:pPr>
        <w:rPr>
          <w:noProof/>
        </w:rPr>
      </w:pPr>
      <w:r w:rsidRPr="00EA49C6">
        <w:t>vu l’avis du Comité économique et social européen</w:t>
      </w:r>
      <w:r w:rsidRPr="00EA49C6">
        <w:rPr>
          <w:rStyle w:val="FootnoteReference"/>
          <w:noProof/>
        </w:rPr>
        <w:footnoteReference w:id="13"/>
      </w:r>
      <w:r w:rsidRPr="00EA49C6">
        <w:t>,</w:t>
      </w:r>
    </w:p>
    <w:p w:rsidR="002428B2" w:rsidRPr="00EA49C6" w:rsidRDefault="002428B2">
      <w:pPr>
        <w:rPr>
          <w:noProof/>
        </w:rPr>
      </w:pPr>
      <w:r w:rsidRPr="00EA49C6">
        <w:t>vu l’avis du Comité des régions</w:t>
      </w:r>
      <w:r w:rsidRPr="00EA49C6">
        <w:rPr>
          <w:rStyle w:val="FootnoteReference"/>
          <w:noProof/>
        </w:rPr>
        <w:footnoteReference w:id="14"/>
      </w:r>
      <w:r w:rsidRPr="00EA49C6">
        <w:t>,</w:t>
      </w:r>
    </w:p>
    <w:p w:rsidR="002428B2" w:rsidRPr="00EA49C6" w:rsidRDefault="002428B2">
      <w:pPr>
        <w:rPr>
          <w:noProof/>
        </w:rPr>
      </w:pPr>
      <w:r w:rsidRPr="00EA49C6">
        <w:t>statuant conformément à la procédure législative ordinaire,</w:t>
      </w:r>
    </w:p>
    <w:p w:rsidR="002428B2" w:rsidRPr="00EA49C6" w:rsidRDefault="002428B2">
      <w:pPr>
        <w:rPr>
          <w:noProof/>
        </w:rPr>
      </w:pPr>
      <w:r w:rsidRPr="00EA49C6">
        <w:t>considérant ce qui suit:</w:t>
      </w:r>
    </w:p>
    <w:p w:rsidR="002428B2" w:rsidRPr="00EA49C6" w:rsidRDefault="002428B2">
      <w:pPr>
        <w:pStyle w:val="ManualConsidrant"/>
        <w:rPr>
          <w:noProof/>
        </w:rPr>
      </w:pPr>
      <w:r w:rsidRPr="00EA49C6">
        <w:t>(</w:t>
      </w:r>
      <w:r w:rsidRPr="00CD4A68">
        <w:t>1</w:t>
      </w:r>
      <w:r w:rsidRPr="00EA49C6">
        <w:t>)</w:t>
      </w:r>
      <w:r w:rsidRPr="00EA49C6">
        <w:tab/>
        <w:t>La gestion des déchets dans l’Union devrait être améliorée, dans le but de protéger, de préserver et d’améliorer la qualité de l’environnement, de protéger la santé des personnes, de garantir une utilisation prudente et rationnelle des ressources naturelles et d'encourager une économie plus circulaire.</w:t>
      </w:r>
    </w:p>
    <w:p w:rsidR="002428B2" w:rsidRPr="00EA49C6" w:rsidRDefault="002428B2">
      <w:pPr>
        <w:pStyle w:val="ManualConsidrant"/>
        <w:rPr>
          <w:noProof/>
        </w:rPr>
      </w:pPr>
      <w:r w:rsidRPr="00EA49C6">
        <w:t>(</w:t>
      </w:r>
      <w:r w:rsidRPr="00CD4A68">
        <w:t>2</w:t>
      </w:r>
      <w:r w:rsidRPr="00EA49C6">
        <w:t>)</w:t>
      </w:r>
      <w:r w:rsidRPr="00EA49C6">
        <w:tab/>
        <w:t>Afin de réduire les contraintes réglementaires qui pèsent sur les petits établissements ou les petites entreprises, il y a lieu de simplifier les exigences en matière d'autorisation et d'enregistrement applicables aux petits établissements ou aux petites entreprises.</w:t>
      </w:r>
    </w:p>
    <w:p w:rsidR="002428B2" w:rsidRPr="00EA49C6" w:rsidRDefault="002428B2">
      <w:pPr>
        <w:pStyle w:val="ManualConsidrant"/>
        <w:rPr>
          <w:noProof/>
        </w:rPr>
      </w:pPr>
      <w:r w:rsidRPr="00EA49C6">
        <w:t>(</w:t>
      </w:r>
      <w:r w:rsidRPr="00CD4A68">
        <w:t>2</w:t>
      </w:r>
      <w:r w:rsidRPr="00EA49C6">
        <w:t>)</w:t>
      </w:r>
      <w:r w:rsidRPr="00EA49C6">
        <w:tab/>
        <w:t>Les rapports de mise en œuvre établis tous les trois ans par les États membres ne se sont pas révélés efficaces en tant qu'outil de vérification de la conformité et instrument de mise en œuvre; ils entraînent en revanche une charge administrative inutile. Il y a donc lieu d’abroger les dispositions obligeant les États membres à produire de tels rapports et de recourir exclusivement, aux fins de la vérification de la conformité, aux statistiques que les États membres communiquent chaque année à la Commission.</w:t>
      </w:r>
    </w:p>
    <w:p w:rsidR="002428B2" w:rsidRPr="00EA49C6" w:rsidRDefault="002428B2">
      <w:pPr>
        <w:pStyle w:val="ManualConsidrant"/>
        <w:rPr>
          <w:noProof/>
        </w:rPr>
      </w:pPr>
      <w:r w:rsidRPr="00EA49C6">
        <w:t>(</w:t>
      </w:r>
      <w:r w:rsidRPr="00CD4A68">
        <w:t>3</w:t>
      </w:r>
      <w:r w:rsidRPr="00EA49C6">
        <w:t>)</w:t>
      </w:r>
      <w:r w:rsidRPr="00EA49C6">
        <w:tab/>
        <w:t xml:space="preserve">Les statistiques communiquées par les États membres sont essentielles pour permettre à la Commission d'évaluer le respect de la législation en matière de déchets dans l'ensemble des États membres. La qualité, la fiabilité et la comparabilité des statistiques devraient être améliorées par la mise en place d’un point d’entrée unique pour toutes les données relatives aux déchets, par la suppression des exigences </w:t>
      </w:r>
      <w:r w:rsidRPr="00EA49C6">
        <w:lastRenderedPageBreak/>
        <w:t>obsolètes en matière d’établissement de rapports, par la comparaison des méthodes nationales de communication des informations et par l'introduction d'un rapport de cont</w:t>
      </w:r>
      <w:r w:rsidR="006B7BC6">
        <w:t>rôle de la qualité des données.</w:t>
      </w:r>
    </w:p>
    <w:p w:rsidR="002428B2" w:rsidRPr="00EA49C6" w:rsidRDefault="002428B2">
      <w:pPr>
        <w:pStyle w:val="ManualConsidrant"/>
        <w:rPr>
          <w:rStyle w:val="CommentReference"/>
          <w:noProof/>
          <w:sz w:val="24"/>
          <w:szCs w:val="20"/>
        </w:rPr>
      </w:pPr>
      <w:r w:rsidRPr="00EA49C6">
        <w:t>(</w:t>
      </w:r>
      <w:r w:rsidRPr="00CD4A68">
        <w:t>4</w:t>
      </w:r>
      <w:r w:rsidRPr="00EA49C6">
        <w:t>)</w:t>
      </w:r>
      <w:r w:rsidRPr="00EA49C6">
        <w:tab/>
      </w:r>
      <w:r w:rsidRPr="00EA49C6">
        <w:rPr>
          <w:rStyle w:val="CommentReference"/>
          <w:noProof/>
          <w:sz w:val="24"/>
        </w:rPr>
        <w:t>Une communication fiable des statistiques concernant la gestion des déchets est essentielle pour l’efficacité de la mise en œuvre et pour garantir la comparabilité des données dans des conditions de concurrence équitables entre les États membres. Par conséquent, lorsqu’ils établissent les rapports sur le respect des objectifs fixés par les directives en question, les États membres devraient utiliser la méthode la plus récente mise au point par la Commission et les instituts de statistique des États membres.</w:t>
      </w:r>
    </w:p>
    <w:p w:rsidR="002428B2" w:rsidRPr="00EA49C6" w:rsidRDefault="002428B2">
      <w:pPr>
        <w:pStyle w:val="ManualConsidrant"/>
        <w:rPr>
          <w:noProof/>
        </w:rPr>
      </w:pPr>
      <w:r w:rsidRPr="00EA49C6">
        <w:rPr>
          <w:rStyle w:val="CommentReference"/>
          <w:noProof/>
          <w:sz w:val="24"/>
        </w:rPr>
        <w:t>(</w:t>
      </w:r>
      <w:r w:rsidRPr="00CD4A68">
        <w:rPr>
          <w:rStyle w:val="CommentReference"/>
          <w:noProof/>
          <w:sz w:val="24"/>
        </w:rPr>
        <w:t>5</w:t>
      </w:r>
      <w:r w:rsidRPr="00EA49C6">
        <w:rPr>
          <w:rStyle w:val="CommentReference"/>
          <w:noProof/>
          <w:sz w:val="24"/>
        </w:rPr>
        <w:t>)</w:t>
      </w:r>
      <w:r w:rsidRPr="00EA49C6">
        <w:tab/>
        <w:t xml:space="preserve">Il y a donc lieu de modifier les directives </w:t>
      </w:r>
      <w:r w:rsidRPr="00CD4A68">
        <w:t>2000</w:t>
      </w:r>
      <w:r w:rsidRPr="00EA49C6">
        <w:t>/</w:t>
      </w:r>
      <w:r w:rsidRPr="00CD4A68">
        <w:t>53</w:t>
      </w:r>
      <w:r w:rsidRPr="00EA49C6">
        <w:t xml:space="preserve">/CE, </w:t>
      </w:r>
      <w:r w:rsidRPr="00CD4A68">
        <w:t>2006</w:t>
      </w:r>
      <w:r w:rsidRPr="00EA49C6">
        <w:t>/</w:t>
      </w:r>
      <w:r w:rsidRPr="00CD4A68">
        <w:t>66</w:t>
      </w:r>
      <w:r w:rsidRPr="00EA49C6">
        <w:t xml:space="preserve">/CE et </w:t>
      </w:r>
      <w:r w:rsidRPr="00CD4A68">
        <w:t>2012</w:t>
      </w:r>
      <w:r w:rsidRPr="00EA49C6">
        <w:t>/</w:t>
      </w:r>
      <w:r w:rsidRPr="00CD4A68">
        <w:t>19</w:t>
      </w:r>
      <w:r w:rsidRPr="00EA49C6">
        <w:t>/UE en conséquence.</w:t>
      </w:r>
    </w:p>
    <w:p w:rsidR="002428B2" w:rsidRPr="00EA49C6" w:rsidRDefault="002428B2">
      <w:pPr>
        <w:pStyle w:val="ManualConsidrant"/>
        <w:rPr>
          <w:noProof/>
        </w:rPr>
      </w:pPr>
      <w:r w:rsidRPr="00EA49C6">
        <w:t>(</w:t>
      </w:r>
      <w:r w:rsidRPr="00CD4A68">
        <w:t>6</w:t>
      </w:r>
      <w:r w:rsidRPr="00EA49C6">
        <w:t>)</w:t>
      </w:r>
      <w:r w:rsidRPr="00EA49C6">
        <w:tab/>
        <w:t xml:space="preserve">Conformément à la déclaration politique commune des États membres et de la Commission du </w:t>
      </w:r>
      <w:r w:rsidRPr="00CD4A68">
        <w:t>28</w:t>
      </w:r>
      <w:r w:rsidRPr="00EA49C6">
        <w:t xml:space="preserve"> septembre </w:t>
      </w:r>
      <w:r w:rsidRPr="00CD4A68">
        <w:t>2011</w:t>
      </w:r>
      <w:r w:rsidRPr="00EA49C6">
        <w:t xml:space="preserve"> sur les documents explicatifs</w:t>
      </w:r>
      <w:r w:rsidRPr="00EA49C6">
        <w:rPr>
          <w:rStyle w:val="FootnoteReference"/>
          <w:noProof/>
        </w:rPr>
        <w:footnoteReference w:id="15"/>
      </w:r>
      <w:r w:rsidRPr="00EA49C6">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tels documents est justifiée.</w:t>
      </w:r>
    </w:p>
    <w:p w:rsidR="002428B2" w:rsidRPr="00EA49C6" w:rsidRDefault="002428B2">
      <w:pPr>
        <w:pStyle w:val="ManualConsidrant"/>
        <w:rPr>
          <w:rStyle w:val="CommentReference"/>
          <w:noProof/>
          <w:sz w:val="24"/>
          <w:szCs w:val="20"/>
        </w:rPr>
      </w:pPr>
      <w:r w:rsidRPr="00EA49C6">
        <w:rPr>
          <w:rStyle w:val="CommentReference"/>
          <w:noProof/>
          <w:sz w:val="24"/>
        </w:rPr>
        <w:t>(</w:t>
      </w:r>
      <w:r w:rsidRPr="00CD4A68">
        <w:rPr>
          <w:rStyle w:val="CommentReference"/>
          <w:noProof/>
          <w:sz w:val="24"/>
        </w:rPr>
        <w:t>7</w:t>
      </w:r>
      <w:r w:rsidRPr="00EA49C6">
        <w:rPr>
          <w:rStyle w:val="CommentReference"/>
          <w:noProof/>
          <w:sz w:val="24"/>
        </w:rPr>
        <w:t>)</w:t>
      </w:r>
      <w:r w:rsidRPr="00EA49C6">
        <w:tab/>
      </w:r>
      <w:r w:rsidRPr="00EA49C6">
        <w:rPr>
          <w:rStyle w:val="CommentReference"/>
          <w:noProof/>
          <w:sz w:val="24"/>
        </w:rPr>
        <w:t xml:space="preserve">Étant donné que les objectifs de la présente directive, qui consistent à </w:t>
      </w:r>
      <w:r w:rsidRPr="00EA49C6">
        <w:t>améliorer la gestion des déchets dans l’Union et, partant, à contribuer à la protection, à la préservation et à l’amélioration de la qualité de l’environnement ainsi qu’à l’utilisation prudente et rationnelle des ressources</w:t>
      </w:r>
      <w:r w:rsidRPr="00EA49C6">
        <w:rPr>
          <w:rStyle w:val="CommentReference"/>
          <w:noProof/>
          <w:sz w:val="24"/>
        </w:rPr>
        <w:t xml:space="preserve"> naturelles, ne peuvent pas être réalisés de manière suffisante par les États membres, mais peuvent, en raison de l'ampleur ou des effets des mesures, être mieux réalisés au niveau de l’Union, l’Union peut adopter des mesures conformément au principe de subsidiarité énoncé à l’article </w:t>
      </w:r>
      <w:r w:rsidRPr="00CD4A68">
        <w:rPr>
          <w:rStyle w:val="CommentReference"/>
          <w:noProof/>
          <w:sz w:val="24"/>
        </w:rPr>
        <w:t>5</w:t>
      </w:r>
      <w:r w:rsidRPr="00EA49C6">
        <w:rPr>
          <w:rStyle w:val="CommentReference"/>
          <w:noProof/>
          <w:sz w:val="24"/>
        </w:rPr>
        <w:t xml:space="preserve"> du traité sur l’Union européenne. Conformément au principe de proportionnalité tel qu'énoncé audit article, la présente directive n'excède pas ce qui est nécessair</w:t>
      </w:r>
      <w:r w:rsidR="006B7BC6">
        <w:rPr>
          <w:rStyle w:val="CommentReference"/>
          <w:noProof/>
          <w:sz w:val="24"/>
        </w:rPr>
        <w:t>e pour atteindre ces objectifs,</w:t>
      </w:r>
    </w:p>
    <w:p w:rsidR="002428B2" w:rsidRPr="00EA49C6" w:rsidRDefault="002428B2">
      <w:pPr>
        <w:pStyle w:val="Formuledadoption"/>
        <w:rPr>
          <w:noProof/>
        </w:rPr>
      </w:pPr>
      <w:r w:rsidRPr="00EA49C6">
        <w:t>ONT ADOPTÉ LA PRÉSENTE DIRECTIVE:</w:t>
      </w:r>
    </w:p>
    <w:p w:rsidR="002428B2" w:rsidRPr="00EA49C6" w:rsidRDefault="002428B2">
      <w:pPr>
        <w:pStyle w:val="Titrearticle"/>
        <w:spacing w:before="120"/>
        <w:rPr>
          <w:noProof/>
        </w:rPr>
      </w:pPr>
      <w:r w:rsidRPr="00EA49C6">
        <w:t>Article premier</w:t>
      </w:r>
    </w:p>
    <w:p w:rsidR="002428B2" w:rsidRPr="00EA49C6" w:rsidRDefault="002428B2">
      <w:pPr>
        <w:pStyle w:val="NormalCentered"/>
        <w:rPr>
          <w:b/>
          <w:noProof/>
        </w:rPr>
      </w:pPr>
      <w:r w:rsidRPr="00EA49C6">
        <w:rPr>
          <w:b/>
          <w:noProof/>
        </w:rPr>
        <w:t xml:space="preserve">Modification de la directive </w:t>
      </w:r>
      <w:r w:rsidRPr="00CD4A68">
        <w:rPr>
          <w:b/>
          <w:noProof/>
        </w:rPr>
        <w:t>2000</w:t>
      </w:r>
      <w:r w:rsidRPr="00EA49C6">
        <w:rPr>
          <w:b/>
          <w:noProof/>
        </w:rPr>
        <w:t>/</w:t>
      </w:r>
      <w:r w:rsidRPr="00CD4A68">
        <w:rPr>
          <w:b/>
          <w:noProof/>
        </w:rPr>
        <w:t>53</w:t>
      </w:r>
      <w:r w:rsidRPr="00EA49C6">
        <w:rPr>
          <w:b/>
          <w:noProof/>
        </w:rPr>
        <w:t>/CE</w:t>
      </w:r>
    </w:p>
    <w:p w:rsidR="002428B2" w:rsidRPr="00EA49C6" w:rsidRDefault="002428B2">
      <w:pPr>
        <w:rPr>
          <w:noProof/>
        </w:rPr>
      </w:pPr>
      <w:r w:rsidRPr="00EA49C6">
        <w:t xml:space="preserve">L'article </w:t>
      </w:r>
      <w:r w:rsidRPr="00CD4A68">
        <w:t>9</w:t>
      </w:r>
      <w:r w:rsidRPr="00EA49C6">
        <w:t xml:space="preserve"> de la directive </w:t>
      </w:r>
      <w:r w:rsidRPr="00CD4A68">
        <w:t>2000</w:t>
      </w:r>
      <w:r w:rsidRPr="00EA49C6">
        <w:t>/</w:t>
      </w:r>
      <w:r w:rsidRPr="00CD4A68">
        <w:t>53</w:t>
      </w:r>
      <w:r w:rsidRPr="00EA49C6">
        <w:t>/CE est modifié comme suit:</w:t>
      </w:r>
    </w:p>
    <w:p w:rsidR="002428B2" w:rsidRPr="00EA49C6" w:rsidRDefault="002428B2">
      <w:pPr>
        <w:pStyle w:val="ManualNumPar1"/>
        <w:rPr>
          <w:noProof/>
        </w:rPr>
      </w:pPr>
      <w:r w:rsidRPr="00CD4A68">
        <w:t>1</w:t>
      </w:r>
      <w:r w:rsidRPr="00EA49C6">
        <w:t xml:space="preserve">) le paragraphe </w:t>
      </w:r>
      <w:r w:rsidRPr="00CD4A68">
        <w:t>1</w:t>
      </w:r>
      <w:r w:rsidRPr="00EA49C6">
        <w:t xml:space="preserve"> est supprimé;</w:t>
      </w:r>
    </w:p>
    <w:p w:rsidR="002428B2" w:rsidRPr="00EA49C6" w:rsidRDefault="002428B2">
      <w:pPr>
        <w:pStyle w:val="ManualNumPar1"/>
        <w:rPr>
          <w:noProof/>
        </w:rPr>
      </w:pPr>
      <w:r w:rsidRPr="00CD4A68">
        <w:t>2</w:t>
      </w:r>
      <w:r w:rsidRPr="00EA49C6">
        <w:t xml:space="preserve">) le paragraphe </w:t>
      </w:r>
      <w:r w:rsidRPr="00CD4A68">
        <w:t>1</w:t>
      </w:r>
      <w:r w:rsidRPr="00EA49C6">
        <w:t>, points a), b), c) et d), suivant est inséré:</w:t>
      </w:r>
    </w:p>
    <w:p w:rsidR="002428B2" w:rsidRPr="00EA49C6" w:rsidRDefault="002428B2">
      <w:pPr>
        <w:pStyle w:val="Text1"/>
        <w:rPr>
          <w:rFonts w:cs="Calibri"/>
          <w:bCs/>
          <w:noProof/>
        </w:rPr>
      </w:pPr>
      <w:r w:rsidRPr="00EA49C6">
        <w:t>«</w:t>
      </w:r>
      <w:r w:rsidRPr="00CD4A68">
        <w:t>1</w:t>
      </w:r>
      <w:r w:rsidRPr="00EA49C6">
        <w:t xml:space="preserve">. a) Les États membres communiquent à la Commission les données relatives à la mise en œuvre de l’article </w:t>
      </w:r>
      <w:r w:rsidRPr="00CD4A68">
        <w:t>7</w:t>
      </w:r>
      <w:r w:rsidRPr="00EA49C6">
        <w:t xml:space="preserve">, paragraphe </w:t>
      </w:r>
      <w:r w:rsidRPr="00CD4A68">
        <w:t>2</w:t>
      </w:r>
      <w:r w:rsidRPr="00EA49C6">
        <w:t xml:space="preserve">, pour chaque année civile. Ils transmettent ces informations par voie électronique dans les </w:t>
      </w:r>
      <w:r w:rsidRPr="00CD4A68">
        <w:t>18</w:t>
      </w:r>
      <w:r w:rsidRPr="00EA49C6">
        <w:t xml:space="preserve"> mois suivant la fin de l’année pour laquelle les données sont collectées. Les données sont transmises dans le format établi par la Commission conformément au paragraphe </w:t>
      </w:r>
      <w:r w:rsidRPr="00CD4A68">
        <w:t>1</w:t>
      </w:r>
      <w:r w:rsidRPr="00EA49C6">
        <w:t xml:space="preserve">, point d). Le premier rapport couvre la période comprise entre le </w:t>
      </w:r>
      <w:r w:rsidRPr="00CD4A68">
        <w:t>1</w:t>
      </w:r>
      <w:r w:rsidRPr="00EA49C6">
        <w:rPr>
          <w:vertAlign w:val="superscript"/>
        </w:rPr>
        <w:t>er</w:t>
      </w:r>
      <w:r w:rsidRPr="00EA49C6">
        <w:t xml:space="preserve"> janvier [</w:t>
      </w:r>
      <w:r w:rsidRPr="00EA49C6">
        <w:rPr>
          <w:i/>
        </w:rPr>
        <w:t xml:space="preserve">année de transposition de la présente directive + </w:t>
      </w:r>
      <w:r w:rsidRPr="00CD4A68">
        <w:rPr>
          <w:i/>
        </w:rPr>
        <w:t>1</w:t>
      </w:r>
      <w:r w:rsidRPr="00EA49C6">
        <w:rPr>
          <w:i/>
        </w:rPr>
        <w:t xml:space="preserve"> an</w:t>
      </w:r>
      <w:r w:rsidRPr="00EA49C6">
        <w:t xml:space="preserve">] et le </w:t>
      </w:r>
      <w:r w:rsidRPr="00CD4A68">
        <w:t>31</w:t>
      </w:r>
      <w:r w:rsidRPr="00EA49C6">
        <w:t xml:space="preserve"> décembre [</w:t>
      </w:r>
      <w:r w:rsidRPr="00EA49C6">
        <w:rPr>
          <w:i/>
        </w:rPr>
        <w:t xml:space="preserve">année de transposition de la présente directive + </w:t>
      </w:r>
      <w:r w:rsidRPr="00CD4A68">
        <w:rPr>
          <w:i/>
        </w:rPr>
        <w:t>1</w:t>
      </w:r>
      <w:r w:rsidRPr="00EA49C6">
        <w:rPr>
          <w:i/>
        </w:rPr>
        <w:t xml:space="preserve"> an</w:t>
      </w:r>
      <w:r w:rsidRPr="00EA49C6">
        <w:t>].</w:t>
      </w:r>
    </w:p>
    <w:p w:rsidR="002428B2" w:rsidRPr="00EA49C6" w:rsidRDefault="002428B2">
      <w:pPr>
        <w:pStyle w:val="Text1"/>
        <w:rPr>
          <w:noProof/>
        </w:rPr>
      </w:pPr>
      <w:r w:rsidRPr="00EA49C6">
        <w:lastRenderedPageBreak/>
        <w:t>b) Les données communiquées par les États membres conformément au présent article sont accompagnées d’un rapport de contrôle de la qualité.</w:t>
      </w:r>
    </w:p>
    <w:p w:rsidR="002428B2" w:rsidRPr="00EA49C6" w:rsidRDefault="002428B2">
      <w:pPr>
        <w:pStyle w:val="Text1"/>
        <w:rPr>
          <w:noProof/>
        </w:rPr>
      </w:pPr>
      <w:r w:rsidRPr="00EA49C6">
        <w:t>c) La Commission examine les données communiquées en application du présent article et publie un rapport sur les résultats de cet examen. Ce rapport évalue l’organisation de la collecte des données, les sources des données et la méthode utilisée dans les États membres, ainsi que l’exhaustivité, la fiabilité, l’actualité et la cohérence des données. L’évaluation peut comprendre des recommandations d’amélioration spécifiques. Le rapport est établi tous les trois ans.</w:t>
      </w:r>
    </w:p>
    <w:p w:rsidR="002428B2" w:rsidRPr="00EA49C6" w:rsidRDefault="002428B2">
      <w:pPr>
        <w:pStyle w:val="Text1"/>
        <w:rPr>
          <w:noProof/>
          <w:szCs w:val="24"/>
        </w:rPr>
      </w:pPr>
      <w:r w:rsidRPr="00EA49C6">
        <w:t xml:space="preserve">d) La Commission adopte des actes d’exécution établissant le format pour la transmission des données en application du paragraphe </w:t>
      </w:r>
      <w:r w:rsidRPr="00CD4A68">
        <w:t>1</w:t>
      </w:r>
      <w:r w:rsidRPr="00EA49C6">
        <w:t>, point a). Ces actes d’exécution sont adoptés conformément à la procédure visée à l’article </w:t>
      </w:r>
      <w:r w:rsidRPr="00CD4A68">
        <w:t>11</w:t>
      </w:r>
      <w:r w:rsidRPr="00EA49C6">
        <w:t>, paragraphe </w:t>
      </w:r>
      <w:r w:rsidRPr="00CD4A68">
        <w:t>2</w:t>
      </w:r>
      <w:r w:rsidRPr="00EA49C6">
        <w:t>.».</w:t>
      </w:r>
    </w:p>
    <w:p w:rsidR="002428B2" w:rsidRPr="00EA49C6" w:rsidRDefault="002428B2">
      <w:pPr>
        <w:pStyle w:val="Titrearticle"/>
        <w:spacing w:before="120"/>
        <w:rPr>
          <w:noProof/>
        </w:rPr>
      </w:pPr>
      <w:r w:rsidRPr="00EA49C6">
        <w:t xml:space="preserve">Article </w:t>
      </w:r>
      <w:r w:rsidRPr="00CD4A68">
        <w:t>2</w:t>
      </w:r>
    </w:p>
    <w:p w:rsidR="002428B2" w:rsidRPr="00EA49C6" w:rsidRDefault="002428B2">
      <w:pPr>
        <w:pStyle w:val="NormalCentered"/>
        <w:rPr>
          <w:b/>
          <w:noProof/>
        </w:rPr>
      </w:pPr>
      <w:r w:rsidRPr="00EA49C6">
        <w:rPr>
          <w:b/>
          <w:noProof/>
        </w:rPr>
        <w:t xml:space="preserve">Modification de la directive </w:t>
      </w:r>
      <w:r w:rsidRPr="00CD4A68">
        <w:rPr>
          <w:b/>
          <w:noProof/>
        </w:rPr>
        <w:t>2006</w:t>
      </w:r>
      <w:r w:rsidRPr="00EA49C6">
        <w:rPr>
          <w:b/>
          <w:noProof/>
        </w:rPr>
        <w:t>/</w:t>
      </w:r>
      <w:r w:rsidRPr="00CD4A68">
        <w:rPr>
          <w:b/>
          <w:noProof/>
        </w:rPr>
        <w:t>66</w:t>
      </w:r>
      <w:r w:rsidRPr="00EA49C6">
        <w:rPr>
          <w:b/>
          <w:noProof/>
        </w:rPr>
        <w:t>/CE</w:t>
      </w:r>
    </w:p>
    <w:p w:rsidR="002428B2" w:rsidRPr="00EA49C6" w:rsidRDefault="002428B2">
      <w:pPr>
        <w:rPr>
          <w:noProof/>
        </w:rPr>
      </w:pPr>
      <w:r w:rsidRPr="00EA49C6">
        <w:t xml:space="preserve">La directive </w:t>
      </w:r>
      <w:r w:rsidRPr="00CD4A68">
        <w:t>2006</w:t>
      </w:r>
      <w:r w:rsidRPr="00EA49C6">
        <w:t>/</w:t>
      </w:r>
      <w:r w:rsidRPr="00CD4A68">
        <w:t>66</w:t>
      </w:r>
      <w:r w:rsidRPr="00EA49C6">
        <w:t>/CE est modifiée comme suit:</w:t>
      </w:r>
    </w:p>
    <w:p w:rsidR="002428B2" w:rsidRPr="00EA49C6" w:rsidRDefault="002428B2">
      <w:pPr>
        <w:pStyle w:val="ManualNumPar1"/>
        <w:ind w:left="360" w:hanging="360"/>
        <w:rPr>
          <w:rFonts w:cs="Calibri"/>
          <w:noProof/>
        </w:rPr>
      </w:pPr>
      <w:r w:rsidRPr="00CD4A68">
        <w:t>1</w:t>
      </w:r>
      <w:r w:rsidRPr="00EA49C6">
        <w:t xml:space="preserve">) l’article </w:t>
      </w:r>
      <w:r w:rsidRPr="00CD4A68">
        <w:t>22</w:t>
      </w:r>
      <w:r w:rsidRPr="00EA49C6">
        <w:t xml:space="preserve"> est supprimé;</w:t>
      </w:r>
    </w:p>
    <w:p w:rsidR="002428B2" w:rsidRPr="00EA49C6" w:rsidRDefault="002428B2">
      <w:pPr>
        <w:pStyle w:val="ManualNumPar1"/>
        <w:ind w:left="360" w:hanging="360"/>
        <w:rPr>
          <w:rFonts w:cs="Calibri"/>
          <w:noProof/>
        </w:rPr>
      </w:pPr>
      <w:r w:rsidRPr="00CD4A68">
        <w:t>2</w:t>
      </w:r>
      <w:r w:rsidRPr="00EA49C6">
        <w:t xml:space="preserve">) l’article </w:t>
      </w:r>
      <w:r w:rsidRPr="00CD4A68">
        <w:t>23</w:t>
      </w:r>
      <w:r w:rsidRPr="00EA49C6">
        <w:t xml:space="preserve"> est modifié comme suit:</w:t>
      </w:r>
    </w:p>
    <w:p w:rsidR="002428B2" w:rsidRPr="00EA49C6" w:rsidRDefault="002428B2">
      <w:pPr>
        <w:pStyle w:val="ManualNumPar2"/>
        <w:rPr>
          <w:noProof/>
        </w:rPr>
      </w:pPr>
      <w:r w:rsidRPr="00EA49C6">
        <w:t xml:space="preserve">a) le paragraphe </w:t>
      </w:r>
      <w:r w:rsidRPr="00CD4A68">
        <w:t>1</w:t>
      </w:r>
      <w:r w:rsidRPr="00EA49C6">
        <w:t xml:space="preserve"> est remplacé par le texte suivant:</w:t>
      </w:r>
    </w:p>
    <w:p w:rsidR="002428B2" w:rsidRPr="00EA49C6" w:rsidRDefault="002428B2">
      <w:pPr>
        <w:pStyle w:val="Text1"/>
        <w:rPr>
          <w:noProof/>
          <w:szCs w:val="24"/>
        </w:rPr>
      </w:pPr>
      <w:r w:rsidRPr="00EA49C6">
        <w:t xml:space="preserve">«La Commission établit un rapport concernant la mise en œuvre de la présente directive et son incidence sur l’environnement et sur le fonctionnement du marché intérieur au plus tard pour la fin de l’année </w:t>
      </w:r>
      <w:r w:rsidRPr="00CD4A68">
        <w:t>2016</w:t>
      </w:r>
      <w:r w:rsidRPr="00EA49C6">
        <w:t>.»;</w:t>
      </w:r>
    </w:p>
    <w:p w:rsidR="002428B2" w:rsidRPr="00EA49C6" w:rsidRDefault="002428B2">
      <w:pPr>
        <w:pStyle w:val="ManualNumPar2"/>
        <w:rPr>
          <w:noProof/>
        </w:rPr>
      </w:pPr>
      <w:r w:rsidRPr="00EA49C6">
        <w:t xml:space="preserve">b) au paragraphe </w:t>
      </w:r>
      <w:r w:rsidRPr="00CD4A68">
        <w:t>2</w:t>
      </w:r>
      <w:r w:rsidRPr="00EA49C6">
        <w:t>, la phrase introductive est remplacée par le texte suivant:</w:t>
      </w:r>
    </w:p>
    <w:p w:rsidR="002428B2" w:rsidRPr="00EA49C6" w:rsidRDefault="002428B2">
      <w:pPr>
        <w:pStyle w:val="Text1"/>
        <w:rPr>
          <w:noProof/>
          <w:szCs w:val="24"/>
        </w:rPr>
      </w:pPr>
      <w:r w:rsidRPr="00EA49C6">
        <w:t>«Dans son rapport, la Commission inclut une évaluation des aspects suivants de la présente directive:».</w:t>
      </w:r>
    </w:p>
    <w:p w:rsidR="002428B2" w:rsidRPr="00EA49C6" w:rsidRDefault="002428B2">
      <w:pPr>
        <w:pStyle w:val="Titrearticle"/>
        <w:spacing w:before="120"/>
        <w:rPr>
          <w:noProof/>
        </w:rPr>
      </w:pPr>
      <w:r w:rsidRPr="00EA49C6">
        <w:t xml:space="preserve">Article </w:t>
      </w:r>
      <w:r w:rsidRPr="00CD4A68">
        <w:t>3</w:t>
      </w:r>
    </w:p>
    <w:p w:rsidR="002428B2" w:rsidRPr="00EA49C6" w:rsidRDefault="002428B2">
      <w:pPr>
        <w:pStyle w:val="NormalCentered"/>
        <w:rPr>
          <w:b/>
          <w:noProof/>
        </w:rPr>
      </w:pPr>
      <w:r w:rsidRPr="00EA49C6">
        <w:rPr>
          <w:b/>
          <w:noProof/>
        </w:rPr>
        <w:t xml:space="preserve">Modification de la directive </w:t>
      </w:r>
      <w:r w:rsidRPr="00CD4A68">
        <w:rPr>
          <w:b/>
          <w:noProof/>
        </w:rPr>
        <w:t>2012</w:t>
      </w:r>
      <w:r w:rsidRPr="00EA49C6">
        <w:rPr>
          <w:b/>
          <w:noProof/>
        </w:rPr>
        <w:t>/</w:t>
      </w:r>
      <w:r w:rsidRPr="00CD4A68">
        <w:rPr>
          <w:b/>
          <w:noProof/>
        </w:rPr>
        <w:t>19</w:t>
      </w:r>
      <w:r w:rsidRPr="00EA49C6">
        <w:rPr>
          <w:b/>
          <w:noProof/>
        </w:rPr>
        <w:t>/UE</w:t>
      </w:r>
    </w:p>
    <w:p w:rsidR="002428B2" w:rsidRPr="00EA49C6" w:rsidRDefault="002428B2">
      <w:pPr>
        <w:rPr>
          <w:noProof/>
        </w:rPr>
      </w:pPr>
      <w:r w:rsidRPr="00EA49C6">
        <w:t xml:space="preserve">La directive </w:t>
      </w:r>
      <w:r w:rsidRPr="00CD4A68">
        <w:t>2012</w:t>
      </w:r>
      <w:r w:rsidRPr="00EA49C6">
        <w:t>/</w:t>
      </w:r>
      <w:r w:rsidRPr="00CD4A68">
        <w:t>19</w:t>
      </w:r>
      <w:r w:rsidRPr="00EA49C6">
        <w:t>/UE est modifiée comme suit:</w:t>
      </w:r>
    </w:p>
    <w:p w:rsidR="002428B2" w:rsidRPr="00EA49C6" w:rsidRDefault="002428B2">
      <w:pPr>
        <w:pStyle w:val="ManualNumPar1"/>
        <w:ind w:left="360" w:hanging="360"/>
        <w:rPr>
          <w:noProof/>
        </w:rPr>
      </w:pPr>
      <w:r w:rsidRPr="00CD4A68">
        <w:t>1</w:t>
      </w:r>
      <w:r w:rsidRPr="00EA49C6">
        <w:t xml:space="preserve">) l’article </w:t>
      </w:r>
      <w:r w:rsidRPr="00CD4A68">
        <w:t>16</w:t>
      </w:r>
      <w:r w:rsidRPr="00EA49C6">
        <w:t xml:space="preserve"> est modifié comme suit:</w:t>
      </w:r>
    </w:p>
    <w:p w:rsidR="002428B2" w:rsidRPr="00EA49C6" w:rsidRDefault="002428B2">
      <w:pPr>
        <w:pStyle w:val="ManualNumPar2"/>
        <w:rPr>
          <w:noProof/>
        </w:rPr>
      </w:pPr>
      <w:r w:rsidRPr="00EA49C6">
        <w:t xml:space="preserve">a) le paragraphe </w:t>
      </w:r>
      <w:r w:rsidRPr="00CD4A68">
        <w:t>5</w:t>
      </w:r>
      <w:r w:rsidRPr="00EA49C6">
        <w:t xml:space="preserve"> est supprimé;</w:t>
      </w:r>
    </w:p>
    <w:p w:rsidR="002428B2" w:rsidRPr="00EA49C6" w:rsidRDefault="002428B2">
      <w:pPr>
        <w:pStyle w:val="ManualNumPar2"/>
        <w:rPr>
          <w:rFonts w:cs="Calibri"/>
          <w:noProof/>
        </w:rPr>
      </w:pPr>
      <w:r w:rsidRPr="00EA49C6">
        <w:t xml:space="preserve">b) le paragraphe </w:t>
      </w:r>
      <w:r w:rsidRPr="00CD4A68">
        <w:t>5</w:t>
      </w:r>
      <w:r w:rsidRPr="00EA49C6">
        <w:t>, points a), b), c) et d), suivant est inséré:</w:t>
      </w:r>
    </w:p>
    <w:p w:rsidR="002428B2" w:rsidRPr="00EA49C6" w:rsidRDefault="002428B2">
      <w:pPr>
        <w:pStyle w:val="Text1"/>
        <w:rPr>
          <w:noProof/>
        </w:rPr>
      </w:pPr>
      <w:r w:rsidRPr="00EA49C6">
        <w:t>«</w:t>
      </w:r>
      <w:r w:rsidRPr="00CD4A68">
        <w:t>5</w:t>
      </w:r>
      <w:r w:rsidRPr="00EA49C6">
        <w:t xml:space="preserve">. a) Les États membres communiquent à la Commission les données relatives à la mise en œuvre de l’article </w:t>
      </w:r>
      <w:r w:rsidRPr="00CD4A68">
        <w:t>16</w:t>
      </w:r>
      <w:r w:rsidRPr="00EA49C6">
        <w:t xml:space="preserve">, paragraphe </w:t>
      </w:r>
      <w:r w:rsidRPr="00CD4A68">
        <w:t>4</w:t>
      </w:r>
      <w:r w:rsidRPr="00EA49C6">
        <w:t xml:space="preserve">, pour chaque année civile. Ils transmettent ces informations par voie électronique dans les </w:t>
      </w:r>
      <w:r w:rsidRPr="00CD4A68">
        <w:t>18</w:t>
      </w:r>
      <w:r w:rsidRPr="00EA49C6">
        <w:t xml:space="preserve"> mois suivant la fin de l’année pour laquelle les données sont collectées. Les données sont transmises dans le format établi par la Commission conformément au paragraphe </w:t>
      </w:r>
      <w:r w:rsidRPr="00CD4A68">
        <w:t>5</w:t>
      </w:r>
      <w:r w:rsidRPr="00EA49C6">
        <w:t xml:space="preserve">, point d). Le premier rapport couvre la période comprise entre le </w:t>
      </w:r>
      <w:r w:rsidRPr="00CD4A68">
        <w:t>1</w:t>
      </w:r>
      <w:r w:rsidRPr="00EA49C6">
        <w:rPr>
          <w:vertAlign w:val="superscript"/>
        </w:rPr>
        <w:t>er</w:t>
      </w:r>
      <w:r w:rsidRPr="00EA49C6">
        <w:t xml:space="preserve"> janvier [</w:t>
      </w:r>
      <w:r w:rsidRPr="00EA49C6">
        <w:rPr>
          <w:i/>
        </w:rPr>
        <w:t xml:space="preserve">année de transposition de la présente directive + </w:t>
      </w:r>
      <w:r w:rsidRPr="00CD4A68">
        <w:rPr>
          <w:i/>
        </w:rPr>
        <w:t>1</w:t>
      </w:r>
      <w:r w:rsidRPr="00EA49C6">
        <w:rPr>
          <w:i/>
        </w:rPr>
        <w:t xml:space="preserve"> an</w:t>
      </w:r>
      <w:r w:rsidRPr="00EA49C6">
        <w:t xml:space="preserve">] et le </w:t>
      </w:r>
      <w:r w:rsidRPr="00CD4A68">
        <w:t>31</w:t>
      </w:r>
      <w:r w:rsidRPr="00EA49C6">
        <w:t xml:space="preserve"> décembre [</w:t>
      </w:r>
      <w:r w:rsidRPr="00EA49C6">
        <w:rPr>
          <w:i/>
        </w:rPr>
        <w:t xml:space="preserve">année de transposition de la présente directive + </w:t>
      </w:r>
      <w:r w:rsidRPr="00CD4A68">
        <w:rPr>
          <w:i/>
        </w:rPr>
        <w:t>1</w:t>
      </w:r>
      <w:r w:rsidRPr="00EA49C6">
        <w:rPr>
          <w:i/>
        </w:rPr>
        <w:t xml:space="preserve"> an</w:t>
      </w:r>
      <w:r w:rsidRPr="00EA49C6">
        <w:t>].</w:t>
      </w:r>
    </w:p>
    <w:p w:rsidR="002428B2" w:rsidRPr="00EA49C6" w:rsidRDefault="002428B2">
      <w:pPr>
        <w:pStyle w:val="Text1"/>
        <w:rPr>
          <w:noProof/>
          <w:szCs w:val="24"/>
        </w:rPr>
      </w:pPr>
      <w:r w:rsidRPr="00EA49C6">
        <w:t>b) Les données communiquées par les États membres conformément au présent article sont accompagnées d’un rapport de contrôle de la qualité.</w:t>
      </w:r>
    </w:p>
    <w:p w:rsidR="002428B2" w:rsidRPr="00EA49C6" w:rsidRDefault="002428B2">
      <w:pPr>
        <w:pStyle w:val="Text1"/>
        <w:rPr>
          <w:noProof/>
          <w:szCs w:val="24"/>
        </w:rPr>
      </w:pPr>
      <w:r w:rsidRPr="00EA49C6">
        <w:t xml:space="preserve">c) La Commission examine les données communiquées en application du présent article et publie un rapport sur les résultats de cet examen. Ce rapport évalue </w:t>
      </w:r>
      <w:r w:rsidRPr="00EA49C6">
        <w:lastRenderedPageBreak/>
        <w:t>l’organisation de la collecte des données, les sources des données et la méthode utilisée dans les États membres, ainsi que l’exhaustivité, la fiabilité, l’actualité et la cohérence des données. L’évaluation peut comprendre des recommandations d’amélioration spécifiques. Le rapport est établi tous les trois ans.</w:t>
      </w:r>
    </w:p>
    <w:p w:rsidR="002428B2" w:rsidRPr="00EA49C6" w:rsidRDefault="002428B2">
      <w:pPr>
        <w:pStyle w:val="Text1"/>
        <w:rPr>
          <w:noProof/>
        </w:rPr>
      </w:pPr>
      <w:r w:rsidRPr="00EA49C6">
        <w:t xml:space="preserve">d) La Commission adopte des actes d’exécution établissant le format pour la transmission des données en application du paragraphe </w:t>
      </w:r>
      <w:r w:rsidRPr="00CD4A68">
        <w:t>5</w:t>
      </w:r>
      <w:r w:rsidRPr="00EA49C6">
        <w:t xml:space="preserve">, point a). Ces actes d’exécution sont adoptés conformément à la procédure visée à l’article </w:t>
      </w:r>
      <w:r w:rsidRPr="00CD4A68">
        <w:t>21</w:t>
      </w:r>
      <w:r w:rsidRPr="00EA49C6">
        <w:t xml:space="preserve">, paragraphe </w:t>
      </w:r>
      <w:r w:rsidRPr="00CD4A68">
        <w:t>2</w:t>
      </w:r>
      <w:r w:rsidRPr="00EA49C6">
        <w:t>.»;</w:t>
      </w:r>
    </w:p>
    <w:p w:rsidR="002428B2" w:rsidRPr="00EA49C6" w:rsidRDefault="002428B2">
      <w:pPr>
        <w:pStyle w:val="ManualNumPar1"/>
        <w:ind w:left="360" w:hanging="360"/>
        <w:rPr>
          <w:rFonts w:cs="Calibri"/>
          <w:noProof/>
        </w:rPr>
      </w:pPr>
      <w:r w:rsidRPr="00EA49C6">
        <w:t xml:space="preserve"> </w:t>
      </w:r>
      <w:r w:rsidRPr="00CD4A68">
        <w:t>2</w:t>
      </w:r>
      <w:r w:rsidRPr="00EA49C6">
        <w:t xml:space="preserve">) l’article </w:t>
      </w:r>
      <w:r w:rsidRPr="00CD4A68">
        <w:t>21</w:t>
      </w:r>
      <w:r w:rsidRPr="00EA49C6">
        <w:t xml:space="preserve"> est remplacé par le texte suivant:</w:t>
      </w:r>
    </w:p>
    <w:p w:rsidR="002428B2" w:rsidRPr="00EA49C6" w:rsidRDefault="002428B2">
      <w:pPr>
        <w:pStyle w:val="Text1"/>
        <w:rPr>
          <w:i/>
          <w:noProof/>
          <w:szCs w:val="24"/>
        </w:rPr>
      </w:pPr>
      <w:r w:rsidRPr="00EA49C6">
        <w:t>«</w:t>
      </w:r>
      <w:r w:rsidRPr="00EA49C6">
        <w:rPr>
          <w:i/>
          <w:noProof/>
        </w:rPr>
        <w:t xml:space="preserve">Article </w:t>
      </w:r>
      <w:r w:rsidRPr="00CD4A68">
        <w:rPr>
          <w:i/>
          <w:noProof/>
        </w:rPr>
        <w:t>21</w:t>
      </w:r>
    </w:p>
    <w:p w:rsidR="002428B2" w:rsidRPr="00EA49C6" w:rsidRDefault="002428B2">
      <w:pPr>
        <w:pStyle w:val="Text1"/>
        <w:rPr>
          <w:b/>
          <w:noProof/>
          <w:szCs w:val="24"/>
        </w:rPr>
      </w:pPr>
      <w:r w:rsidRPr="00EA49C6">
        <w:rPr>
          <w:b/>
          <w:noProof/>
        </w:rPr>
        <w:t>Procédure de comité</w:t>
      </w:r>
    </w:p>
    <w:p w:rsidR="002428B2" w:rsidRPr="00EA49C6" w:rsidRDefault="002428B2">
      <w:pPr>
        <w:pStyle w:val="Text1"/>
        <w:rPr>
          <w:noProof/>
          <w:szCs w:val="24"/>
        </w:rPr>
      </w:pPr>
      <w:r w:rsidRPr="00CD4A68">
        <w:t>1</w:t>
      </w:r>
      <w:r w:rsidRPr="00EA49C6">
        <w:t xml:space="preserve">. La Commission est assistée par le comité institué par l’article </w:t>
      </w:r>
      <w:r w:rsidRPr="00CD4A68">
        <w:t>39</w:t>
      </w:r>
      <w:r w:rsidRPr="00EA49C6">
        <w:t xml:space="preserve"> de la directive </w:t>
      </w:r>
      <w:r w:rsidRPr="00CD4A68">
        <w:t>2008</w:t>
      </w:r>
      <w:r w:rsidRPr="00EA49C6">
        <w:t>/</w:t>
      </w:r>
      <w:r w:rsidRPr="00CD4A68">
        <w:t>98</w:t>
      </w:r>
      <w:r w:rsidRPr="00EA49C6">
        <w:t>/CE. Ledit comité est un comité au sens du règlement (UE) nº </w:t>
      </w:r>
      <w:r w:rsidRPr="00CD4A68">
        <w:t>182</w:t>
      </w:r>
      <w:r w:rsidRPr="00EA49C6">
        <w:t>/</w:t>
      </w:r>
      <w:r w:rsidRPr="00CD4A68">
        <w:t>2011</w:t>
      </w:r>
      <w:r w:rsidRPr="00EA49C6">
        <w:t xml:space="preserve">(*). </w:t>
      </w:r>
    </w:p>
    <w:p w:rsidR="002428B2" w:rsidRPr="00EA49C6" w:rsidRDefault="002428B2">
      <w:pPr>
        <w:pStyle w:val="Text1"/>
        <w:rPr>
          <w:noProof/>
          <w:szCs w:val="24"/>
        </w:rPr>
      </w:pPr>
      <w:r w:rsidRPr="00CD4A68">
        <w:t>2</w:t>
      </w:r>
      <w:r w:rsidRPr="00EA49C6">
        <w:t xml:space="preserve">. Lorsqu’il est fait référence au présent paragraphe, l’article </w:t>
      </w:r>
      <w:r w:rsidRPr="00CD4A68">
        <w:t>5</w:t>
      </w:r>
      <w:r w:rsidRPr="00EA49C6">
        <w:t xml:space="preserve"> du règlement (UE) nº </w:t>
      </w:r>
      <w:r w:rsidRPr="00CD4A68">
        <w:t>182</w:t>
      </w:r>
      <w:r w:rsidRPr="00EA49C6">
        <w:t>/</w:t>
      </w:r>
      <w:r w:rsidRPr="00CD4A68">
        <w:t>2011</w:t>
      </w:r>
      <w:r w:rsidRPr="00EA49C6">
        <w:t xml:space="preserve"> s’applique.</w:t>
      </w:r>
    </w:p>
    <w:p w:rsidR="002428B2" w:rsidRPr="00EA49C6" w:rsidRDefault="002428B2">
      <w:pPr>
        <w:pStyle w:val="Text1"/>
        <w:rPr>
          <w:noProof/>
          <w:szCs w:val="24"/>
        </w:rPr>
      </w:pPr>
      <w:r w:rsidRPr="00CD4A68">
        <w:t>3</w:t>
      </w:r>
      <w:r w:rsidRPr="00EA49C6">
        <w:t xml:space="preserve">. Lorsque le comité n’émet aucun avis, la Commission n’adopte pas le projet d’acte d’exécution et l’article </w:t>
      </w:r>
      <w:r w:rsidRPr="00CD4A68">
        <w:t>5</w:t>
      </w:r>
      <w:r w:rsidRPr="00EA49C6">
        <w:t xml:space="preserve">, paragraphe </w:t>
      </w:r>
      <w:r w:rsidRPr="00CD4A68">
        <w:t>4</w:t>
      </w:r>
      <w:r w:rsidRPr="00EA49C6">
        <w:t>, troisième alinéa, du règlement (UE) nº </w:t>
      </w:r>
      <w:r w:rsidRPr="00CD4A68">
        <w:t>182</w:t>
      </w:r>
      <w:r w:rsidRPr="00EA49C6">
        <w:t>/</w:t>
      </w:r>
      <w:r w:rsidRPr="00CD4A68">
        <w:t>2011</w:t>
      </w:r>
      <w:r w:rsidRPr="00EA49C6">
        <w:t xml:space="preserve"> s’applique.</w:t>
      </w:r>
    </w:p>
    <w:p w:rsidR="002428B2" w:rsidRPr="00EA49C6" w:rsidRDefault="002428B2">
      <w:pPr>
        <w:pStyle w:val="Text1"/>
        <w:pBdr>
          <w:bottom w:val="single" w:sz="6" w:space="1" w:color="auto"/>
        </w:pBdr>
        <w:rPr>
          <w:noProof/>
          <w:szCs w:val="24"/>
        </w:rPr>
      </w:pPr>
    </w:p>
    <w:p w:rsidR="002428B2" w:rsidRPr="00EA49C6" w:rsidRDefault="002428B2">
      <w:pPr>
        <w:pStyle w:val="Text1"/>
        <w:rPr>
          <w:noProof/>
          <w:szCs w:val="24"/>
        </w:rPr>
      </w:pPr>
      <w:r w:rsidRPr="00EA49C6">
        <w:t>(*)</w:t>
      </w:r>
      <w:r w:rsidRPr="00EA49C6">
        <w:tab/>
        <w:t>Règlement (UE) nº </w:t>
      </w:r>
      <w:r w:rsidRPr="00CD4A68">
        <w:t>182</w:t>
      </w:r>
      <w:r w:rsidRPr="00EA49C6">
        <w:t>/</w:t>
      </w:r>
      <w:r w:rsidRPr="00CD4A68">
        <w:t>2011</w:t>
      </w:r>
      <w:r w:rsidRPr="00EA49C6">
        <w:t xml:space="preserve"> du Parlement européen et du Conseil du </w:t>
      </w:r>
      <w:r w:rsidRPr="00CD4A68">
        <w:t>16</w:t>
      </w:r>
      <w:r w:rsidRPr="00EA49C6">
        <w:t xml:space="preserve"> février </w:t>
      </w:r>
      <w:r w:rsidRPr="00CD4A68">
        <w:t>2011</w:t>
      </w:r>
      <w:r w:rsidRPr="00EA49C6">
        <w:t xml:space="preserve"> établissant les règles et principes généraux relatifs aux modalités de contrôle par les États membres de l’exercice des compétences d’exécution par la Commission (JO L </w:t>
      </w:r>
      <w:r w:rsidRPr="00CD4A68">
        <w:t>55</w:t>
      </w:r>
      <w:r w:rsidRPr="00EA49C6">
        <w:t xml:space="preserve"> du </w:t>
      </w:r>
      <w:r w:rsidRPr="00CD4A68">
        <w:t>28</w:t>
      </w:r>
      <w:r w:rsidRPr="00EA49C6">
        <w:t>.</w:t>
      </w:r>
      <w:r w:rsidRPr="00CD4A68">
        <w:t>2</w:t>
      </w:r>
      <w:r w:rsidRPr="00EA49C6">
        <w:t>.</w:t>
      </w:r>
      <w:r w:rsidRPr="00CD4A68">
        <w:t>2011</w:t>
      </w:r>
      <w:r w:rsidRPr="00EA49C6">
        <w:t>, p. </w:t>
      </w:r>
      <w:r w:rsidRPr="00CD4A68">
        <w:t>13</w:t>
      </w:r>
      <w:r w:rsidRPr="00EA49C6">
        <w:t>).».</w:t>
      </w:r>
    </w:p>
    <w:p w:rsidR="002428B2" w:rsidRPr="00EA49C6" w:rsidRDefault="002428B2">
      <w:pPr>
        <w:pStyle w:val="Titrearticle"/>
        <w:keepLines/>
        <w:spacing w:before="120"/>
        <w:rPr>
          <w:noProof/>
        </w:rPr>
      </w:pPr>
      <w:r w:rsidRPr="00EA49C6">
        <w:t xml:space="preserve">Article </w:t>
      </w:r>
      <w:r w:rsidRPr="00CD4A68">
        <w:t>4</w:t>
      </w:r>
    </w:p>
    <w:p w:rsidR="002428B2" w:rsidRPr="00EA49C6" w:rsidRDefault="002428B2">
      <w:pPr>
        <w:jc w:val="center"/>
        <w:rPr>
          <w:b/>
          <w:noProof/>
        </w:rPr>
      </w:pPr>
      <w:r w:rsidRPr="00EA49C6">
        <w:rPr>
          <w:b/>
          <w:noProof/>
        </w:rPr>
        <w:t>Transposition</w:t>
      </w:r>
    </w:p>
    <w:p w:rsidR="002428B2" w:rsidRPr="00EA49C6" w:rsidRDefault="002428B2">
      <w:pPr>
        <w:pStyle w:val="ManualNumPar1"/>
        <w:rPr>
          <w:noProof/>
          <w:szCs w:val="24"/>
        </w:rPr>
      </w:pPr>
      <w:r w:rsidRPr="00CD4A68">
        <w:t>1</w:t>
      </w:r>
      <w:r w:rsidRPr="00EA49C6">
        <w:t>.</w:t>
      </w:r>
      <w:r w:rsidRPr="00EA49C6">
        <w:tab/>
        <w:t>Les États membres mettent en vigueur les dispositions législatives, réglementaires et administratives nécessaires pour se conformer à la présente directive au plus tard le [</w:t>
      </w:r>
      <w:r w:rsidRPr="00EA49C6">
        <w:rPr>
          <w:i/>
        </w:rPr>
        <w:t xml:space="preserve">indiquer la date correspondant à </w:t>
      </w:r>
      <w:r w:rsidRPr="00CD4A68">
        <w:rPr>
          <w:i/>
        </w:rPr>
        <w:t>18</w:t>
      </w:r>
      <w:r w:rsidRPr="00EA49C6">
        <w:rPr>
          <w:i/>
        </w:rPr>
        <w:t xml:space="preserve"> mois après l’entrée en vigueur de la présente directive</w:t>
      </w:r>
      <w:r w:rsidRPr="00EA49C6">
        <w:t>]. Ils communiquent immédiatement à la Commission le texte de ces dispositions.</w:t>
      </w:r>
    </w:p>
    <w:p w:rsidR="002428B2" w:rsidRPr="00EA49C6" w:rsidRDefault="002428B2">
      <w:pPr>
        <w:pStyle w:val="Text1"/>
        <w:rPr>
          <w:noProof/>
          <w:szCs w:val="24"/>
        </w:rPr>
      </w:pPr>
      <w:r w:rsidRPr="00EA49C6">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2428B2" w:rsidRPr="00EA49C6" w:rsidRDefault="002428B2">
      <w:pPr>
        <w:pStyle w:val="ManualNumPar1"/>
        <w:rPr>
          <w:noProof/>
          <w:szCs w:val="24"/>
        </w:rPr>
      </w:pPr>
      <w:r w:rsidRPr="00CD4A68">
        <w:t>2</w:t>
      </w:r>
      <w:r w:rsidRPr="00EA49C6">
        <w:t>.</w:t>
      </w:r>
      <w:r w:rsidRPr="00EA49C6">
        <w:tab/>
        <w:t>Les États membres communiquent à la Commission le texte des dispositions essentielles de droit interne qu’ils adoptent dans le domaine couvert par la présente directive.</w:t>
      </w:r>
    </w:p>
    <w:p w:rsidR="002428B2" w:rsidRPr="00EA49C6" w:rsidRDefault="002428B2">
      <w:pPr>
        <w:pStyle w:val="Titrearticle"/>
        <w:spacing w:before="120"/>
        <w:rPr>
          <w:noProof/>
        </w:rPr>
      </w:pPr>
      <w:r w:rsidRPr="00EA49C6">
        <w:t xml:space="preserve">Article </w:t>
      </w:r>
      <w:r w:rsidRPr="00CD4A68">
        <w:t>5</w:t>
      </w:r>
    </w:p>
    <w:p w:rsidR="002428B2" w:rsidRPr="00EA49C6" w:rsidRDefault="002428B2">
      <w:pPr>
        <w:jc w:val="center"/>
        <w:rPr>
          <w:b/>
          <w:noProof/>
        </w:rPr>
      </w:pPr>
      <w:r w:rsidRPr="00EA49C6">
        <w:rPr>
          <w:b/>
          <w:noProof/>
        </w:rPr>
        <w:t>Entrée en vigueur</w:t>
      </w:r>
    </w:p>
    <w:p w:rsidR="002428B2" w:rsidRPr="00EA49C6" w:rsidRDefault="002428B2">
      <w:pPr>
        <w:rPr>
          <w:noProof/>
        </w:rPr>
      </w:pPr>
      <w:r w:rsidRPr="00EA49C6">
        <w:t xml:space="preserve">La présente directive entre en vigueur le vingtième jour suivant celui de sa publication au </w:t>
      </w:r>
      <w:r w:rsidRPr="00EA49C6">
        <w:rPr>
          <w:i/>
        </w:rPr>
        <w:t>Journal officiel de l’Union européenne</w:t>
      </w:r>
      <w:r w:rsidRPr="00EA49C6">
        <w:t>.</w:t>
      </w:r>
    </w:p>
    <w:p w:rsidR="002428B2" w:rsidRPr="00EA49C6" w:rsidRDefault="002428B2">
      <w:pPr>
        <w:pStyle w:val="Titrearticle"/>
        <w:spacing w:before="120"/>
        <w:rPr>
          <w:noProof/>
        </w:rPr>
      </w:pPr>
      <w:r w:rsidRPr="00EA49C6">
        <w:lastRenderedPageBreak/>
        <w:t xml:space="preserve">Article </w:t>
      </w:r>
      <w:r w:rsidRPr="00CD4A68">
        <w:t>6</w:t>
      </w:r>
    </w:p>
    <w:p w:rsidR="002428B2" w:rsidRPr="00EA49C6" w:rsidRDefault="002428B2">
      <w:pPr>
        <w:jc w:val="center"/>
        <w:rPr>
          <w:b/>
          <w:noProof/>
        </w:rPr>
      </w:pPr>
      <w:r w:rsidRPr="00EA49C6">
        <w:rPr>
          <w:b/>
          <w:noProof/>
        </w:rPr>
        <w:t>Destinataires</w:t>
      </w:r>
    </w:p>
    <w:p w:rsidR="002428B2" w:rsidRPr="00EA49C6" w:rsidRDefault="002428B2">
      <w:pPr>
        <w:keepNext/>
        <w:keepLines/>
        <w:rPr>
          <w:noProof/>
        </w:rPr>
      </w:pPr>
      <w:r w:rsidRPr="00EA49C6">
        <w:t>Les États membres sont destinataires de la présente directive.</w:t>
      </w:r>
    </w:p>
    <w:p w:rsidR="002428B2" w:rsidRPr="00EA49C6" w:rsidRDefault="00874734" w:rsidP="00874734">
      <w:pPr>
        <w:pStyle w:val="Fait"/>
        <w:rPr>
          <w:noProof/>
        </w:rPr>
      </w:pPr>
      <w:r w:rsidRPr="00874734">
        <w:t>Fait à Bruxelles, le</w:t>
      </w:r>
    </w:p>
    <w:p w:rsidR="002428B2" w:rsidRPr="00EA49C6" w:rsidRDefault="002428B2">
      <w:pPr>
        <w:pStyle w:val="Institutionquisigne"/>
        <w:spacing w:before="120" w:after="120"/>
        <w:rPr>
          <w:noProof/>
        </w:rPr>
      </w:pPr>
      <w:r w:rsidRPr="00EA49C6">
        <w:t>Par le Parlement européen</w:t>
      </w:r>
      <w:r w:rsidRPr="00EA49C6">
        <w:tab/>
        <w:t>Par le Conseil</w:t>
      </w:r>
    </w:p>
    <w:p w:rsidR="002428B2" w:rsidRPr="00874734" w:rsidRDefault="002428B2">
      <w:pPr>
        <w:pStyle w:val="Personnequisigne"/>
        <w:spacing w:before="120" w:after="120"/>
        <w:rPr>
          <w:noProof/>
        </w:rPr>
      </w:pPr>
      <w:r w:rsidRPr="00EA49C6">
        <w:t>Le président</w:t>
      </w:r>
      <w:r w:rsidRPr="00EA49C6">
        <w:tab/>
        <w:t>Le président</w:t>
      </w:r>
    </w:p>
    <w:sectPr w:rsidR="002428B2" w:rsidRPr="00874734" w:rsidSect="00874734">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0D" w:rsidRDefault="00ED650D">
      <w:pPr>
        <w:spacing w:before="0" w:after="0"/>
      </w:pPr>
      <w:r>
        <w:separator/>
      </w:r>
    </w:p>
  </w:endnote>
  <w:endnote w:type="continuationSeparator" w:id="0">
    <w:p w:rsidR="00ED650D" w:rsidRDefault="00ED650D">
      <w:pPr>
        <w:spacing w:before="0" w:after="0"/>
      </w:pPr>
      <w:r>
        <w:continuationSeparator/>
      </w:r>
    </w:p>
  </w:endnote>
  <w:endnote w:type="continuationNotice" w:id="1">
    <w:p w:rsidR="00ED650D" w:rsidRDefault="00ED65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89" w:rsidRPr="00874734" w:rsidRDefault="00874734" w:rsidP="00874734">
    <w:pPr>
      <w:pStyle w:val="Footer"/>
      <w:rPr>
        <w:rFonts w:ascii="Arial" w:hAnsi="Arial" w:cs="Arial"/>
        <w:b/>
        <w:sz w:val="48"/>
      </w:rPr>
    </w:pPr>
    <w:r w:rsidRPr="00874734">
      <w:rPr>
        <w:rFonts w:ascii="Arial" w:hAnsi="Arial" w:cs="Arial"/>
        <w:b/>
        <w:sz w:val="48"/>
      </w:rPr>
      <w:t>FR</w:t>
    </w:r>
    <w:r w:rsidRPr="00874734">
      <w:rPr>
        <w:rFonts w:ascii="Arial" w:hAnsi="Arial" w:cs="Arial"/>
        <w:b/>
        <w:sz w:val="48"/>
      </w:rPr>
      <w:tab/>
    </w:r>
    <w:r w:rsidRPr="00874734">
      <w:rPr>
        <w:rFonts w:ascii="Arial" w:hAnsi="Arial" w:cs="Arial"/>
        <w:b/>
        <w:sz w:val="48"/>
      </w:rPr>
      <w:tab/>
    </w:r>
    <w:fldSimple w:instr=" DOCVARIABLE &quot;LW_Confidence&quot; \* MERGEFORMAT ">
      <w:r>
        <w:t xml:space="preserve"> </w:t>
      </w:r>
    </w:fldSimple>
    <w:r w:rsidRPr="00874734">
      <w:tab/>
    </w:r>
    <w:r w:rsidRPr="00874734">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34" w:rsidRPr="00874734" w:rsidRDefault="00874734" w:rsidP="00874734">
    <w:pPr>
      <w:pStyle w:val="Footer"/>
      <w:rPr>
        <w:rFonts w:ascii="Arial" w:hAnsi="Arial" w:cs="Arial"/>
        <w:b/>
        <w:sz w:val="48"/>
      </w:rPr>
    </w:pPr>
    <w:r w:rsidRPr="00874734">
      <w:rPr>
        <w:rFonts w:ascii="Arial" w:hAnsi="Arial" w:cs="Arial"/>
        <w:b/>
        <w:sz w:val="48"/>
      </w:rPr>
      <w:t>FR</w:t>
    </w:r>
    <w:r w:rsidRPr="00874734">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874734">
      <w:tab/>
    </w:r>
    <w:r w:rsidRPr="0087473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34" w:rsidRPr="00874734" w:rsidRDefault="00874734" w:rsidP="00874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0D" w:rsidRDefault="00ED650D">
      <w:pPr>
        <w:spacing w:before="0" w:after="0"/>
      </w:pPr>
      <w:r>
        <w:separator/>
      </w:r>
    </w:p>
  </w:footnote>
  <w:footnote w:type="continuationSeparator" w:id="0">
    <w:p w:rsidR="00ED650D" w:rsidRDefault="00ED650D">
      <w:pPr>
        <w:spacing w:before="0" w:after="0"/>
      </w:pPr>
      <w:r>
        <w:continuationSeparator/>
      </w:r>
    </w:p>
  </w:footnote>
  <w:footnote w:type="continuationNotice" w:id="1">
    <w:p w:rsidR="00ED650D" w:rsidRDefault="00ED650D">
      <w:pPr>
        <w:spacing w:before="0" w:after="0"/>
      </w:pPr>
    </w:p>
  </w:footnote>
  <w:footnote w:id="2">
    <w:p w:rsidR="002428B2" w:rsidRDefault="002428B2">
      <w:pPr>
        <w:pStyle w:val="FootnoteText"/>
      </w:pPr>
      <w:r>
        <w:rPr>
          <w:rStyle w:val="FootnoteReference"/>
        </w:rPr>
        <w:footnoteRef/>
      </w:r>
      <w:r>
        <w:tab/>
        <w:t xml:space="preserve">Directive </w:t>
      </w:r>
      <w:r w:rsidRPr="00CD4A68">
        <w:t>2008</w:t>
      </w:r>
      <w:r>
        <w:t>/</w:t>
      </w:r>
      <w:r w:rsidRPr="00CD4A68">
        <w:t>98</w:t>
      </w:r>
      <w:r>
        <w:t xml:space="preserve">/CE du Parlement européen et du Conseil du </w:t>
      </w:r>
      <w:r w:rsidRPr="00CD4A68">
        <w:t>19</w:t>
      </w:r>
      <w:r>
        <w:t xml:space="preserve"> novembre </w:t>
      </w:r>
      <w:r w:rsidRPr="00CD4A68">
        <w:t>2008</w:t>
      </w:r>
      <w:r>
        <w:t xml:space="preserve"> relative aux déchets et abrogeant certaines directives (JO L </w:t>
      </w:r>
      <w:r w:rsidRPr="00CD4A68">
        <w:t>312</w:t>
      </w:r>
      <w:r>
        <w:t xml:space="preserve"> du </w:t>
      </w:r>
      <w:r w:rsidRPr="00CD4A68">
        <w:t>22</w:t>
      </w:r>
      <w:r>
        <w:t>.</w:t>
      </w:r>
      <w:r w:rsidRPr="00CD4A68">
        <w:t>11</w:t>
      </w:r>
      <w:r>
        <w:t>.</w:t>
      </w:r>
      <w:r w:rsidRPr="00CD4A68">
        <w:t>2008</w:t>
      </w:r>
      <w:r>
        <w:t>, p. </w:t>
      </w:r>
      <w:r w:rsidRPr="00CD4A68">
        <w:t>3</w:t>
      </w:r>
      <w:r>
        <w:t>).</w:t>
      </w:r>
    </w:p>
  </w:footnote>
  <w:footnote w:id="3">
    <w:p w:rsidR="002428B2" w:rsidRDefault="002428B2">
      <w:pPr>
        <w:pStyle w:val="FootnoteText"/>
      </w:pPr>
      <w:r>
        <w:rPr>
          <w:rStyle w:val="FootnoteReference"/>
        </w:rPr>
        <w:footnoteRef/>
      </w:r>
      <w:r>
        <w:tab/>
        <w:t xml:space="preserve">Directive </w:t>
      </w:r>
      <w:r w:rsidRPr="00CD4A68">
        <w:t>94</w:t>
      </w:r>
      <w:r>
        <w:t>/</w:t>
      </w:r>
      <w:r w:rsidRPr="00CD4A68">
        <w:t>62</w:t>
      </w:r>
      <w:r>
        <w:t xml:space="preserve">/CE du Parlement européen et du Conseil du </w:t>
      </w:r>
      <w:r w:rsidRPr="00CD4A68">
        <w:t>20</w:t>
      </w:r>
      <w:r>
        <w:t xml:space="preserve"> décembre </w:t>
      </w:r>
      <w:r w:rsidRPr="00CD4A68">
        <w:t>1994</w:t>
      </w:r>
      <w:r>
        <w:t xml:space="preserve"> relative aux emballages et aux déchets d'emballages (JO L </w:t>
      </w:r>
      <w:r w:rsidRPr="00CD4A68">
        <w:t>365</w:t>
      </w:r>
      <w:r>
        <w:t xml:space="preserve"> du </w:t>
      </w:r>
      <w:r w:rsidRPr="00CD4A68">
        <w:t>31</w:t>
      </w:r>
      <w:r>
        <w:t>.</w:t>
      </w:r>
      <w:r w:rsidRPr="00CD4A68">
        <w:t>12</w:t>
      </w:r>
      <w:r>
        <w:t>.</w:t>
      </w:r>
      <w:r w:rsidRPr="00CD4A68">
        <w:t>1994</w:t>
      </w:r>
      <w:r>
        <w:t>, p. </w:t>
      </w:r>
      <w:r w:rsidRPr="00CD4A68">
        <w:t>10</w:t>
      </w:r>
      <w:r>
        <w:t>).</w:t>
      </w:r>
    </w:p>
  </w:footnote>
  <w:footnote w:id="4">
    <w:p w:rsidR="002428B2" w:rsidRDefault="002428B2">
      <w:pPr>
        <w:pStyle w:val="FootnoteText"/>
      </w:pPr>
      <w:r>
        <w:rPr>
          <w:rStyle w:val="FootnoteReference"/>
        </w:rPr>
        <w:footnoteRef/>
      </w:r>
      <w:r>
        <w:tab/>
        <w:t xml:space="preserve">Directive </w:t>
      </w:r>
      <w:r w:rsidRPr="00CD4A68">
        <w:t>1999</w:t>
      </w:r>
      <w:r>
        <w:t>/</w:t>
      </w:r>
      <w:r w:rsidRPr="00CD4A68">
        <w:t>31</w:t>
      </w:r>
      <w:r>
        <w:t xml:space="preserve">/CE du Conseil du </w:t>
      </w:r>
      <w:r w:rsidRPr="00CD4A68">
        <w:t>26</w:t>
      </w:r>
      <w:r>
        <w:t xml:space="preserve"> avril </w:t>
      </w:r>
      <w:r w:rsidRPr="00CD4A68">
        <w:t>1999</w:t>
      </w:r>
      <w:r>
        <w:t xml:space="preserve"> concernant la mise en décharge des déchets (JO L </w:t>
      </w:r>
      <w:r w:rsidRPr="00CD4A68">
        <w:t>182</w:t>
      </w:r>
      <w:r>
        <w:t xml:space="preserve"> du </w:t>
      </w:r>
      <w:r w:rsidRPr="00CD4A68">
        <w:t>16</w:t>
      </w:r>
      <w:r>
        <w:t>.</w:t>
      </w:r>
      <w:r w:rsidRPr="00CD4A68">
        <w:t>7</w:t>
      </w:r>
      <w:r>
        <w:t>.</w:t>
      </w:r>
      <w:r w:rsidRPr="00CD4A68">
        <w:t>1999</w:t>
      </w:r>
      <w:r>
        <w:t>, p. </w:t>
      </w:r>
      <w:r w:rsidRPr="00CD4A68">
        <w:t>1</w:t>
      </w:r>
      <w:r>
        <w:t>).</w:t>
      </w:r>
    </w:p>
  </w:footnote>
  <w:footnote w:id="5">
    <w:p w:rsidR="002428B2" w:rsidRDefault="002428B2">
      <w:pPr>
        <w:pStyle w:val="FootnoteText"/>
      </w:pPr>
      <w:r>
        <w:rPr>
          <w:rStyle w:val="FootnoteReference"/>
        </w:rPr>
        <w:footnoteRef/>
      </w:r>
      <w:r>
        <w:tab/>
        <w:t xml:space="preserve">Directive </w:t>
      </w:r>
      <w:r w:rsidRPr="00CD4A68">
        <w:t>2000</w:t>
      </w:r>
      <w:r>
        <w:t>/</w:t>
      </w:r>
      <w:r w:rsidRPr="00CD4A68">
        <w:t>53</w:t>
      </w:r>
      <w:r>
        <w:t xml:space="preserve">/CE du Parlement européen et du Conseil du </w:t>
      </w:r>
      <w:r w:rsidRPr="00CD4A68">
        <w:t>18</w:t>
      </w:r>
      <w:r>
        <w:t xml:space="preserve"> septembre </w:t>
      </w:r>
      <w:r w:rsidRPr="00CD4A68">
        <w:t>2000</w:t>
      </w:r>
      <w:r>
        <w:t xml:space="preserve"> relative aux véhicules hors d'usage (JO L </w:t>
      </w:r>
      <w:r w:rsidRPr="00CD4A68">
        <w:t>269</w:t>
      </w:r>
      <w:r>
        <w:t xml:space="preserve"> du </w:t>
      </w:r>
      <w:r w:rsidRPr="00CD4A68">
        <w:t>21</w:t>
      </w:r>
      <w:r>
        <w:t>.</w:t>
      </w:r>
      <w:r w:rsidRPr="00CD4A68">
        <w:t>10</w:t>
      </w:r>
      <w:r>
        <w:t>.</w:t>
      </w:r>
      <w:r w:rsidRPr="00CD4A68">
        <w:t>2000</w:t>
      </w:r>
      <w:r>
        <w:t>, p. </w:t>
      </w:r>
      <w:r w:rsidRPr="00CD4A68">
        <w:t>34</w:t>
      </w:r>
      <w:r>
        <w:t>).</w:t>
      </w:r>
    </w:p>
  </w:footnote>
  <w:footnote w:id="6">
    <w:p w:rsidR="002428B2" w:rsidRDefault="002428B2">
      <w:pPr>
        <w:pStyle w:val="FootnoteText"/>
      </w:pPr>
      <w:r>
        <w:rPr>
          <w:rStyle w:val="FootnoteReference"/>
        </w:rPr>
        <w:footnoteRef/>
      </w:r>
      <w:r>
        <w:tab/>
        <w:t xml:space="preserve">Directive </w:t>
      </w:r>
      <w:r w:rsidRPr="00CD4A68">
        <w:t>2006</w:t>
      </w:r>
      <w:r>
        <w:t>/</w:t>
      </w:r>
      <w:r w:rsidRPr="00CD4A68">
        <w:t>66</w:t>
      </w:r>
      <w:r>
        <w:t xml:space="preserve">/CE du Parlement européen et du Conseil du </w:t>
      </w:r>
      <w:r w:rsidRPr="00CD4A68">
        <w:t>6</w:t>
      </w:r>
      <w:r>
        <w:t xml:space="preserve"> septembre </w:t>
      </w:r>
      <w:r w:rsidRPr="00CD4A68">
        <w:t>2006</w:t>
      </w:r>
      <w:r>
        <w:t xml:space="preserve"> relative aux piles et accumulateurs ainsi qu’aux déchets de piles et d’accumulateurs et abrogeant la directive </w:t>
      </w:r>
      <w:r w:rsidRPr="00CD4A68">
        <w:t>91</w:t>
      </w:r>
      <w:r>
        <w:t>/</w:t>
      </w:r>
      <w:r w:rsidRPr="00CD4A68">
        <w:t>157</w:t>
      </w:r>
      <w:r>
        <w:t>/CEE (JO L </w:t>
      </w:r>
      <w:r w:rsidRPr="00CD4A68">
        <w:t>266</w:t>
      </w:r>
      <w:r>
        <w:t xml:space="preserve"> du </w:t>
      </w:r>
      <w:r w:rsidRPr="00CD4A68">
        <w:t>26</w:t>
      </w:r>
      <w:r>
        <w:t>.</w:t>
      </w:r>
      <w:r w:rsidRPr="00CD4A68">
        <w:t>9</w:t>
      </w:r>
      <w:r>
        <w:t>.</w:t>
      </w:r>
      <w:r w:rsidRPr="00CD4A68">
        <w:t>2006</w:t>
      </w:r>
      <w:r>
        <w:t>, p. </w:t>
      </w:r>
      <w:r w:rsidRPr="00CD4A68">
        <w:t>1</w:t>
      </w:r>
      <w:r>
        <w:t>).</w:t>
      </w:r>
    </w:p>
  </w:footnote>
  <w:footnote w:id="7">
    <w:p w:rsidR="002428B2" w:rsidRDefault="002428B2">
      <w:pPr>
        <w:pStyle w:val="FootnoteText"/>
      </w:pPr>
      <w:r>
        <w:rPr>
          <w:rStyle w:val="FootnoteReference"/>
        </w:rPr>
        <w:footnoteRef/>
      </w:r>
      <w:r>
        <w:tab/>
        <w:t xml:space="preserve">Directive </w:t>
      </w:r>
      <w:r w:rsidRPr="00CD4A68">
        <w:t>2012</w:t>
      </w:r>
      <w:r>
        <w:t>/</w:t>
      </w:r>
      <w:r w:rsidRPr="00CD4A68">
        <w:t>19</w:t>
      </w:r>
      <w:r>
        <w:t xml:space="preserve">/UE du Parlement européen et du Conseil du </w:t>
      </w:r>
      <w:r w:rsidRPr="00CD4A68">
        <w:t>4</w:t>
      </w:r>
      <w:r>
        <w:t xml:space="preserve"> juillet </w:t>
      </w:r>
      <w:r w:rsidRPr="00CD4A68">
        <w:t>2012</w:t>
      </w:r>
      <w:r>
        <w:t xml:space="preserve"> relative aux déchets d’équipements électriques et électroniques (JO L </w:t>
      </w:r>
      <w:r w:rsidRPr="00CD4A68">
        <w:t>197</w:t>
      </w:r>
      <w:r>
        <w:t xml:space="preserve"> du </w:t>
      </w:r>
      <w:r w:rsidRPr="00CD4A68">
        <w:t>24</w:t>
      </w:r>
      <w:r>
        <w:t>.</w:t>
      </w:r>
      <w:r w:rsidRPr="00CD4A68">
        <w:t>7</w:t>
      </w:r>
      <w:r>
        <w:t>.</w:t>
      </w:r>
      <w:r w:rsidRPr="00CD4A68">
        <w:t>2012</w:t>
      </w:r>
      <w:r>
        <w:t>, p. </w:t>
      </w:r>
      <w:r w:rsidRPr="00CD4A68">
        <w:t>38</w:t>
      </w:r>
      <w:r>
        <w:t>).</w:t>
      </w:r>
    </w:p>
  </w:footnote>
  <w:footnote w:id="8">
    <w:p w:rsidR="002428B2" w:rsidRDefault="002428B2">
      <w:pPr>
        <w:pStyle w:val="FootnoteText"/>
      </w:pPr>
      <w:r>
        <w:rPr>
          <w:rStyle w:val="FootnoteReference"/>
        </w:rPr>
        <w:footnoteRef/>
      </w:r>
      <w:r>
        <w:tab/>
        <w:t>COM(</w:t>
      </w:r>
      <w:r w:rsidRPr="00CD4A68">
        <w:t>2011</w:t>
      </w:r>
      <w:r>
        <w:t xml:space="preserve">) </w:t>
      </w:r>
      <w:r w:rsidRPr="00CD4A68">
        <w:t>571</w:t>
      </w:r>
      <w:r>
        <w:t xml:space="preserve"> final.</w:t>
      </w:r>
    </w:p>
  </w:footnote>
  <w:footnote w:id="9">
    <w:p w:rsidR="002428B2" w:rsidRDefault="002428B2">
      <w:pPr>
        <w:pStyle w:val="FootnoteText"/>
      </w:pPr>
      <w:r>
        <w:rPr>
          <w:rStyle w:val="FootnoteReference"/>
        </w:rPr>
        <w:footnoteRef/>
      </w:r>
      <w:r>
        <w:tab/>
        <w:t>Décision nº </w:t>
      </w:r>
      <w:r w:rsidRPr="00CD4A68">
        <w:t>1386</w:t>
      </w:r>
      <w:r>
        <w:t>/</w:t>
      </w:r>
      <w:r w:rsidRPr="00CD4A68">
        <w:t>2013</w:t>
      </w:r>
      <w:r>
        <w:t xml:space="preserve">/UE du Parlement européen et du Conseil du </w:t>
      </w:r>
      <w:r w:rsidRPr="00CD4A68">
        <w:t>20</w:t>
      </w:r>
      <w:r>
        <w:t xml:space="preserve"> novembre </w:t>
      </w:r>
      <w:r w:rsidRPr="00CD4A68">
        <w:t>2013</w:t>
      </w:r>
      <w:r>
        <w:t xml:space="preserve"> relative à un programme d'action général de l'Union pour l'environnement à l'horizon </w:t>
      </w:r>
      <w:r w:rsidRPr="00CD4A68">
        <w:t>2020</w:t>
      </w:r>
      <w:r>
        <w:t xml:space="preserve"> «Bien vivre, dans les limites de notre planète» (JO L </w:t>
      </w:r>
      <w:r w:rsidRPr="00CD4A68">
        <w:t>354</w:t>
      </w:r>
      <w:r>
        <w:t xml:space="preserve"> du </w:t>
      </w:r>
      <w:r w:rsidRPr="00CD4A68">
        <w:t>28</w:t>
      </w:r>
      <w:r>
        <w:t>.</w:t>
      </w:r>
      <w:r w:rsidRPr="00CD4A68">
        <w:t>12</w:t>
      </w:r>
      <w:r>
        <w:t>.</w:t>
      </w:r>
      <w:r w:rsidRPr="00CD4A68">
        <w:t>2013</w:t>
      </w:r>
      <w:r>
        <w:t>, p. </w:t>
      </w:r>
      <w:r w:rsidRPr="00CD4A68">
        <w:t>171</w:t>
      </w:r>
      <w:r>
        <w:t>).</w:t>
      </w:r>
    </w:p>
  </w:footnote>
  <w:footnote w:id="10">
    <w:p w:rsidR="002428B2" w:rsidRDefault="002428B2">
      <w:pPr>
        <w:pStyle w:val="FootnoteText"/>
      </w:pPr>
      <w:r>
        <w:rPr>
          <w:rStyle w:val="FootnoteReference"/>
        </w:rPr>
        <w:footnoteRef/>
      </w:r>
      <w:r>
        <w:tab/>
        <w:t>La hiérarchie des déchets accorde la préférence à la prévention, suivie de la réutilisation, du recyclage, puis de la valorisation énergétique et de l'élimination, qui comprend la mise en décharge et l'incinération sans récupération d'énergie.</w:t>
      </w:r>
    </w:p>
  </w:footnote>
  <w:footnote w:id="11">
    <w:p w:rsidR="002428B2" w:rsidRDefault="002428B2">
      <w:pPr>
        <w:pStyle w:val="FootnoteText"/>
        <w:rPr>
          <w:lang w:val="pt-PT"/>
        </w:rPr>
      </w:pPr>
      <w:r>
        <w:rPr>
          <w:rStyle w:val="FootnoteReference"/>
        </w:rPr>
        <w:footnoteRef/>
      </w:r>
      <w:r w:rsidRPr="00CD4A68">
        <w:rPr>
          <w:lang w:val="pt-PT"/>
        </w:rPr>
        <w:tab/>
      </w:r>
      <w:r>
        <w:rPr>
          <w:rStyle w:val="FootnoteReference"/>
        </w:rPr>
        <w:footnoteRef/>
      </w:r>
      <w:r w:rsidRPr="00CD4A68">
        <w:rPr>
          <w:lang w:val="pt-PT"/>
        </w:rPr>
        <w:t>COM(2008) 699 et COM(2014) 297.</w:t>
      </w:r>
    </w:p>
  </w:footnote>
  <w:footnote w:id="12">
    <w:p w:rsidR="002428B2" w:rsidRDefault="002428B2">
      <w:pPr>
        <w:pStyle w:val="FootnoteText"/>
        <w:rPr>
          <w:lang w:val="pt-PT"/>
        </w:rPr>
      </w:pPr>
      <w:r>
        <w:rPr>
          <w:rStyle w:val="FootnoteReference"/>
        </w:rPr>
        <w:footnoteRef/>
      </w:r>
      <w:r w:rsidRPr="00CD4A68">
        <w:rPr>
          <w:lang w:val="pt-PT"/>
        </w:rPr>
        <w:tab/>
      </w:r>
      <w:r>
        <w:rPr>
          <w:rStyle w:val="FootnoteReference"/>
        </w:rPr>
        <w:footnoteRef/>
      </w:r>
      <w:r w:rsidRPr="00CD4A68">
        <w:rPr>
          <w:lang w:val="pt-PT"/>
        </w:rPr>
        <w:t>COM(2014) 397.</w:t>
      </w:r>
    </w:p>
  </w:footnote>
  <w:footnote w:id="13">
    <w:p w:rsidR="002428B2" w:rsidRDefault="002428B2">
      <w:pPr>
        <w:pStyle w:val="FootnoteText"/>
        <w:rPr>
          <w:lang w:val="pt-PT"/>
        </w:rPr>
      </w:pPr>
      <w:r>
        <w:rPr>
          <w:rStyle w:val="FootnoteReference"/>
        </w:rPr>
        <w:footnoteRef/>
      </w:r>
      <w:r w:rsidRPr="00CD4A68">
        <w:rPr>
          <w:lang w:val="pt-PT"/>
        </w:rPr>
        <w:tab/>
      </w:r>
      <w:r>
        <w:rPr>
          <w:rStyle w:val="FootnoteReference"/>
        </w:rPr>
        <w:footnoteRef/>
      </w:r>
      <w:r w:rsidRPr="00CD4A68">
        <w:rPr>
          <w:lang w:val="pt-PT"/>
        </w:rPr>
        <w:t>JO C  du , p. .</w:t>
      </w:r>
    </w:p>
  </w:footnote>
  <w:footnote w:id="14">
    <w:p w:rsidR="002428B2" w:rsidRDefault="002428B2">
      <w:pPr>
        <w:pStyle w:val="FootnoteText"/>
      </w:pPr>
      <w:r>
        <w:rPr>
          <w:rStyle w:val="FootnoteReference"/>
        </w:rPr>
        <w:footnoteRef/>
      </w:r>
      <w:r>
        <w:tab/>
        <w:t>JO C  du , p. .</w:t>
      </w:r>
    </w:p>
  </w:footnote>
  <w:footnote w:id="15">
    <w:p w:rsidR="002428B2" w:rsidRDefault="002428B2">
      <w:pPr>
        <w:pStyle w:val="FootnoteText"/>
        <w:rPr>
          <w:lang w:val="sl-SI"/>
        </w:rPr>
      </w:pPr>
      <w:r>
        <w:rPr>
          <w:rStyle w:val="FootnoteReference"/>
        </w:rPr>
        <w:footnoteRef/>
      </w:r>
      <w:r>
        <w:tab/>
        <w:t>JO C </w:t>
      </w:r>
      <w:r w:rsidRPr="00CD4A68">
        <w:t>369</w:t>
      </w:r>
      <w:r>
        <w:t xml:space="preserve"> du </w:t>
      </w:r>
      <w:r w:rsidRPr="00CD4A68">
        <w:t>17</w:t>
      </w:r>
      <w:r>
        <w:t>.</w:t>
      </w:r>
      <w:r w:rsidRPr="00CD4A68">
        <w:t>12</w:t>
      </w:r>
      <w:r>
        <w:t>.</w:t>
      </w:r>
      <w:r w:rsidRPr="00CD4A68">
        <w:t>2011</w:t>
      </w:r>
      <w:r>
        <w:t>, p. </w:t>
      </w:r>
      <w:r w:rsidRPr="00CD4A68">
        <w:t>14</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EC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2C2F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B40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620D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6236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494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AB3C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3EB2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rawingGridHorizontalSpacing w:val="120"/>
  <w:displayHorizontalDrawingGridEvery w:val="2"/>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1 11:53: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FigNum" w:val="1"/>
    <w:docVar w:name="LW_CONFIDENCE" w:val=" "/>
    <w:docVar w:name="LW_CONST_RESTREINT_UE" w:val="RESTREINT UE/EU RESTRICTED"/>
    <w:docVar w:name="LW_CORRIGENDUM" w:val="&lt;UNUSED&gt;"/>
    <w:docVar w:name="LW_COVERPAGE_GUID" w:val="A9FB7E93A1944BDF92A9B166B7FE2D85"/>
    <w:docVar w:name="LW_CROSSREFERENCE" w:val="{SWD(2015) 259 final}_x000a_{SWD(2015) 260 final}"/>
    <w:docVar w:name="LW_DocType" w:val="COM"/>
    <w:docVar w:name="LW_EMISSION" w:val="2.12.2015"/>
    <w:docVar w:name="LW_EMISSION_ISODATE" w:val="2015-12-02"/>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72"/>
    <w:docVar w:name="LW_REF.II.NEW.CP_YEAR" w:val="2015"/>
    <w:docVar w:name="LW_REF.INST.NEW" w:val="COM"/>
    <w:docVar w:name="LW_REF.INST.NEW_ADOPTED" w:val="final"/>
    <w:docVar w:name="LW_REF.INST.NEW_TEXT" w:val="(2015) 593"/>
    <w:docVar w:name="LW_REF.INTERNE" w:val="&lt;UNUSED&gt;"/>
    <w:docVar w:name="LW_SOUS.TITRE.OBJ.CP" w:val="&lt;UNUSED&gt;"/>
    <w:docVar w:name="LW_STATUT.CP" w:val="Proposition de"/>
    <w:docVar w:name="LW_SUPERTITRE" w:val="&lt;UNUSED&gt;"/>
    <w:docVar w:name="LW_TITRE.OBJ.CP" w:val="modifiant la directive 2000/53/CE relative aux véhicules hors d'usage, la directive 2006/66/CE relative aux piles et accumulateurs ainsi qu'aux déchets de piles et d'accumulateurs, et la directive 2012/19/UE relative aux déchets d\u8217?équipements électriques et électroniques "/>
    <w:docVar w:name="LW_TYPE.DOC.CP" w:val="DIRECTIVE DU PARLEMENT EUROPÉEN ET DU CONSEIL"/>
  </w:docVars>
  <w:rsids>
    <w:rsidRoot w:val="00096DE8"/>
    <w:rsid w:val="00063AC8"/>
    <w:rsid w:val="00086699"/>
    <w:rsid w:val="00096DE8"/>
    <w:rsid w:val="000A3A1E"/>
    <w:rsid w:val="002428B2"/>
    <w:rsid w:val="00324BD9"/>
    <w:rsid w:val="004342C4"/>
    <w:rsid w:val="004E46BE"/>
    <w:rsid w:val="00512D58"/>
    <w:rsid w:val="005B378C"/>
    <w:rsid w:val="005C0571"/>
    <w:rsid w:val="005E44A1"/>
    <w:rsid w:val="00676C66"/>
    <w:rsid w:val="006B7BC6"/>
    <w:rsid w:val="00734065"/>
    <w:rsid w:val="007D51AE"/>
    <w:rsid w:val="007F381D"/>
    <w:rsid w:val="00874734"/>
    <w:rsid w:val="00877289"/>
    <w:rsid w:val="009640AB"/>
    <w:rsid w:val="00981B2F"/>
    <w:rsid w:val="009A3804"/>
    <w:rsid w:val="009E51E1"/>
    <w:rsid w:val="00A738E2"/>
    <w:rsid w:val="00A84E4C"/>
    <w:rsid w:val="00BF0E25"/>
    <w:rsid w:val="00C44988"/>
    <w:rsid w:val="00CD4A68"/>
    <w:rsid w:val="00EA49C6"/>
    <w:rsid w:val="00ED650D"/>
    <w:rsid w:val="00FB1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rFonts w:ascii="Times New Roman" w:hAnsi="Times New Roman" w:cs="Times New Roman"/>
      <w:sz w:val="24"/>
    </w:rPr>
  </w:style>
  <w:style w:type="character" w:styleId="Strong">
    <w:name w:val="Strong"/>
    <w:uiPriority w:val="22"/>
    <w:qFormat/>
    <w:rPr>
      <w:b/>
      <w:bCs/>
    </w:rPr>
  </w:style>
  <w:style w:type="paragraph" w:styleId="Header">
    <w:name w:val="header"/>
    <w:basedOn w:val="Normal"/>
    <w:link w:val="HeaderChar"/>
    <w:uiPriority w:val="99"/>
    <w:unhideWhenUsed/>
    <w:rsid w:val="00874734"/>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874734"/>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874734"/>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rFonts w:ascii="Times New Roman" w:hAnsi="Times New Roman" w:cs="Times New Roman"/>
      <w:sz w:val="24"/>
    </w:rPr>
  </w:style>
  <w:style w:type="character" w:styleId="Strong">
    <w:name w:val="Strong"/>
    <w:uiPriority w:val="22"/>
    <w:qFormat/>
    <w:rPr>
      <w:b/>
      <w:bCs/>
    </w:rPr>
  </w:style>
  <w:style w:type="paragraph" w:styleId="Header">
    <w:name w:val="header"/>
    <w:basedOn w:val="Normal"/>
    <w:link w:val="HeaderChar"/>
    <w:uiPriority w:val="99"/>
    <w:unhideWhenUsed/>
    <w:rsid w:val="00874734"/>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874734"/>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874734"/>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269">
      <w:bodyDiv w:val="1"/>
      <w:marLeft w:val="0"/>
      <w:marRight w:val="0"/>
      <w:marTop w:val="0"/>
      <w:marBottom w:val="0"/>
      <w:divBdr>
        <w:top w:val="none" w:sz="0" w:space="0" w:color="auto"/>
        <w:left w:val="none" w:sz="0" w:space="0" w:color="auto"/>
        <w:bottom w:val="none" w:sz="0" w:space="0" w:color="auto"/>
        <w:right w:val="none" w:sz="0" w:space="0" w:color="auto"/>
      </w:divBdr>
    </w:div>
    <w:div w:id="258947889">
      <w:bodyDiv w:val="1"/>
      <w:marLeft w:val="0"/>
      <w:marRight w:val="0"/>
      <w:marTop w:val="0"/>
      <w:marBottom w:val="0"/>
      <w:divBdr>
        <w:top w:val="none" w:sz="0" w:space="0" w:color="auto"/>
        <w:left w:val="none" w:sz="0" w:space="0" w:color="auto"/>
        <w:bottom w:val="none" w:sz="0" w:space="0" w:color="auto"/>
        <w:right w:val="none" w:sz="0" w:space="0" w:color="auto"/>
      </w:divBdr>
    </w:div>
    <w:div w:id="1896812593">
      <w:bodyDiv w:val="1"/>
      <w:marLeft w:val="0"/>
      <w:marRight w:val="0"/>
      <w:marTop w:val="0"/>
      <w:marBottom w:val="0"/>
      <w:divBdr>
        <w:top w:val="none" w:sz="0" w:space="0" w:color="auto"/>
        <w:left w:val="none" w:sz="0" w:space="0" w:color="auto"/>
        <w:bottom w:val="none" w:sz="0" w:space="0" w:color="auto"/>
        <w:right w:val="none" w:sz="0" w:space="0" w:color="auto"/>
      </w:divBdr>
    </w:div>
    <w:div w:id="20336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633C-54AA-4FA9-9CA6-35E287A6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4268</Words>
  <Characters>23860</Characters>
  <Application>Microsoft Office Word</Application>
  <DocSecurity>0</DocSecurity>
  <Lines>397</Lines>
  <Paragraphs>152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2015-12-01T11:10:00Z</cp:lastPrinted>
  <dcterms:created xsi:type="dcterms:W3CDTF">2015-12-02T08:30:00Z</dcterms:created>
  <dcterms:modified xsi:type="dcterms:W3CDTF">2015-12-02T08:30:00Z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_NewReviewCycle">
    <vt:lpwstr/>
  </property>
  <property fmtid="{D5CDD505-2E9C-101B-9397-08002B2CF9AE}" pid="13" name="DQCStatus">
    <vt:lpwstr>Yellow (DQC version 03)</vt:lpwstr>
  </property>
</Properties>
</file>