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030196309C0B47AEA1EEA069C9747C99" style="width:450pt;height:380.25pt">
            <v:imagedata r:id="rId8" o:title=""/>
          </v:shape>
        </w:pict>
      </w:r>
    </w:p>
    <w:bookmarkEnd w:id="0"/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Leipteksti"/>
        <w:jc w:val="both"/>
        <w:rPr>
          <w:rFonts w:ascii="Times New Roman" w:hAnsi="Times New Roman" w:cs="Times New Roman"/>
          <w:b/>
          <w:noProof/>
        </w:rPr>
      </w:pPr>
      <w:bookmarkStart w:id="1" w:name="_GoBack"/>
      <w:bookmarkEnd w:id="1"/>
    </w:p>
    <w:p>
      <w:pPr>
        <w:pStyle w:val="Leipteksti"/>
        <w:jc w:val="both"/>
        <w:rPr>
          <w:rFonts w:ascii="Times New Roman" w:hAnsi="Times New Roman" w:cs="Times New Roman"/>
          <w:b/>
          <w:noProof/>
        </w:rPr>
      </w:pPr>
    </w:p>
    <w:p>
      <w:pPr>
        <w:pStyle w:val="Leipteksti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  <w:noProof/>
        </w:rPr>
        <w:t>Приложение: Обзор на резултатите от изпълнението на плана за действие, приет на срещата на политическите лидери</w:t>
      </w:r>
    </w:p>
    <w:p>
      <w:pPr>
        <w:rPr>
          <w:noProof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1633"/>
        <w:gridCol w:w="3053"/>
        <w:gridCol w:w="4670"/>
      </w:tblGrid>
      <w:t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План за действие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Резултат</w:t>
            </w:r>
          </w:p>
        </w:tc>
      </w:tr>
      <w:tr>
        <w:trPr>
          <w:trHeight w:val="4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  <w:noProof/>
                <w:sz w:val="20"/>
              </w:rPr>
            </w:pPr>
            <w:r>
              <w:rPr>
                <w:rStyle w:val="Strong"/>
                <w:noProof/>
                <w:sz w:val="20"/>
              </w:rPr>
              <w:t>Постоянен обмен на информация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</w:rPr>
              <w:t>1. Определяне на звена за контакт в срок от 24 часа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Всички участващи държави, институции и агенции определиха звена за контакт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По-активни двустранни контакти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X Недостатъчно предварително уведомяване за промените в националните политики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X Едностранни мерки, сред които де факто условия за влизане, основани на гражданството, и изграждане на огради</w:t>
            </w:r>
          </w:p>
        </w:tc>
      </w:tr>
      <w:tr>
        <w:trPr>
          <w:trHeight w:val="8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Style w:val="Strong"/>
                <w:b w:val="0"/>
                <w:bCs w:val="0"/>
                <w:noProof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</w:rPr>
              <w:t xml:space="preserve">2. Изготвяне на съвместни оценки на нуждите в срок от 24 часа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Първоначална оценка и последващи посещения на място, извършени от Комисията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Х В очакване на окончателната оценка на нуждите от Гърция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  <w:noProof/>
                <w:sz w:val="20"/>
              </w:rPr>
            </w:pPr>
            <w:r>
              <w:rPr>
                <w:rStyle w:val="Strong"/>
                <w:noProof/>
                <w:sz w:val="20"/>
              </w:rPr>
              <w:t>Ограничаване на вторичните движения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</w:rPr>
              <w:t xml:space="preserve">3. Възпиране на неоповестените движения на бежанци и мигранти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По-голямо сътрудничество и комуникация между граничните органи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Х Липса на политическа воля за създаването на капацитет за приемане за престой, надхвърлящ 24 часа</w:t>
            </w:r>
          </w:p>
        </w:tc>
      </w:tr>
      <w:tr>
        <w:trPr>
          <w:trHeight w:val="3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rStyle w:val="Strong"/>
                <w:noProof/>
                <w:sz w:val="20"/>
              </w:rPr>
              <w:t>Подпомагане на бежанци и осигуряване на подслон и условия за почивка</w:t>
            </w:r>
          </w:p>
          <w:p>
            <w:pPr>
              <w:pStyle w:val="NormalWeb"/>
              <w:spacing w:before="0" w:beforeAutospacing="0" w:after="0" w:afterAutospacing="0"/>
              <w:rPr>
                <w:rStyle w:val="Strong"/>
                <w:noProof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</w:rPr>
              <w:t>4. По-голяма подкрепа за бежанците, включително чрез Механизма за гражданска защита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Финансиране от ЕС за подпомагане на всички страни, разположени по маршрута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Хърватия и Гърция активираха Механизма за гражданска защита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Х По-голямата част от исканията за помощ за текущи операции по линия на Механизма за гражданска защита не бяха изпълнени</w:t>
            </w:r>
          </w:p>
        </w:tc>
      </w:tr>
      <w:tr>
        <w:trPr>
          <w:trHeight w:val="3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Style w:val="Strong"/>
                <w:noProof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</w:rPr>
              <w:t>5. Увеличаване на капацитета за приемане в Гърция до общо 50 000 места до края на годината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Х Настоящият капацитет за приемане е далеч от поставената цел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</w:p>
        </w:tc>
      </w:tr>
      <w:tr>
        <w:trPr>
          <w:trHeight w:val="3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Style w:val="Strong"/>
                <w:noProof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</w:rPr>
              <w:t>6. Увеличаване на капацитета за приемане с 50 000 места в страните, разположени по маршрута през Западните Балкани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Х Настоящият капацитет за приемане е далеч от поставената цел </w:t>
            </w:r>
          </w:p>
        </w:tc>
      </w:tr>
      <w:tr>
        <w:trPr>
          <w:trHeight w:val="3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Style w:val="Strong"/>
                <w:noProof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</w:rPr>
              <w:t>7. Съвместна работа с международни финансови институции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Създаване на мрежа за координиране на работата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Х Необходимост от изготвянето на средносрочни и дългосрочни ответни реакции</w:t>
            </w:r>
          </w:p>
        </w:tc>
      </w:tr>
      <w:tr>
        <w:trPr>
          <w:trHeight w:val="3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rStyle w:val="Strong"/>
                <w:noProof/>
                <w:sz w:val="20"/>
              </w:rPr>
              <w:t>Съвместно управление на миграционните потоци</w:t>
            </w:r>
          </w:p>
          <w:p>
            <w:pPr>
              <w:pStyle w:val="NormalWeb"/>
              <w:spacing w:before="0" w:beforeAutospacing="0" w:after="0" w:afterAutospacing="0"/>
              <w:rPr>
                <w:rStyle w:val="Strong"/>
                <w:noProof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</w:rPr>
              <w:t>8. Осигуряване на пълен капацитет за регистриране на пристиганията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Х „Горещите точки“ в Италия и Гърция не функционират пълноценно</w:t>
            </w:r>
          </w:p>
        </w:tc>
      </w:tr>
      <w:tr>
        <w:trPr>
          <w:trHeight w:val="3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Style w:val="Strong"/>
                <w:noProof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</w:rPr>
              <w:t xml:space="preserve">9. Обмен на информация относно числеността на потоците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Ежедневно докладване на Frontex</w:t>
            </w:r>
          </w:p>
        </w:tc>
      </w:tr>
      <w:tr>
        <w:trPr>
          <w:trHeight w:val="3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Style w:val="Strong"/>
                <w:noProof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</w:rPr>
              <w:t>10. Сътрудничество с агенции на ЕС за бързото въвеждане на този вид обмен на информация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Ежедневно докладване на Frontex</w:t>
            </w:r>
          </w:p>
        </w:tc>
      </w:tr>
      <w:tr>
        <w:trPr>
          <w:trHeight w:val="3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Style w:val="Strong"/>
                <w:noProof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</w:rPr>
              <w:t>11. Засилване на действията за връщане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Оказване на подкрепа от ЕС за действията за връщане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Х Необходимост от засилване на операциите за връщане</w:t>
            </w:r>
          </w:p>
        </w:tc>
      </w:tr>
      <w:tr>
        <w:trPr>
          <w:trHeight w:val="3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Style w:val="Strong"/>
                <w:noProof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</w:rPr>
              <w:t>12. Засилване на сътрудничеството в областта на обратното приемане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Диалози на високо равнище с трети страни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Х Пречки пред ефективното обратно приемане </w:t>
            </w:r>
          </w:p>
        </w:tc>
      </w:tr>
      <w:tr>
        <w:trPr>
          <w:trHeight w:val="8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rStyle w:val="Strong"/>
                <w:noProof/>
                <w:sz w:val="20"/>
              </w:rPr>
              <w:lastRenderedPageBreak/>
              <w:t>Управление на границите</w:t>
            </w:r>
          </w:p>
          <w:p>
            <w:pPr>
              <w:pStyle w:val="NormalWeb"/>
              <w:spacing w:before="0" w:beforeAutospacing="0" w:after="0" w:afterAutospacing="0"/>
              <w:rPr>
                <w:rStyle w:val="Strong"/>
                <w:noProof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</w:rPr>
              <w:t>13. Засилване на дейностите за управление на границите</w:t>
            </w:r>
          </w:p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Задействане на съвместния план за действие ЕС—Турция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Текущи операции на Frontex на повечето ключови граници, включително в морето (Посейдон) и на границите България/Турция и Гърция/бившата югославска република Македония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Официално искане от Гърция за разполагането на екип за бърза гранична намеса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Укрепване на Мрежата на Frontex за анализ на риска за Западните Балкани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Х Недостатъчни мерки за изграждане на доверие по границата между Гърция и бившата югославска република Македония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Х Броят на командированите полицейски служители в Словения е далеч от поставената цел 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Х Все още има пречки пред предоставянето на помощ от страна на Frontex на Хърватия и Сърбия</w:t>
            </w:r>
          </w:p>
        </w:tc>
      </w:tr>
      <w:tr>
        <w:trPr>
          <w:trHeight w:val="86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Style w:val="Strong"/>
                <w:noProof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</w:rPr>
              <w:t>14. Утвърждаване на принципа за отказ за влизане на граждани на трети страни, които не потвърждават желанието си да кандидатстват за международна закрила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Х Необходимост от действия за намаляване на риска от натрупване на хора, блокирани на границите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  <w:noProof/>
                <w:sz w:val="20"/>
              </w:rPr>
            </w:pPr>
            <w:r>
              <w:rPr>
                <w:rStyle w:val="Strong"/>
                <w:noProof/>
                <w:sz w:val="20"/>
              </w:rPr>
              <w:t>Борба с контрабандата и трафика на хора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</w:rPr>
              <w:t xml:space="preserve">15. Засилване на действията срещу контрабандата на мигранти и трафика на хора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</w:rPr>
              <w:t>Меморандум за разбирателство, с който се дава възможност за обмен на лични данни между Европол и Frontex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Създаване от Европол на Европейски център за борба с контрабандата на мигранти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Оказване на подкрепа за мащабни операции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  <w:noProof/>
                <w:sz w:val="20"/>
              </w:rPr>
            </w:pPr>
            <w:r>
              <w:rPr>
                <w:rStyle w:val="Strong"/>
                <w:noProof/>
                <w:sz w:val="20"/>
              </w:rPr>
              <w:t>Информация относно правата и задълженията на бежанците и мигрантите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</w:rPr>
              <w:t xml:space="preserve">16. Използване на всички налични инструменти за комуникация, за да се информират бежанците и мигрантите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Работна група по въпросите на комуникацията</w:t>
            </w:r>
          </w:p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Х Стартиране на първите комуникационни кампании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rStyle w:val="Strong"/>
                <w:noProof/>
                <w:sz w:val="20"/>
              </w:rPr>
              <w:t>Мониторинг</w:t>
            </w:r>
          </w:p>
          <w:p>
            <w:pPr>
              <w:pStyle w:val="NormalWeb"/>
              <w:spacing w:before="0" w:beforeAutospacing="0" w:after="0" w:afterAutospacing="0"/>
              <w:rPr>
                <w:rStyle w:val="Strong"/>
                <w:noProof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NormalWeb"/>
              <w:spacing w:before="0" w:beforeAutospacing="0" w:after="0" w:afterAutospacing="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</w:rPr>
              <w:t>17. Следене за изпълнението на настоящите ангажименти с ежеседмична честота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  <w:noProof/>
                <w:sz w:val="20"/>
              </w:rPr>
              <w:t xml:space="preserve"> Ежеседмични видео конференции с много голямо участие</w:t>
            </w:r>
          </w:p>
        </w:tc>
      </w:tr>
    </w:tbl>
    <w:p>
      <w:pPr>
        <w:rPr>
          <w:rFonts w:ascii="Times New Roman" w:hAnsi="Times New Roman" w:cs="Times New Roman"/>
          <w:noProof/>
          <w:color w:val="1F497D"/>
        </w:rPr>
      </w:pPr>
    </w:p>
    <w:sectPr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868841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030196309C0B47AEA1EEA069C9747C99"/>
    <w:docVar w:name="LW_CROSSREFERENCE" w:val="&lt;UNUSED&gt;"/>
    <w:docVar w:name="LW_DocType" w:val="NORMAL"/>
    <w:docVar w:name="LW_EMISSION" w:val="15.12.2015"/>
    <w:docVar w:name="LW_EMISSION_ISODATE" w:val="2015-12-15"/>
    <w:docVar w:name="LW_EMISSION_LOCATION" w:val="STR"/>
    <w:docVar w:name="LW_EMISSION_PREFIX" w:val="Страсбург, "/>
    <w:docVar w:name="LW_EMISSION_SUFFIX" w:val=" \u1075?."/>
    <w:docVar w:name="LW_ID_DOCTYPE_NONLW" w:val="CP-039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86?\u1090?\u1085?\u1086?\u1089?\u1085?\u1086? \u1087?\u1088?\u1077?\u1076?\u1087?\u1088?\u1080?\u1077?\u1090?\u1080?\u1090?\u1077? \u1084?\u1077?\u1088?\u1082?\u1080? \u1089?\u1083?\u1077?\u1076? \u1089?\u1088?\u1077?\u1097?\u1072?\u1090?\u1072? \u1085?\u1072? \u1083?\u1080?\u1076?\u1077?\u1088?\u1080?\u1090?\u1077? \u1074?\u1098?\u1074? \u1074?\u1088?\u1098?\u1079?\u1082?\u1072? \u1089? \u1073?\u1077?\u1078?\u1072?\u1085?\u1089?\u1082?\u1080?\u1090?\u1077? \u1087?\u1086?\u1090?\u1086?\u1094?\u1080? \u1087?\u1086? \u1084?\u1072?\u1088?\u1096?\u1088?\u1091?\u1090?\u1072? \u1087?\u1088?\u1077?\u1079? \u1047?\u1072?\u1087?\u1072?\u1076?\u1085?\u1080?\u1090?\u1077? \u1041?\u1072?\u1083?\u1082?\u1072?\u1085?\u1080?"/>
    <w:docVar w:name="LW_PART_NBR" w:val="1"/>
    <w:docVar w:name="LW_PART_NBR_TOTAL" w:val="1"/>
    <w:docVar w:name="LW_REF.INST.NEW" w:val="COM"/>
    <w:docVar w:name="LW_REF.INST.NEW_ADOPTED" w:val="final"/>
    <w:docVar w:name="LW_REF.INST.NEW_TEXT" w:val="(2015) 676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45?_x000b_"/>
    <w:docVar w:name="LW_TYPEACTEPRINCIPAL.CP" w:val="\u1044?\u1054?\u1050?\u1051?\u1040?\u1044?\u1040? \u1053?\u1040? \u1050?\u1054?\u1052?\u1048?\u1057?\u1048?\u1071?\u1058?\u1040? \u1044?\u1054? \u1045?\u1042?\u1056?\u1054?\u1055?\u1045?\u1049?\u1057?\u1050?\u1048?\u1071? \u1055?\u1040?\u1056?\u1051?\u1040?\u1052?\u1045?\u1053?\u1058? \u1048? \u1057?\u1066?\u1042?\u1045?\u1058?\u104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Leipteksti">
    <w:name w:val="Leipäteksti"/>
    <w:uiPriority w:val="99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Leipteksti">
    <w:name w:val="Leipäteksti"/>
    <w:uiPriority w:val="99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6362-8B2B-4E03-94AE-7A30A646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665</Words>
  <Characters>3727</Characters>
  <Application>Microsoft Office Word</Application>
  <DocSecurity>0</DocSecurity>
  <Lines>186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DE LANDA Rosa Maria (SG)</dc:creator>
  <cp:lastModifiedBy>DIGIT/A3</cp:lastModifiedBy>
  <cp:revision>11</cp:revision>
  <cp:lastPrinted>2015-12-14T17:27:00Z</cp:lastPrinted>
  <dcterms:created xsi:type="dcterms:W3CDTF">2015-12-15T08:34:00Z</dcterms:created>
  <dcterms:modified xsi:type="dcterms:W3CDTF">2015-12-22T08:37:00Z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1</vt:lpwstr>
  </property>
  <property fmtid="{D5CDD505-2E9C-101B-9397-08002B2CF9AE}" pid="3" name="Last annex">
    <vt:lpwstr>1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DocStatus">
    <vt:lpwstr>Green</vt:lpwstr>
  </property>
  <property fmtid="{D5CDD505-2E9C-101B-9397-08002B2CF9AE}" pid="7" name="Classification">
    <vt:lpwstr> </vt:lpwstr>
  </property>
</Properties>
</file>