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90" w:rsidRDefault="00DB129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97365125968400781D987252DD762A7" style="width:450.75pt;height:307.5pt">
            <v:imagedata r:id="rId9" o:title=""/>
          </v:shape>
        </w:pict>
      </w:r>
    </w:p>
    <w:bookmarkEnd w:id="0"/>
    <w:p w:rsidR="00FC2C90" w:rsidRDefault="00FC2C90">
      <w:pPr>
        <w:rPr>
          <w:noProof/>
        </w:rPr>
        <w:sectPr w:rsidR="00FC2C9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FC2C90" w:rsidRDefault="00DB129A">
      <w:pPr>
        <w:pStyle w:val="TOC1"/>
        <w:rPr>
          <w:noProof/>
          <w:szCs w:val="24"/>
        </w:rPr>
      </w:pPr>
      <w:r>
        <w:rPr>
          <w:noProof/>
        </w:rPr>
        <w:lastRenderedPageBreak/>
        <w:t>Съдържание</w:t>
      </w:r>
    </w:p>
    <w:sdt>
      <w:sdtPr>
        <w:rPr>
          <w:rFonts w:ascii="Calibri" w:eastAsia="Calibri" w:hAnsi="Calibri"/>
          <w:b w:val="0"/>
          <w:noProof/>
          <w:sz w:val="22"/>
          <w:szCs w:val="22"/>
        </w:rPr>
        <w:id w:val="701832266"/>
        <w:docPartObj>
          <w:docPartGallery w:val="Table of Contents"/>
          <w:docPartUnique/>
        </w:docPartObj>
      </w:sdtPr>
      <w:sdtEndPr>
        <w:rPr>
          <w:b/>
          <w:bCs/>
        </w:rPr>
      </w:sdtEndPr>
      <w:sdtContent>
        <w:p w:rsidR="00FC2C90" w:rsidRDefault="00DB129A">
          <w:pPr>
            <w:pStyle w:val="TOCHeading"/>
            <w:jc w:val="left"/>
            <w:rPr>
              <w:rStyle w:val="Hyperlink"/>
              <w:b w:val="0"/>
              <w:noProof/>
              <w:lang w:val="en-US"/>
            </w:rPr>
          </w:pPr>
          <w:r>
            <w:rPr>
              <w:b w:val="0"/>
              <w:noProof/>
            </w:rPr>
            <w:fldChar w:fldCharType="begin"/>
          </w:r>
          <w:r>
            <w:rPr>
              <w:b w:val="0"/>
              <w:noProof/>
            </w:rPr>
            <w:instrText xml:space="preserve"> TOC \o "1-3" \h \z \u </w:instrText>
          </w:r>
          <w:r>
            <w:rPr>
              <w:b w:val="0"/>
              <w:noProof/>
            </w:rPr>
            <w:fldChar w:fldCharType="separate"/>
          </w:r>
          <w:hyperlink w:anchor="_Toc438204723" w:history="1">
            <w:r w:rsidRPr="00DB129A">
              <w:rPr>
                <w:rStyle w:val="Hyperlink"/>
                <w:rFonts w:ascii="Calibri" w:eastAsia="Calibri" w:hAnsi="Calibri"/>
                <w:b w:val="0"/>
                <w:sz w:val="22"/>
                <w:szCs w:val="22"/>
              </w:rPr>
              <w:t>_Toc438204723</w:t>
            </w:r>
          </w:hyperlink>
        </w:p>
        <w:p w:rsidR="00FC2C90" w:rsidRDefault="00DB129A">
          <w:pPr>
            <w:pStyle w:val="TOC1"/>
            <w:ind w:left="0" w:firstLine="0"/>
            <w:rPr>
              <w:rFonts w:asciiTheme="minorHAnsi" w:eastAsiaTheme="minorEastAsia" w:hAnsiTheme="minorHAnsi" w:cstheme="minorBidi"/>
              <w:caps w:val="0"/>
              <w:noProof/>
              <w:sz w:val="22"/>
              <w:szCs w:val="22"/>
              <w:lang w:val="en-GB" w:eastAsia="en-GB" w:bidi="ar-SA"/>
            </w:rPr>
          </w:pPr>
          <w:hyperlink w:anchor="_Toc438204724" w:history="1">
            <w:r>
              <w:rPr>
                <w:rStyle w:val="Hyperlink"/>
                <w:noProof/>
                <w:lang w:val="en-US"/>
              </w:rPr>
              <w:t>1</w:t>
            </w:r>
            <w:r>
              <w:rPr>
                <w:rStyle w:val="Hyperlink"/>
                <w:noProof/>
              </w:rPr>
              <w:t>. Въведение</w:t>
            </w:r>
            <w:r>
              <w:rPr>
                <w:noProof/>
                <w:webHidden/>
              </w:rPr>
              <w:tab/>
            </w:r>
            <w:r>
              <w:rPr>
                <w:noProof/>
                <w:webHidden/>
              </w:rPr>
              <w:fldChar w:fldCharType="begin"/>
            </w:r>
            <w:r>
              <w:rPr>
                <w:noProof/>
                <w:webHidden/>
              </w:rPr>
              <w:instrText xml:space="preserve"> PAGEREF _Toc438204724 \h </w:instrText>
            </w:r>
            <w:r>
              <w:rPr>
                <w:noProof/>
                <w:webHidden/>
              </w:rPr>
            </w:r>
            <w:r>
              <w:rPr>
                <w:noProof/>
                <w:webHidden/>
              </w:rPr>
              <w:fldChar w:fldCharType="separate"/>
            </w:r>
            <w:r>
              <w:rPr>
                <w:noProof/>
                <w:webHidden/>
              </w:rPr>
              <w:t>3</w:t>
            </w:r>
            <w:r>
              <w:rPr>
                <w:noProof/>
                <w:webHidden/>
              </w:rPr>
              <w:fldChar w:fldCharType="end"/>
            </w:r>
          </w:hyperlink>
        </w:p>
        <w:p w:rsidR="00FC2C90" w:rsidRDefault="00DB129A">
          <w:pPr>
            <w:pStyle w:val="TOC1"/>
            <w:rPr>
              <w:rFonts w:asciiTheme="minorHAnsi" w:eastAsiaTheme="minorEastAsia" w:hAnsiTheme="minorHAnsi" w:cstheme="minorBidi"/>
              <w:caps w:val="0"/>
              <w:noProof/>
              <w:sz w:val="22"/>
              <w:szCs w:val="22"/>
              <w:lang w:val="en-GB" w:eastAsia="en-GB" w:bidi="ar-SA"/>
            </w:rPr>
          </w:pPr>
          <w:hyperlink w:anchor="_Toc438204724" w:history="1">
            <w:r>
              <w:rPr>
                <w:rStyle w:val="Hyperlink"/>
                <w:noProof/>
              </w:rPr>
              <w:t>2. Контекст</w:t>
            </w:r>
            <w:r>
              <w:rPr>
                <w:noProof/>
                <w:webHidden/>
              </w:rPr>
              <w:tab/>
            </w:r>
            <w:r>
              <w:rPr>
                <w:noProof/>
                <w:webHidden/>
              </w:rPr>
              <w:fldChar w:fldCharType="begin"/>
            </w:r>
            <w:r>
              <w:rPr>
                <w:noProof/>
                <w:webHidden/>
              </w:rPr>
              <w:instrText xml:space="preserve"> PAGEREF _Toc438204724 \h </w:instrText>
            </w:r>
            <w:r>
              <w:rPr>
                <w:noProof/>
                <w:webHidden/>
              </w:rPr>
            </w:r>
            <w:r>
              <w:rPr>
                <w:noProof/>
                <w:webHidden/>
              </w:rPr>
              <w:fldChar w:fldCharType="separate"/>
            </w:r>
            <w:r>
              <w:rPr>
                <w:noProof/>
                <w:webHidden/>
              </w:rPr>
              <w:t>3</w:t>
            </w:r>
            <w:r>
              <w:rPr>
                <w:noProof/>
                <w:webHidden/>
              </w:rPr>
              <w:fldChar w:fldCharType="end"/>
            </w:r>
          </w:hyperlink>
        </w:p>
        <w:p w:rsidR="00FC2C90" w:rsidRDefault="00DB129A">
          <w:pPr>
            <w:pStyle w:val="TOC1"/>
            <w:rPr>
              <w:rFonts w:asciiTheme="minorHAnsi" w:eastAsiaTheme="minorEastAsia" w:hAnsiTheme="minorHAnsi" w:cstheme="minorBidi"/>
              <w:caps w:val="0"/>
              <w:noProof/>
              <w:sz w:val="22"/>
              <w:szCs w:val="22"/>
              <w:lang w:val="en-GB" w:eastAsia="en-GB" w:bidi="ar-SA"/>
            </w:rPr>
          </w:pPr>
          <w:hyperlink w:anchor="_Toc438204725" w:history="1">
            <w:r>
              <w:rPr>
                <w:rStyle w:val="Hyperlink"/>
                <w:noProof/>
              </w:rPr>
              <w:t>3. Външната оценка на Директивата</w:t>
            </w:r>
            <w:r>
              <w:rPr>
                <w:noProof/>
                <w:webHidden/>
              </w:rPr>
              <w:tab/>
            </w:r>
            <w:r>
              <w:rPr>
                <w:noProof/>
                <w:webHidden/>
              </w:rPr>
              <w:fldChar w:fldCharType="begin"/>
            </w:r>
            <w:r>
              <w:rPr>
                <w:noProof/>
                <w:webHidden/>
              </w:rPr>
              <w:instrText xml:space="preserve"> PAGEREF _Toc438204725 \h </w:instrText>
            </w:r>
            <w:r>
              <w:rPr>
                <w:noProof/>
                <w:webHidden/>
              </w:rPr>
            </w:r>
            <w:r>
              <w:rPr>
                <w:noProof/>
                <w:webHidden/>
              </w:rPr>
              <w:fldChar w:fldCharType="separate"/>
            </w:r>
            <w:r>
              <w:rPr>
                <w:noProof/>
                <w:webHidden/>
              </w:rPr>
              <w:t>4</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26" w:history="1">
            <w:r>
              <w:rPr>
                <w:rStyle w:val="Hyperlink"/>
                <w:noProof/>
              </w:rPr>
              <w:t>3.1 Обхват на оценката</w:t>
            </w:r>
            <w:r>
              <w:rPr>
                <w:noProof/>
                <w:webHidden/>
              </w:rPr>
              <w:tab/>
            </w:r>
            <w:r>
              <w:rPr>
                <w:noProof/>
                <w:webHidden/>
              </w:rPr>
              <w:fldChar w:fldCharType="begin"/>
            </w:r>
            <w:r>
              <w:rPr>
                <w:noProof/>
                <w:webHidden/>
              </w:rPr>
              <w:instrText xml:space="preserve"> PAGEREF _Toc438204726 \h </w:instrText>
            </w:r>
            <w:r>
              <w:rPr>
                <w:noProof/>
                <w:webHidden/>
              </w:rPr>
            </w:r>
            <w:r>
              <w:rPr>
                <w:noProof/>
                <w:webHidden/>
              </w:rPr>
              <w:fldChar w:fldCharType="separate"/>
            </w:r>
            <w:r>
              <w:rPr>
                <w:noProof/>
                <w:webHidden/>
              </w:rPr>
              <w:t>5</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27" w:history="1">
            <w:r>
              <w:rPr>
                <w:rStyle w:val="Hyperlink"/>
                <w:noProof/>
              </w:rPr>
              <w:t>3.2 Me</w:t>
            </w:r>
            <w:r>
              <w:rPr>
                <w:rStyle w:val="Hyperlink"/>
                <w:noProof/>
              </w:rPr>
              <w:t>тодология</w:t>
            </w:r>
            <w:r>
              <w:rPr>
                <w:noProof/>
                <w:webHidden/>
              </w:rPr>
              <w:tab/>
            </w:r>
            <w:r>
              <w:rPr>
                <w:noProof/>
                <w:webHidden/>
              </w:rPr>
              <w:fldChar w:fldCharType="begin"/>
            </w:r>
            <w:r>
              <w:rPr>
                <w:noProof/>
                <w:webHidden/>
              </w:rPr>
              <w:instrText xml:space="preserve"> PAGEREF _Toc438204727 \h </w:instrText>
            </w:r>
            <w:r>
              <w:rPr>
                <w:noProof/>
                <w:webHidden/>
              </w:rPr>
            </w:r>
            <w:r>
              <w:rPr>
                <w:noProof/>
                <w:webHidden/>
              </w:rPr>
              <w:fldChar w:fldCharType="separate"/>
            </w:r>
            <w:r>
              <w:rPr>
                <w:noProof/>
                <w:webHidden/>
              </w:rPr>
              <w:t>5</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28" w:history="1">
            <w:r>
              <w:rPr>
                <w:rStyle w:val="Hyperlink"/>
                <w:smallCaps/>
                <w:noProof/>
              </w:rPr>
              <w:t xml:space="preserve">3.3 </w:t>
            </w:r>
            <w:r>
              <w:rPr>
                <w:rStyle w:val="Hyperlink"/>
                <w:noProof/>
              </w:rPr>
              <w:t>Резултати от оценката</w:t>
            </w:r>
            <w:r>
              <w:rPr>
                <w:noProof/>
                <w:webHidden/>
              </w:rPr>
              <w:tab/>
            </w:r>
            <w:r>
              <w:rPr>
                <w:noProof/>
                <w:webHidden/>
              </w:rPr>
              <w:fldChar w:fldCharType="begin"/>
            </w:r>
            <w:r>
              <w:rPr>
                <w:noProof/>
                <w:webHidden/>
              </w:rPr>
              <w:instrText xml:space="preserve"> PAGEREF _Toc438204728 \h </w:instrText>
            </w:r>
            <w:r>
              <w:rPr>
                <w:noProof/>
                <w:webHidden/>
              </w:rPr>
            </w:r>
            <w:r>
              <w:rPr>
                <w:noProof/>
                <w:webHidden/>
              </w:rPr>
              <w:fldChar w:fldCharType="separate"/>
            </w:r>
            <w:r>
              <w:rPr>
                <w:noProof/>
                <w:webHidden/>
              </w:rPr>
              <w:t>6</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29" w:history="1">
            <w:r>
              <w:rPr>
                <w:rStyle w:val="Hyperlink"/>
                <w:smallCaps/>
                <w:noProof/>
              </w:rPr>
              <w:t xml:space="preserve">3.4 </w:t>
            </w:r>
            <w:r>
              <w:rPr>
                <w:rStyle w:val="Hyperlink"/>
                <w:noProof/>
              </w:rPr>
              <w:t xml:space="preserve"> Обратна информация от заинтересованите страни във връзка с оценката</w:t>
            </w:r>
            <w:r>
              <w:rPr>
                <w:noProof/>
                <w:webHidden/>
              </w:rPr>
              <w:tab/>
            </w:r>
            <w:r>
              <w:rPr>
                <w:noProof/>
                <w:webHidden/>
              </w:rPr>
              <w:fldChar w:fldCharType="begin"/>
            </w:r>
            <w:r>
              <w:rPr>
                <w:noProof/>
                <w:webHidden/>
              </w:rPr>
              <w:instrText xml:space="preserve"> PAGEREF _Toc438204729 \h </w:instrText>
            </w:r>
            <w:r>
              <w:rPr>
                <w:noProof/>
                <w:webHidden/>
              </w:rPr>
            </w:r>
            <w:r>
              <w:rPr>
                <w:noProof/>
                <w:webHidden/>
              </w:rPr>
              <w:fldChar w:fldCharType="separate"/>
            </w:r>
            <w:r>
              <w:rPr>
                <w:noProof/>
                <w:webHidden/>
              </w:rPr>
              <w:t>7</w:t>
            </w:r>
            <w:r>
              <w:rPr>
                <w:noProof/>
                <w:webHidden/>
              </w:rPr>
              <w:fldChar w:fldCharType="end"/>
            </w:r>
          </w:hyperlink>
        </w:p>
        <w:p w:rsidR="00FC2C90" w:rsidRDefault="00DB129A">
          <w:pPr>
            <w:pStyle w:val="TOC1"/>
            <w:rPr>
              <w:rFonts w:asciiTheme="minorHAnsi" w:eastAsiaTheme="minorEastAsia" w:hAnsiTheme="minorHAnsi" w:cstheme="minorBidi"/>
              <w:caps w:val="0"/>
              <w:noProof/>
              <w:sz w:val="22"/>
              <w:szCs w:val="22"/>
              <w:lang w:val="en-GB" w:eastAsia="en-GB" w:bidi="ar-SA"/>
            </w:rPr>
          </w:pPr>
          <w:hyperlink w:anchor="_Toc438204730" w:history="1">
            <w:r>
              <w:rPr>
                <w:rStyle w:val="Hyperlink"/>
                <w:noProof/>
              </w:rPr>
              <w:t>4. Въпроси, възникващи във връзка с оценката: определения</w:t>
            </w:r>
            <w:r>
              <w:rPr>
                <w:noProof/>
                <w:webHidden/>
              </w:rPr>
              <w:tab/>
            </w:r>
            <w:r>
              <w:rPr>
                <w:noProof/>
                <w:webHidden/>
              </w:rPr>
              <w:fldChar w:fldCharType="begin"/>
            </w:r>
            <w:r>
              <w:rPr>
                <w:noProof/>
                <w:webHidden/>
              </w:rPr>
              <w:instrText xml:space="preserve"> PAGEREF _Toc438204730 \h </w:instrText>
            </w:r>
            <w:r>
              <w:rPr>
                <w:noProof/>
                <w:webHidden/>
              </w:rPr>
            </w:r>
            <w:r>
              <w:rPr>
                <w:noProof/>
                <w:webHidden/>
              </w:rPr>
              <w:fldChar w:fldCharType="separate"/>
            </w:r>
            <w:r>
              <w:rPr>
                <w:noProof/>
                <w:webHidden/>
              </w:rPr>
              <w:t>8</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31" w:history="1">
            <w:r>
              <w:rPr>
                <w:rStyle w:val="Hyperlink"/>
                <w:noProof/>
              </w:rPr>
              <w:t>4.1 Функциониране на настоящите определения</w:t>
            </w:r>
            <w:r>
              <w:rPr>
                <w:noProof/>
                <w:webHidden/>
              </w:rPr>
              <w:tab/>
            </w:r>
            <w:r>
              <w:rPr>
                <w:noProof/>
                <w:webHidden/>
              </w:rPr>
              <w:fldChar w:fldCharType="begin"/>
            </w:r>
            <w:r>
              <w:rPr>
                <w:noProof/>
                <w:webHidden/>
              </w:rPr>
              <w:instrText xml:space="preserve"> PAGEREF _Toc438204731 \h </w:instrText>
            </w:r>
            <w:r>
              <w:rPr>
                <w:noProof/>
                <w:webHidden/>
              </w:rPr>
            </w:r>
            <w:r>
              <w:rPr>
                <w:noProof/>
                <w:webHidden/>
              </w:rPr>
              <w:fldChar w:fldCharType="separate"/>
            </w:r>
            <w:r>
              <w:rPr>
                <w:noProof/>
                <w:webHidden/>
              </w:rPr>
              <w:t>8</w:t>
            </w:r>
            <w:r>
              <w:rPr>
                <w:noProof/>
                <w:webHidden/>
              </w:rPr>
              <w:fldChar w:fldCharType="end"/>
            </w:r>
          </w:hyperlink>
        </w:p>
        <w:p w:rsidR="00FC2C90" w:rsidRDefault="00DB129A">
          <w:pPr>
            <w:pStyle w:val="TOC3"/>
            <w:rPr>
              <w:rFonts w:asciiTheme="minorHAnsi" w:eastAsiaTheme="minorEastAsia" w:hAnsiTheme="minorHAnsi" w:cstheme="minorBidi"/>
              <w:noProof/>
              <w:sz w:val="22"/>
              <w:szCs w:val="22"/>
              <w:lang w:val="en-GB" w:eastAsia="en-GB" w:bidi="ar-SA"/>
            </w:rPr>
          </w:pPr>
          <w:hyperlink w:anchor="_Toc438204732" w:history="1">
            <w:r>
              <w:rPr>
                <w:rStyle w:val="Hyperlink"/>
                <w:i/>
                <w:noProof/>
              </w:rPr>
              <w:t>4.1.1 Субективни критерии</w:t>
            </w:r>
            <w:r>
              <w:rPr>
                <w:noProof/>
                <w:webHidden/>
              </w:rPr>
              <w:tab/>
            </w:r>
            <w:r>
              <w:rPr>
                <w:noProof/>
                <w:webHidden/>
              </w:rPr>
              <w:fldChar w:fldCharType="begin"/>
            </w:r>
            <w:r>
              <w:rPr>
                <w:noProof/>
                <w:webHidden/>
              </w:rPr>
              <w:instrText xml:space="preserve"> PAGEREF _Toc438204732 \h </w:instrText>
            </w:r>
            <w:r>
              <w:rPr>
                <w:noProof/>
                <w:webHidden/>
              </w:rPr>
            </w:r>
            <w:r>
              <w:rPr>
                <w:noProof/>
                <w:webHidden/>
              </w:rPr>
              <w:fldChar w:fldCharType="separate"/>
            </w:r>
            <w:r>
              <w:rPr>
                <w:noProof/>
                <w:webHidden/>
              </w:rPr>
              <w:t>8</w:t>
            </w:r>
            <w:r>
              <w:rPr>
                <w:noProof/>
                <w:webHidden/>
              </w:rPr>
              <w:fldChar w:fldCharType="end"/>
            </w:r>
          </w:hyperlink>
        </w:p>
        <w:p w:rsidR="00FC2C90" w:rsidRDefault="00DB129A">
          <w:pPr>
            <w:pStyle w:val="TOC3"/>
            <w:rPr>
              <w:rFonts w:asciiTheme="minorHAnsi" w:eastAsiaTheme="minorEastAsia" w:hAnsiTheme="minorHAnsi" w:cstheme="minorBidi"/>
              <w:noProof/>
              <w:sz w:val="22"/>
              <w:szCs w:val="22"/>
              <w:lang w:val="en-GB" w:eastAsia="en-GB" w:bidi="ar-SA"/>
            </w:rPr>
          </w:pPr>
          <w:hyperlink w:anchor="_Toc438204733" w:history="1">
            <w:r>
              <w:rPr>
                <w:rStyle w:val="Hyperlink"/>
                <w:i/>
                <w:noProof/>
              </w:rPr>
              <w:t>4.1.2 Несъответствия между мита и акцизи</w:t>
            </w:r>
            <w:r>
              <w:rPr>
                <w:noProof/>
                <w:webHidden/>
              </w:rPr>
              <w:tab/>
            </w:r>
            <w:r>
              <w:rPr>
                <w:noProof/>
                <w:webHidden/>
              </w:rPr>
              <w:fldChar w:fldCharType="begin"/>
            </w:r>
            <w:r>
              <w:rPr>
                <w:noProof/>
                <w:webHidden/>
              </w:rPr>
              <w:instrText xml:space="preserve"> PAGEREF _Toc438204733 \h </w:instrText>
            </w:r>
            <w:r>
              <w:rPr>
                <w:noProof/>
                <w:webHidden/>
              </w:rPr>
            </w:r>
            <w:r>
              <w:rPr>
                <w:noProof/>
                <w:webHidden/>
              </w:rPr>
              <w:fldChar w:fldCharType="separate"/>
            </w:r>
            <w:r>
              <w:rPr>
                <w:noProof/>
                <w:webHidden/>
              </w:rPr>
              <w:t>9</w:t>
            </w:r>
            <w:r>
              <w:rPr>
                <w:noProof/>
                <w:webHidden/>
              </w:rPr>
              <w:fldChar w:fldCharType="end"/>
            </w:r>
          </w:hyperlink>
        </w:p>
        <w:p w:rsidR="00FC2C90" w:rsidRDefault="00DB129A">
          <w:pPr>
            <w:pStyle w:val="TOC3"/>
            <w:rPr>
              <w:rFonts w:asciiTheme="minorHAnsi" w:eastAsiaTheme="minorEastAsia" w:hAnsiTheme="minorHAnsi" w:cstheme="minorBidi"/>
              <w:noProof/>
              <w:sz w:val="22"/>
              <w:szCs w:val="22"/>
              <w:lang w:val="en-GB" w:eastAsia="en-GB" w:bidi="ar-SA"/>
            </w:rPr>
          </w:pPr>
          <w:hyperlink w:anchor="_Toc438204734" w:history="1">
            <w:r>
              <w:rPr>
                <w:rStyle w:val="Hyperlink"/>
                <w:i/>
                <w:noProof/>
              </w:rPr>
              <w:t>4.1.3 Минимални акцизи</w:t>
            </w:r>
            <w:r>
              <w:rPr>
                <w:noProof/>
                <w:webHidden/>
              </w:rPr>
              <w:tab/>
            </w:r>
            <w:r>
              <w:rPr>
                <w:noProof/>
                <w:webHidden/>
              </w:rPr>
              <w:fldChar w:fldCharType="begin"/>
            </w:r>
            <w:r>
              <w:rPr>
                <w:noProof/>
                <w:webHidden/>
              </w:rPr>
              <w:instrText xml:space="preserve"> PAGEREF _Toc438204734 \h </w:instrText>
            </w:r>
            <w:r>
              <w:rPr>
                <w:noProof/>
                <w:webHidden/>
              </w:rPr>
            </w:r>
            <w:r>
              <w:rPr>
                <w:noProof/>
                <w:webHidden/>
              </w:rPr>
              <w:fldChar w:fldCharType="separate"/>
            </w:r>
            <w:r>
              <w:rPr>
                <w:noProof/>
                <w:webHidden/>
              </w:rPr>
              <w:t>9</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35" w:history="1">
            <w:r>
              <w:rPr>
                <w:rStyle w:val="Hyperlink"/>
                <w:noProof/>
              </w:rPr>
              <w:t>4.2 Липса на определения</w:t>
            </w:r>
            <w:bookmarkStart w:id="1" w:name="_GoBack"/>
            <w:bookmarkEnd w:id="1"/>
            <w:r>
              <w:rPr>
                <w:noProof/>
                <w:webHidden/>
              </w:rPr>
              <w:tab/>
            </w:r>
            <w:r>
              <w:rPr>
                <w:noProof/>
                <w:webHidden/>
              </w:rPr>
              <w:fldChar w:fldCharType="begin"/>
            </w:r>
            <w:r>
              <w:rPr>
                <w:noProof/>
                <w:webHidden/>
              </w:rPr>
              <w:instrText xml:space="preserve"> PAGEREF _Toc438204735 \h </w:instrText>
            </w:r>
            <w:r>
              <w:rPr>
                <w:noProof/>
                <w:webHidden/>
              </w:rPr>
            </w:r>
            <w:r>
              <w:rPr>
                <w:noProof/>
                <w:webHidden/>
              </w:rPr>
              <w:fldChar w:fldCharType="separate"/>
            </w:r>
            <w:r>
              <w:rPr>
                <w:noProof/>
                <w:webHidden/>
              </w:rPr>
              <w:t>10</w:t>
            </w:r>
            <w:r>
              <w:rPr>
                <w:noProof/>
                <w:webHidden/>
              </w:rPr>
              <w:fldChar w:fldCharType="end"/>
            </w:r>
          </w:hyperlink>
        </w:p>
        <w:p w:rsidR="00FC2C90" w:rsidRDefault="00DB129A">
          <w:pPr>
            <w:pStyle w:val="TOC1"/>
            <w:rPr>
              <w:rFonts w:asciiTheme="minorHAnsi" w:eastAsiaTheme="minorEastAsia" w:hAnsiTheme="minorHAnsi" w:cstheme="minorBidi"/>
              <w:caps w:val="0"/>
              <w:noProof/>
              <w:sz w:val="22"/>
              <w:szCs w:val="22"/>
              <w:lang w:val="en-GB" w:eastAsia="en-GB" w:bidi="ar-SA"/>
            </w:rPr>
          </w:pPr>
          <w:hyperlink w:anchor="_Toc438204736" w:history="1">
            <w:r>
              <w:rPr>
                <w:rStyle w:val="Hyperlink"/>
                <w:noProof/>
              </w:rPr>
              <w:t>5. З</w:t>
            </w:r>
            <w:r>
              <w:rPr>
                <w:rStyle w:val="Hyperlink"/>
                <w:noProof/>
              </w:rPr>
              <w:t>аключения и препоръки на оценката</w:t>
            </w:r>
            <w:r>
              <w:rPr>
                <w:noProof/>
                <w:webHidden/>
              </w:rPr>
              <w:tab/>
            </w:r>
            <w:r>
              <w:rPr>
                <w:noProof/>
                <w:webHidden/>
              </w:rPr>
              <w:fldChar w:fldCharType="begin"/>
            </w:r>
            <w:r>
              <w:rPr>
                <w:noProof/>
                <w:webHidden/>
              </w:rPr>
              <w:instrText xml:space="preserve"> PAGEREF _Toc438204736 \h </w:instrText>
            </w:r>
            <w:r>
              <w:rPr>
                <w:noProof/>
                <w:webHidden/>
              </w:rPr>
            </w:r>
            <w:r>
              <w:rPr>
                <w:noProof/>
                <w:webHidden/>
              </w:rPr>
              <w:fldChar w:fldCharType="separate"/>
            </w:r>
            <w:r>
              <w:rPr>
                <w:noProof/>
                <w:webHidden/>
              </w:rPr>
              <w:t>11</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37" w:history="1">
            <w:r>
              <w:rPr>
                <w:rStyle w:val="Hyperlink"/>
                <w:noProof/>
              </w:rPr>
              <w:t>5.1 Качество на оценката</w:t>
            </w:r>
            <w:r>
              <w:rPr>
                <w:noProof/>
                <w:webHidden/>
              </w:rPr>
              <w:tab/>
            </w:r>
            <w:r>
              <w:rPr>
                <w:noProof/>
                <w:webHidden/>
              </w:rPr>
              <w:fldChar w:fldCharType="begin"/>
            </w:r>
            <w:r>
              <w:rPr>
                <w:noProof/>
                <w:webHidden/>
              </w:rPr>
              <w:instrText xml:space="preserve"> PAGEREF _Toc438204737 \h </w:instrText>
            </w:r>
            <w:r>
              <w:rPr>
                <w:noProof/>
                <w:webHidden/>
              </w:rPr>
            </w:r>
            <w:r>
              <w:rPr>
                <w:noProof/>
                <w:webHidden/>
              </w:rPr>
              <w:fldChar w:fldCharType="separate"/>
            </w:r>
            <w:r>
              <w:rPr>
                <w:noProof/>
                <w:webHidden/>
              </w:rPr>
              <w:t>11</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38" w:history="1">
            <w:r>
              <w:rPr>
                <w:rStyle w:val="Hyperlink"/>
                <w:noProof/>
              </w:rPr>
              <w:t>5.2 Препоръки</w:t>
            </w:r>
            <w:r>
              <w:rPr>
                <w:noProof/>
                <w:webHidden/>
              </w:rPr>
              <w:tab/>
            </w:r>
            <w:r>
              <w:rPr>
                <w:noProof/>
                <w:webHidden/>
              </w:rPr>
              <w:fldChar w:fldCharType="begin"/>
            </w:r>
            <w:r>
              <w:rPr>
                <w:noProof/>
                <w:webHidden/>
              </w:rPr>
              <w:instrText xml:space="preserve"> PAGEREF _Toc438204738 \h </w:instrText>
            </w:r>
            <w:r>
              <w:rPr>
                <w:noProof/>
                <w:webHidden/>
              </w:rPr>
            </w:r>
            <w:r>
              <w:rPr>
                <w:noProof/>
                <w:webHidden/>
              </w:rPr>
              <w:fldChar w:fldCharType="separate"/>
            </w:r>
            <w:r>
              <w:rPr>
                <w:noProof/>
                <w:webHidden/>
              </w:rPr>
              <w:t>12</w:t>
            </w:r>
            <w:r>
              <w:rPr>
                <w:noProof/>
                <w:webHidden/>
              </w:rPr>
              <w:fldChar w:fldCharType="end"/>
            </w:r>
          </w:hyperlink>
        </w:p>
        <w:p w:rsidR="00FC2C90" w:rsidRDefault="00DB129A">
          <w:pPr>
            <w:pStyle w:val="TOC1"/>
            <w:rPr>
              <w:rFonts w:asciiTheme="minorHAnsi" w:eastAsiaTheme="minorEastAsia" w:hAnsiTheme="minorHAnsi" w:cstheme="minorBidi"/>
              <w:caps w:val="0"/>
              <w:noProof/>
              <w:sz w:val="22"/>
              <w:szCs w:val="22"/>
              <w:lang w:val="en-GB" w:eastAsia="en-GB" w:bidi="ar-SA"/>
            </w:rPr>
          </w:pPr>
          <w:hyperlink w:anchor="_Toc438204739" w:history="1">
            <w:r>
              <w:rPr>
                <w:rStyle w:val="Hyperlink"/>
                <w:noProof/>
              </w:rPr>
              <w:t>6. Последващи действия и окончателни заключения</w:t>
            </w:r>
            <w:r>
              <w:rPr>
                <w:noProof/>
                <w:webHidden/>
              </w:rPr>
              <w:tab/>
            </w:r>
            <w:r>
              <w:rPr>
                <w:noProof/>
                <w:webHidden/>
              </w:rPr>
              <w:fldChar w:fldCharType="begin"/>
            </w:r>
            <w:r>
              <w:rPr>
                <w:noProof/>
                <w:webHidden/>
              </w:rPr>
              <w:instrText xml:space="preserve"> PAGEREF _Toc438204739 \h </w:instrText>
            </w:r>
            <w:r>
              <w:rPr>
                <w:noProof/>
                <w:webHidden/>
              </w:rPr>
            </w:r>
            <w:r>
              <w:rPr>
                <w:noProof/>
                <w:webHidden/>
              </w:rPr>
              <w:fldChar w:fldCharType="separate"/>
            </w:r>
            <w:r>
              <w:rPr>
                <w:noProof/>
                <w:webHidden/>
              </w:rPr>
              <w:t>15</w:t>
            </w:r>
            <w:r>
              <w:rPr>
                <w:noProof/>
                <w:webHidden/>
              </w:rPr>
              <w:fldChar w:fldCharType="end"/>
            </w:r>
          </w:hyperlink>
        </w:p>
        <w:p w:rsidR="00FC2C90" w:rsidRDefault="00DB129A">
          <w:pPr>
            <w:pStyle w:val="TOC1"/>
            <w:rPr>
              <w:rFonts w:asciiTheme="minorHAnsi" w:eastAsiaTheme="minorEastAsia" w:hAnsiTheme="minorHAnsi" w:cstheme="minorBidi"/>
              <w:caps w:val="0"/>
              <w:noProof/>
              <w:sz w:val="22"/>
              <w:szCs w:val="22"/>
              <w:lang w:val="en-GB" w:eastAsia="en-GB" w:bidi="ar-SA"/>
            </w:rPr>
          </w:pPr>
          <w:hyperlink w:anchor="_Toc438204740" w:history="1">
            <w:r>
              <w:rPr>
                <w:rStyle w:val="Hyperlink"/>
                <w:noProof/>
              </w:rPr>
              <w:t>Приложение I. Тенденции и статистически данни</w:t>
            </w:r>
            <w:r>
              <w:rPr>
                <w:noProof/>
                <w:webHidden/>
              </w:rPr>
              <w:tab/>
            </w:r>
            <w:r>
              <w:rPr>
                <w:noProof/>
                <w:webHidden/>
              </w:rPr>
              <w:fldChar w:fldCharType="begin"/>
            </w:r>
            <w:r>
              <w:rPr>
                <w:noProof/>
                <w:webHidden/>
              </w:rPr>
              <w:instrText xml:space="preserve"> PAGEREF _Toc438204740 \h </w:instrText>
            </w:r>
            <w:r>
              <w:rPr>
                <w:noProof/>
                <w:webHidden/>
              </w:rPr>
            </w:r>
            <w:r>
              <w:rPr>
                <w:noProof/>
                <w:webHidden/>
              </w:rPr>
              <w:fldChar w:fldCharType="separate"/>
            </w:r>
            <w:r>
              <w:rPr>
                <w:noProof/>
                <w:webHidden/>
              </w:rPr>
              <w:t>17</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41" w:history="1">
            <w:r>
              <w:rPr>
                <w:rStyle w:val="Hyperlink"/>
                <w:smallCaps/>
                <w:noProof/>
              </w:rPr>
              <w:t>Приложение i.i – среднопретеглена цена на цигарите</w:t>
            </w:r>
            <w:r>
              <w:rPr>
                <w:noProof/>
                <w:webHidden/>
              </w:rPr>
              <w:tab/>
            </w:r>
            <w:r>
              <w:rPr>
                <w:noProof/>
                <w:webHidden/>
              </w:rPr>
              <w:fldChar w:fldCharType="begin"/>
            </w:r>
            <w:r>
              <w:rPr>
                <w:noProof/>
                <w:webHidden/>
              </w:rPr>
              <w:instrText xml:space="preserve"> PAGEREF </w:instrText>
            </w:r>
            <w:r>
              <w:rPr>
                <w:noProof/>
                <w:webHidden/>
              </w:rPr>
              <w:instrText xml:space="preserve">_Toc438204741 \h </w:instrText>
            </w:r>
            <w:r>
              <w:rPr>
                <w:noProof/>
                <w:webHidden/>
              </w:rPr>
            </w:r>
            <w:r>
              <w:rPr>
                <w:noProof/>
                <w:webHidden/>
              </w:rPr>
              <w:fldChar w:fldCharType="separate"/>
            </w:r>
            <w:r>
              <w:rPr>
                <w:noProof/>
                <w:webHidden/>
              </w:rPr>
              <w:t>19</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42" w:history="1">
            <w:r>
              <w:rPr>
                <w:rStyle w:val="Hyperlink"/>
                <w:rFonts w:ascii="Times New Roman Bold" w:hAnsi="Times New Roman Bold"/>
                <w:smallCaps/>
                <w:noProof/>
              </w:rPr>
              <w:t>Приложение i.ii — данъчна тежест върху цигарите</w:t>
            </w:r>
            <w:r>
              <w:rPr>
                <w:noProof/>
                <w:webHidden/>
              </w:rPr>
              <w:tab/>
            </w:r>
            <w:r>
              <w:rPr>
                <w:noProof/>
                <w:webHidden/>
              </w:rPr>
              <w:fldChar w:fldCharType="begin"/>
            </w:r>
            <w:r>
              <w:rPr>
                <w:noProof/>
                <w:webHidden/>
              </w:rPr>
              <w:instrText xml:space="preserve"> PAGEREF _Toc438204742 \h </w:instrText>
            </w:r>
            <w:r>
              <w:rPr>
                <w:noProof/>
                <w:webHidden/>
              </w:rPr>
            </w:r>
            <w:r>
              <w:rPr>
                <w:noProof/>
                <w:webHidden/>
              </w:rPr>
              <w:fldChar w:fldCharType="separate"/>
            </w:r>
            <w:r>
              <w:rPr>
                <w:noProof/>
                <w:webHidden/>
              </w:rPr>
              <w:t>20</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44" w:history="1">
            <w:r>
              <w:rPr>
                <w:rStyle w:val="Hyperlink"/>
                <w:rFonts w:ascii="Times New Roman Bold" w:hAnsi="Times New Roman Bold"/>
                <w:smallCaps/>
                <w:noProof/>
              </w:rPr>
              <w:t>Приложение i.iii – освободени за потребление цигари</w:t>
            </w:r>
            <w:r>
              <w:rPr>
                <w:noProof/>
                <w:webHidden/>
              </w:rPr>
              <w:tab/>
            </w:r>
            <w:r>
              <w:rPr>
                <w:noProof/>
                <w:webHidden/>
              </w:rPr>
              <w:fldChar w:fldCharType="begin"/>
            </w:r>
            <w:r>
              <w:rPr>
                <w:noProof/>
                <w:webHidden/>
              </w:rPr>
              <w:instrText xml:space="preserve"> PAGEREF _Toc438204744 \h </w:instrText>
            </w:r>
            <w:r>
              <w:rPr>
                <w:noProof/>
                <w:webHidden/>
              </w:rPr>
            </w:r>
            <w:r>
              <w:rPr>
                <w:noProof/>
                <w:webHidden/>
              </w:rPr>
              <w:fldChar w:fldCharType="separate"/>
            </w:r>
            <w:r>
              <w:rPr>
                <w:noProof/>
                <w:webHidden/>
              </w:rPr>
              <w:t>21</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45" w:history="1">
            <w:r>
              <w:rPr>
                <w:rStyle w:val="Hyperlink"/>
                <w:rFonts w:ascii="Times New Roman Bold" w:hAnsi="Times New Roman Bold"/>
                <w:smallCaps/>
                <w:noProof/>
              </w:rPr>
              <w:t xml:space="preserve"> Приложение i.iv – пакети цигари на глава от пълнолетното население</w:t>
            </w:r>
            <w:r>
              <w:rPr>
                <w:noProof/>
                <w:webHidden/>
              </w:rPr>
              <w:tab/>
            </w:r>
            <w:r>
              <w:rPr>
                <w:noProof/>
                <w:webHidden/>
              </w:rPr>
              <w:fldChar w:fldCharType="begin"/>
            </w:r>
            <w:r>
              <w:rPr>
                <w:noProof/>
                <w:webHidden/>
              </w:rPr>
              <w:instrText xml:space="preserve"> PAGEREF _Toc438204745 \h </w:instrText>
            </w:r>
            <w:r>
              <w:rPr>
                <w:noProof/>
                <w:webHidden/>
              </w:rPr>
            </w:r>
            <w:r>
              <w:rPr>
                <w:noProof/>
                <w:webHidden/>
              </w:rPr>
              <w:fldChar w:fldCharType="separate"/>
            </w:r>
            <w:r>
              <w:rPr>
                <w:noProof/>
                <w:webHidden/>
              </w:rPr>
              <w:t>22</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46" w:history="1">
            <w:r>
              <w:rPr>
                <w:rStyle w:val="Hyperlink"/>
                <w:rFonts w:ascii="Times New Roman Bold" w:hAnsi="Times New Roman Bold"/>
                <w:smallCaps/>
                <w:noProof/>
              </w:rPr>
              <w:t>Приложение i.v – освободен за потребление фино нарязан тютюн</w:t>
            </w:r>
            <w:r>
              <w:rPr>
                <w:noProof/>
                <w:webHidden/>
              </w:rPr>
              <w:tab/>
            </w:r>
            <w:r>
              <w:rPr>
                <w:noProof/>
                <w:webHidden/>
              </w:rPr>
              <w:fldChar w:fldCharType="begin"/>
            </w:r>
            <w:r>
              <w:rPr>
                <w:noProof/>
                <w:webHidden/>
              </w:rPr>
              <w:instrText xml:space="preserve"> PAGEREF _Toc438204746 \h </w:instrText>
            </w:r>
            <w:r>
              <w:rPr>
                <w:noProof/>
                <w:webHidden/>
              </w:rPr>
            </w:r>
            <w:r>
              <w:rPr>
                <w:noProof/>
                <w:webHidden/>
              </w:rPr>
              <w:fldChar w:fldCharType="separate"/>
            </w:r>
            <w:r>
              <w:rPr>
                <w:noProof/>
                <w:webHidden/>
              </w:rPr>
              <w:t>23</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47" w:history="1">
            <w:r>
              <w:rPr>
                <w:rStyle w:val="Hyperlink"/>
                <w:smallCaps/>
                <w:noProof/>
              </w:rPr>
              <w:t>Приложение i.vi – фино нар</w:t>
            </w:r>
            <w:r>
              <w:rPr>
                <w:rStyle w:val="Hyperlink"/>
                <w:smallCaps/>
                <w:noProof/>
              </w:rPr>
              <w:t>язан тютюн на глава от пълнолетното население</w:t>
            </w:r>
            <w:r>
              <w:rPr>
                <w:noProof/>
                <w:webHidden/>
              </w:rPr>
              <w:tab/>
            </w:r>
            <w:r>
              <w:rPr>
                <w:noProof/>
                <w:webHidden/>
              </w:rPr>
              <w:fldChar w:fldCharType="begin"/>
            </w:r>
            <w:r>
              <w:rPr>
                <w:noProof/>
                <w:webHidden/>
              </w:rPr>
              <w:instrText xml:space="preserve"> PAGEREF _Toc438204747 \h </w:instrText>
            </w:r>
            <w:r>
              <w:rPr>
                <w:noProof/>
                <w:webHidden/>
              </w:rPr>
            </w:r>
            <w:r>
              <w:rPr>
                <w:noProof/>
                <w:webHidden/>
              </w:rPr>
              <w:fldChar w:fldCharType="separate"/>
            </w:r>
            <w:r>
              <w:rPr>
                <w:noProof/>
                <w:webHidden/>
              </w:rPr>
              <w:t>24</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48" w:history="1">
            <w:r>
              <w:rPr>
                <w:rStyle w:val="Hyperlink"/>
                <w:rFonts w:ascii="Times New Roman Bold" w:hAnsi="Times New Roman Bold"/>
                <w:smallCaps/>
                <w:noProof/>
              </w:rPr>
              <w:t>Приложение i.vii – данъчни приходи</w:t>
            </w:r>
            <w:r>
              <w:rPr>
                <w:noProof/>
                <w:webHidden/>
              </w:rPr>
              <w:tab/>
            </w:r>
            <w:r>
              <w:rPr>
                <w:noProof/>
                <w:webHidden/>
              </w:rPr>
              <w:fldChar w:fldCharType="begin"/>
            </w:r>
            <w:r>
              <w:rPr>
                <w:noProof/>
                <w:webHidden/>
              </w:rPr>
              <w:instrText xml:space="preserve"> PAGEREF _Toc438204748 \h </w:instrText>
            </w:r>
            <w:r>
              <w:rPr>
                <w:noProof/>
                <w:webHidden/>
              </w:rPr>
            </w:r>
            <w:r>
              <w:rPr>
                <w:noProof/>
                <w:webHidden/>
              </w:rPr>
              <w:fldChar w:fldCharType="separate"/>
            </w:r>
            <w:r>
              <w:rPr>
                <w:noProof/>
                <w:webHidden/>
              </w:rPr>
              <w:t>25</w:t>
            </w:r>
            <w:r>
              <w:rPr>
                <w:noProof/>
                <w:webHidden/>
              </w:rPr>
              <w:fldChar w:fldCharType="end"/>
            </w:r>
          </w:hyperlink>
        </w:p>
        <w:p w:rsidR="00FC2C90" w:rsidRDefault="00DB129A">
          <w:pPr>
            <w:pStyle w:val="TOC2"/>
            <w:rPr>
              <w:rFonts w:asciiTheme="minorHAnsi" w:eastAsiaTheme="minorEastAsia" w:hAnsiTheme="minorHAnsi" w:cstheme="minorBidi"/>
              <w:noProof/>
              <w:sz w:val="22"/>
              <w:szCs w:val="22"/>
              <w:lang w:val="en-GB" w:eastAsia="en-GB" w:bidi="ar-SA"/>
            </w:rPr>
          </w:pPr>
          <w:hyperlink w:anchor="_Toc438204749" w:history="1">
            <w:r>
              <w:rPr>
                <w:rStyle w:val="Hyperlink"/>
                <w:rFonts w:ascii="Times New Roman Bold" w:hAnsi="Times New Roman Bold"/>
                <w:smallCaps/>
                <w:noProof/>
              </w:rPr>
              <w:t>Приложение i.viii – данъчни приходи от обработен тютюн като процент от общите данъчни приходиs</w:t>
            </w:r>
            <w:r>
              <w:rPr>
                <w:noProof/>
                <w:webHidden/>
              </w:rPr>
              <w:tab/>
            </w:r>
            <w:r>
              <w:rPr>
                <w:noProof/>
                <w:webHidden/>
              </w:rPr>
              <w:fldChar w:fldCharType="begin"/>
            </w:r>
            <w:r>
              <w:rPr>
                <w:noProof/>
                <w:webHidden/>
              </w:rPr>
              <w:instrText xml:space="preserve"> PAGEREF _Toc438204749 \h </w:instrText>
            </w:r>
            <w:r>
              <w:rPr>
                <w:noProof/>
                <w:webHidden/>
              </w:rPr>
            </w:r>
            <w:r>
              <w:rPr>
                <w:noProof/>
                <w:webHidden/>
              </w:rPr>
              <w:fldChar w:fldCharType="separate"/>
            </w:r>
            <w:r>
              <w:rPr>
                <w:noProof/>
                <w:webHidden/>
              </w:rPr>
              <w:t>26</w:t>
            </w:r>
            <w:r>
              <w:rPr>
                <w:noProof/>
                <w:webHidden/>
              </w:rPr>
              <w:fldChar w:fldCharType="end"/>
            </w:r>
          </w:hyperlink>
        </w:p>
        <w:p w:rsidR="00FC2C90" w:rsidRDefault="00DB129A">
          <w:pPr>
            <w:rPr>
              <w:noProof/>
            </w:rPr>
          </w:pPr>
          <w:r>
            <w:rPr>
              <w:bCs/>
              <w:noProof/>
            </w:rPr>
            <w:fldChar w:fldCharType="end"/>
          </w:r>
        </w:p>
      </w:sdtContent>
    </w:sdt>
    <w:p w:rsidR="00FC2C90" w:rsidRDefault="00DB129A">
      <w:pPr>
        <w:pStyle w:val="Heading1"/>
        <w:rPr>
          <w:noProof/>
        </w:rPr>
      </w:pPr>
      <w:r>
        <w:rPr>
          <w:noProof/>
        </w:rPr>
        <w:br w:type="page"/>
      </w:r>
      <w:bookmarkStart w:id="2" w:name="_Toc433017690"/>
      <w:bookmarkStart w:id="3" w:name="_Toc438204723"/>
      <w:r>
        <w:rPr>
          <w:noProof/>
        </w:rPr>
        <w:lastRenderedPageBreak/>
        <w:t xml:space="preserve">1. </w:t>
      </w:r>
      <w:r>
        <w:rPr>
          <w:noProof/>
          <w:u w:val="single"/>
        </w:rPr>
        <w:t>Въведение</w:t>
      </w:r>
      <w:bookmarkEnd w:id="2"/>
      <w:bookmarkEnd w:id="3"/>
    </w:p>
    <w:p w:rsidR="00FC2C90" w:rsidRDefault="00DB129A">
      <w:pPr>
        <w:pStyle w:val="Default"/>
        <w:jc w:val="both"/>
        <w:rPr>
          <w:rFonts w:ascii="Times New Roman" w:hAnsi="Times New Roman" w:cs="Times New Roman"/>
          <w:noProof/>
        </w:rPr>
      </w:pPr>
      <w:r>
        <w:rPr>
          <w:noProof/>
        </w:rPr>
        <w:t xml:space="preserve">Съгласно член 19, параграф 1 от </w:t>
      </w:r>
      <w:hyperlink r:id="rId16">
        <w:r>
          <w:rPr>
            <w:rStyle w:val="Hyperlink"/>
            <w:rFonts w:ascii="Times New Roman" w:hAnsi="Times New Roman"/>
            <w:noProof/>
          </w:rPr>
          <w:t>Директива 2011/64/EС</w:t>
        </w:r>
      </w:hyperlink>
      <w:r>
        <w:rPr>
          <w:rStyle w:val="FootnoteReference"/>
          <w:rFonts w:ascii="Times New Roman" w:hAnsi="Times New Roman"/>
          <w:noProof/>
        </w:rPr>
        <w:footnoteReference w:id="2"/>
      </w:r>
      <w:r>
        <w:rPr>
          <w:noProof/>
        </w:rPr>
        <w:t xml:space="preserve"> на всеки четири години Комисията трябва да представя на Съвета доклад относно установените в Директивата ставки и структура на акцизите.</w:t>
      </w:r>
      <w:r>
        <w:rPr>
          <w:rFonts w:ascii="Times New Roman" w:hAnsi="Times New Roman"/>
          <w:noProof/>
        </w:rPr>
        <w:t xml:space="preserve"> В доклада трябва да се отчитат правилното функциониране на вътрешния пазар, реалната стойност на ставките на акцизите </w:t>
      </w:r>
      <w:r>
        <w:rPr>
          <w:rFonts w:ascii="Times New Roman" w:hAnsi="Times New Roman"/>
          <w:noProof/>
        </w:rPr>
        <w:t>и по-широките цели на Договора и той трябва да се основава, по-специално, на информацията, предоставяна от държавите членки. Настоящият доклад е поредният от докладите</w:t>
      </w:r>
      <w:r>
        <w:rPr>
          <w:rFonts w:ascii="Times New Roman" w:hAnsi="Times New Roman"/>
          <w:noProof/>
          <w:vertAlign w:val="superscript"/>
        </w:rPr>
        <w:footnoteReference w:id="3"/>
      </w:r>
      <w:r>
        <w:rPr>
          <w:rFonts w:ascii="Times New Roman" w:hAnsi="Times New Roman"/>
          <w:noProof/>
        </w:rPr>
        <w:t xml:space="preserve"> относно функционирането на правилата на ЕС за акцизите върху обработен тютюн, които Ком</w:t>
      </w:r>
      <w:r>
        <w:rPr>
          <w:rFonts w:ascii="Times New Roman" w:hAnsi="Times New Roman"/>
          <w:noProof/>
        </w:rPr>
        <w:t xml:space="preserve">исията представя от 1992 г.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noProof/>
        </w:rPr>
        <w:t>Освен това Директивата беше посочена за оценка в рамките на осъществяваната от Комисията Програма за пригодност и резултатност на регулаторната рамка (REFIT)</w:t>
      </w:r>
      <w:r>
        <w:rPr>
          <w:rStyle w:val="FootnoteReference"/>
          <w:rFonts w:ascii="Times New Roman" w:hAnsi="Times New Roman"/>
          <w:noProof/>
        </w:rPr>
        <w:footnoteReference w:id="4"/>
      </w:r>
      <w:r>
        <w:rPr>
          <w:noProof/>
        </w:rPr>
        <w:t>.</w:t>
      </w:r>
      <w:r>
        <w:rPr>
          <w:rFonts w:ascii="Times New Roman" w:hAnsi="Times New Roman"/>
          <w:noProof/>
        </w:rPr>
        <w:t xml:space="preserve">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Настоящият доклад представя резултатите и заключенията от извърш</w:t>
      </w:r>
      <w:r>
        <w:rPr>
          <w:rFonts w:ascii="Times New Roman" w:hAnsi="Times New Roman"/>
          <w:noProof/>
        </w:rPr>
        <w:t>ена външна оценка на Директивата от тези две гледни точки. Освен това в него се съдържа преглед на наличните статистически данни, съобщени от държавите членки, относно развитието на среднопретеглената цена (СПЦ), освобождаването за потребление, данъчните п</w:t>
      </w:r>
      <w:r>
        <w:rPr>
          <w:rFonts w:ascii="Times New Roman" w:hAnsi="Times New Roman"/>
          <w:noProof/>
        </w:rPr>
        <w:t xml:space="preserve">риходи и данъчната тежест върху обработения тютюн от влизането на Директивата в сила през 2011 г.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noProof/>
        </w:rPr>
      </w:pPr>
      <w:r>
        <w:rPr>
          <w:rFonts w:ascii="Times New Roman" w:hAnsi="Times New Roman"/>
          <w:noProof/>
        </w:rPr>
        <w:t xml:space="preserve">За разлика от предходните доклади той не се съсредоточава върху увеличенията на минималните ставки на акцизите, предвидени в Директива 2011/64/ЕС. Много от </w:t>
      </w:r>
      <w:r>
        <w:rPr>
          <w:rFonts w:ascii="Times New Roman" w:hAnsi="Times New Roman"/>
          <w:noProof/>
        </w:rPr>
        <w:t xml:space="preserve">увеличенията на минималното равнище на общия акциз влязоха в сила едва наскоро; </w:t>
      </w:r>
      <w:r>
        <w:rPr>
          <w:noProof/>
        </w:rPr>
        <w:t>някои държави членки се ползват от преходен период, а някои постепенни увеличения все още предстои да влязат в сила</w:t>
      </w:r>
      <w:r>
        <w:rPr>
          <w:rStyle w:val="FootnoteReference"/>
          <w:rFonts w:ascii="Times New Roman" w:hAnsi="Times New Roman"/>
          <w:noProof/>
        </w:rPr>
        <w:footnoteReference w:id="5"/>
      </w:r>
      <w:r>
        <w:rPr>
          <w:noProof/>
        </w:rPr>
        <w:t>.</w:t>
      </w:r>
      <w:r>
        <w:rPr>
          <w:rFonts w:ascii="Times New Roman" w:hAnsi="Times New Roman"/>
          <w:noProof/>
        </w:rPr>
        <w:t xml:space="preserve"> Затова въздействието на тези мерки ще бъде разгледано в бъ</w:t>
      </w:r>
      <w:r>
        <w:rPr>
          <w:rFonts w:ascii="Times New Roman" w:hAnsi="Times New Roman"/>
          <w:noProof/>
        </w:rPr>
        <w:t xml:space="preserve">дещ доклад. </w:t>
      </w:r>
    </w:p>
    <w:p w:rsidR="00FC2C90" w:rsidRDefault="00FC2C90">
      <w:pPr>
        <w:pStyle w:val="Default"/>
        <w:jc w:val="both"/>
        <w:rPr>
          <w:rFonts w:ascii="Times New Roman" w:hAnsi="Times New Roman" w:cs="Times New Roman"/>
          <w:noProof/>
        </w:rPr>
      </w:pPr>
    </w:p>
    <w:p w:rsidR="00FC2C90" w:rsidRDefault="00DB129A">
      <w:pPr>
        <w:pStyle w:val="Heading1"/>
        <w:rPr>
          <w:noProof/>
        </w:rPr>
      </w:pPr>
      <w:bookmarkStart w:id="4" w:name="_Toc433017691"/>
      <w:bookmarkStart w:id="5" w:name="_Toc438204724"/>
      <w:r>
        <w:rPr>
          <w:noProof/>
        </w:rPr>
        <w:t xml:space="preserve">2. </w:t>
      </w:r>
      <w:r>
        <w:rPr>
          <w:noProof/>
          <w:u w:val="single"/>
        </w:rPr>
        <w:t>Контекст</w:t>
      </w:r>
      <w:bookmarkEnd w:id="4"/>
      <w:bookmarkEnd w:id="5"/>
    </w:p>
    <w:p w:rsidR="00FC2C90" w:rsidRDefault="00DB129A">
      <w:pPr>
        <w:pStyle w:val="Default"/>
        <w:jc w:val="both"/>
        <w:rPr>
          <w:rFonts w:ascii="Times New Roman" w:eastAsia="Times New Roman" w:hAnsi="Times New Roman" w:cs="Times New Roman"/>
          <w:noProof/>
        </w:rPr>
      </w:pPr>
      <w:r>
        <w:rPr>
          <w:rFonts w:ascii="Times New Roman" w:hAnsi="Times New Roman"/>
          <w:noProof/>
        </w:rPr>
        <w:t xml:space="preserve">Директива 2011/64/ЕС определя правилата на ЕС относно структурата и ставките на акциза върху обработен тютюн. По-специално тя определя и класифицира обхванатите </w:t>
      </w:r>
      <w:r>
        <w:rPr>
          <w:rFonts w:ascii="Times New Roman" w:hAnsi="Times New Roman"/>
          <w:noProof/>
        </w:rPr>
        <w:lastRenderedPageBreak/>
        <w:t>от нея различни изделия от обработен тютюн в зависимост от техните характеристики. В Директиват</w:t>
      </w:r>
      <w:r>
        <w:rPr>
          <w:rFonts w:ascii="Times New Roman" w:hAnsi="Times New Roman"/>
          <w:noProof/>
        </w:rPr>
        <w:t xml:space="preserve">а се определя и структурата на акцизите върху различните видове изделия. </w:t>
      </w:r>
      <w:r>
        <w:rPr>
          <w:noProof/>
        </w:rPr>
        <w:t>Тя цели да осигури правилното функциониране на вътрешния пазар и същевременно висока степен на защита на здравето</w:t>
      </w:r>
      <w:r>
        <w:rPr>
          <w:rStyle w:val="FootnoteReference"/>
          <w:rFonts w:ascii="Times New Roman" w:hAnsi="Times New Roman"/>
          <w:noProof/>
        </w:rPr>
        <w:footnoteReference w:id="6"/>
      </w:r>
      <w:r>
        <w:rPr>
          <w:noProof/>
        </w:rPr>
        <w:t>.</w:t>
      </w:r>
      <w:r>
        <w:rPr>
          <w:rFonts w:ascii="Times New Roman" w:hAnsi="Times New Roman"/>
          <w:noProof/>
        </w:rPr>
        <w:t xml:space="preserve"> Правилно функциониращият вътрешен пазар предполага, че начинът, по </w:t>
      </w:r>
      <w:r>
        <w:rPr>
          <w:rFonts w:ascii="Times New Roman" w:hAnsi="Times New Roman"/>
          <w:noProof/>
        </w:rPr>
        <w:t xml:space="preserve">който държавите членки облагат потреблението на продукти в този сектор, не води до нарушения на пазара и не възпрепятства свободното движение в рамките на ЕС. </w:t>
      </w:r>
      <w:r>
        <w:rPr>
          <w:noProof/>
        </w:rPr>
        <w:t>Във връзка с това Директивата би трябвало да гарантира, че изделията от обработен тютюн се облага</w:t>
      </w:r>
      <w:r>
        <w:rPr>
          <w:noProof/>
        </w:rPr>
        <w:t>т правилно в държавата членка на крайното потребление</w:t>
      </w:r>
      <w:r>
        <w:rPr>
          <w:rStyle w:val="FootnoteReference"/>
          <w:rFonts w:ascii="Times New Roman" w:hAnsi="Times New Roman"/>
          <w:noProof/>
        </w:rPr>
        <w:footnoteReference w:id="7"/>
      </w:r>
      <w:r>
        <w:rPr>
          <w:noProof/>
        </w:rPr>
        <w:t>.</w:t>
      </w:r>
      <w:r>
        <w:rPr>
          <w:rFonts w:ascii="Times New Roman" w:hAnsi="Times New Roman"/>
          <w:noProof/>
        </w:rPr>
        <w:t xml:space="preserve"> Това е важно, като се има предвид, че като цяло приходите от акцизите върху обработен тютюн към националните бюджети на държавите членки през 2014 г. възлизат на над 81 млрд. евро.</w:t>
      </w:r>
    </w:p>
    <w:p w:rsidR="00FC2C90" w:rsidRDefault="00FC2C90">
      <w:pPr>
        <w:pStyle w:val="Default"/>
        <w:jc w:val="both"/>
        <w:rPr>
          <w:rFonts w:ascii="Times New Roman" w:eastAsia="Times New Roman" w:hAnsi="Times New Roman" w:cs="Times New Roman"/>
          <w:noProof/>
        </w:rPr>
      </w:pPr>
    </w:p>
    <w:p w:rsidR="00FC2C90" w:rsidRDefault="00DB129A">
      <w:pPr>
        <w:pStyle w:val="Default"/>
        <w:jc w:val="both"/>
        <w:rPr>
          <w:rFonts w:ascii="Times New Roman" w:eastAsia="Times New Roman" w:hAnsi="Times New Roman" w:cs="Times New Roman"/>
          <w:noProof/>
        </w:rPr>
      </w:pPr>
      <w:r>
        <w:rPr>
          <w:rFonts w:ascii="Times New Roman" w:hAnsi="Times New Roman"/>
          <w:noProof/>
        </w:rPr>
        <w:t>Съгласно програмат</w:t>
      </w:r>
      <w:r>
        <w:rPr>
          <w:rFonts w:ascii="Times New Roman" w:hAnsi="Times New Roman"/>
          <w:noProof/>
        </w:rPr>
        <w:t>а REFIT Комисията се ангажира да гарантира, че законодателството на ЕС съответства на поставената цел и изпълнява задачите си при минимални разходи и тежести.</w:t>
      </w:r>
    </w:p>
    <w:p w:rsidR="00FC2C90" w:rsidRDefault="00FC2C90">
      <w:pPr>
        <w:spacing w:after="240" w:line="240" w:lineRule="auto"/>
        <w:jc w:val="both"/>
        <w:rPr>
          <w:rFonts w:ascii="Times New Roman" w:eastAsia="Times New Roman" w:hAnsi="Times New Roman"/>
          <w:noProof/>
          <w:sz w:val="24"/>
          <w:szCs w:val="24"/>
        </w:rPr>
      </w:pPr>
    </w:p>
    <w:p w:rsidR="00FC2C90" w:rsidRDefault="00DB129A">
      <w:pPr>
        <w:pStyle w:val="Heading1"/>
        <w:rPr>
          <w:noProof/>
          <w:u w:val="single"/>
        </w:rPr>
      </w:pPr>
      <w:bookmarkStart w:id="6" w:name="_Toc433017692"/>
      <w:bookmarkStart w:id="7" w:name="_Toc438204725"/>
      <w:r>
        <w:rPr>
          <w:rFonts w:ascii="Times New Roman" w:hAnsi="Times New Roman"/>
          <w:smallCaps w:val="0"/>
          <w:noProof/>
        </w:rPr>
        <w:t>3</w:t>
      </w:r>
      <w:r>
        <w:rPr>
          <w:rFonts w:ascii="Times New Roman" w:hAnsi="Times New Roman"/>
          <w:noProof/>
        </w:rPr>
        <w:t xml:space="preserve">. </w:t>
      </w:r>
      <w:r>
        <w:rPr>
          <w:smallCaps w:val="0"/>
          <w:noProof/>
          <w:u w:val="single"/>
        </w:rPr>
        <w:t>В</w:t>
      </w:r>
      <w:r>
        <w:rPr>
          <w:noProof/>
          <w:u w:val="single"/>
        </w:rPr>
        <w:t>ъншната оценка на Директивата</w:t>
      </w:r>
      <w:bookmarkEnd w:id="6"/>
      <w:bookmarkEnd w:id="7"/>
    </w:p>
    <w:p w:rsidR="00FC2C90" w:rsidRDefault="00DB129A">
      <w:pPr>
        <w:pStyle w:val="Default"/>
        <w:jc w:val="both"/>
        <w:rPr>
          <w:rFonts w:ascii="Times New Roman" w:eastAsia="Times New Roman" w:hAnsi="Times New Roman" w:cs="Times New Roman"/>
          <w:noProof/>
        </w:rPr>
      </w:pPr>
      <w:r>
        <w:rPr>
          <w:rFonts w:ascii="Times New Roman" w:hAnsi="Times New Roman"/>
          <w:noProof/>
        </w:rPr>
        <w:t xml:space="preserve">С цел да се извърши оценка на функционирането на директивата, </w:t>
      </w:r>
      <w:r>
        <w:rPr>
          <w:rFonts w:ascii="Times New Roman" w:hAnsi="Times New Roman"/>
          <w:noProof/>
        </w:rPr>
        <w:t xml:space="preserve">Генерална дирекция „Данъчно облагане и митнически съюз“ възложи външна оценка (наричана по-долу  „оценката“) на консорциум, съставен от Ramboll Management Consulting AS, The Evaluation Partnership и Europe Economics. </w:t>
      </w:r>
    </w:p>
    <w:p w:rsidR="00FC2C90" w:rsidRDefault="00FC2C90">
      <w:pPr>
        <w:pStyle w:val="Default"/>
        <w:jc w:val="both"/>
        <w:rPr>
          <w:rFonts w:ascii="Times New Roman" w:eastAsia="Times New Roman" w:hAnsi="Times New Roman" w:cs="Times New Roman"/>
          <w:noProof/>
        </w:rPr>
      </w:pPr>
    </w:p>
    <w:p w:rsidR="00FC2C90" w:rsidRDefault="00DB129A">
      <w:pPr>
        <w:pStyle w:val="Default"/>
        <w:jc w:val="both"/>
        <w:rPr>
          <w:rFonts w:ascii="Times New Roman" w:eastAsia="Times New Roman" w:hAnsi="Times New Roman" w:cs="Times New Roman"/>
          <w:noProof/>
        </w:rPr>
      </w:pPr>
      <w:r>
        <w:rPr>
          <w:rFonts w:ascii="Times New Roman" w:hAnsi="Times New Roman"/>
          <w:noProof/>
        </w:rPr>
        <w:t>След консултация с държавите членки и</w:t>
      </w:r>
      <w:r>
        <w:rPr>
          <w:rFonts w:ascii="Times New Roman" w:hAnsi="Times New Roman"/>
          <w:noProof/>
        </w:rPr>
        <w:t xml:space="preserve"> в съответствие с програмата REFIT, беше постигната договореност, че целта на оценката би трябвало да бъде набелязването на възможности за усъвършенстване на законодателството, за да се намалят административните разходи и тежести както за националните адми</w:t>
      </w:r>
      <w:r>
        <w:rPr>
          <w:rFonts w:ascii="Times New Roman" w:hAnsi="Times New Roman"/>
          <w:noProof/>
        </w:rPr>
        <w:t>нистрации, така и за икономическите оператори и да се повиши степента на спазване на законодателството и на сигурност при събирането на акцизите върху обработен тютюн. Оценката започна през декември 2012 г. и приключи през август 2014 г. Нейното извършване</w:t>
      </w:r>
      <w:r>
        <w:rPr>
          <w:rFonts w:ascii="Times New Roman" w:hAnsi="Times New Roman"/>
          <w:noProof/>
        </w:rPr>
        <w:t xml:space="preserve"> се следеше от ръководна група, съставена от представители на всички служби на Комисията, имащи отношение към този въпрос. </w:t>
      </w:r>
    </w:p>
    <w:p w:rsidR="00FC2C90" w:rsidRDefault="00FC2C90">
      <w:pPr>
        <w:autoSpaceDE w:val="0"/>
        <w:autoSpaceDN w:val="0"/>
        <w:adjustRightInd w:val="0"/>
        <w:spacing w:after="0" w:line="240" w:lineRule="auto"/>
        <w:rPr>
          <w:rFonts w:ascii="TimesNewRoman" w:hAnsi="TimesNewRoman" w:cs="TimesNewRoman"/>
          <w:noProof/>
          <w:sz w:val="24"/>
          <w:szCs w:val="24"/>
        </w:rPr>
      </w:pPr>
    </w:p>
    <w:p w:rsidR="00FC2C90" w:rsidRDefault="00DB129A">
      <w:pPr>
        <w:autoSpaceDE w:val="0"/>
        <w:autoSpaceDN w:val="0"/>
        <w:adjustRightInd w:val="0"/>
        <w:spacing w:after="0" w:line="240" w:lineRule="auto"/>
        <w:jc w:val="both"/>
        <w:rPr>
          <w:rFonts w:ascii="TimesNewRoman" w:hAnsi="TimesNewRoman" w:cs="TimesNewRoman"/>
          <w:noProof/>
          <w:sz w:val="24"/>
          <w:szCs w:val="24"/>
        </w:rPr>
      </w:pPr>
      <w:r>
        <w:rPr>
          <w:rFonts w:ascii="TimesNewRoman" w:hAnsi="TimesNewRoman"/>
          <w:noProof/>
          <w:sz w:val="24"/>
        </w:rPr>
        <w:t xml:space="preserve">Следва да се отбележи, че тъй като оценката приключи преди приемането на новите Насоки за по-добро законотворчество на 19 май 2015 </w:t>
      </w:r>
      <w:r>
        <w:rPr>
          <w:rFonts w:ascii="TimesNewRoman" w:hAnsi="TimesNewRoman"/>
          <w:noProof/>
          <w:sz w:val="24"/>
        </w:rPr>
        <w:t>г.</w:t>
      </w:r>
      <w:r>
        <w:rPr>
          <w:rStyle w:val="FootnoteReference"/>
          <w:rFonts w:ascii="TimesNewRoman" w:hAnsi="TimesNewRoman"/>
          <w:noProof/>
          <w:sz w:val="24"/>
        </w:rPr>
        <w:footnoteReference w:id="8"/>
      </w:r>
      <w:r>
        <w:rPr>
          <w:rFonts w:ascii="TimesNewRoman" w:hAnsi="TimesNewRoman"/>
          <w:noProof/>
          <w:sz w:val="24"/>
        </w:rPr>
        <w:t>, някои от задължителните елементи, въведени с тези насоки, не можаха да бъдат взети предвид. Първо, в рамките на оценката гледните точки на заинтересованите страни бяха събрани с помощта на целенасочени проучвания, а не посредством обществена консултац</w:t>
      </w:r>
      <w:r>
        <w:rPr>
          <w:rFonts w:ascii="TimesNewRoman" w:hAnsi="TimesNewRoman"/>
          <w:noProof/>
          <w:sz w:val="24"/>
        </w:rPr>
        <w:t xml:space="preserve">ия. </w:t>
      </w:r>
      <w:r>
        <w:rPr>
          <w:noProof/>
        </w:rPr>
        <w:t>Второ, в съответствие с целите на програмата REFIT акцентът беше поставен предимно върху въпроси, свързани с ефективността и ефикасността</w:t>
      </w:r>
      <w:r>
        <w:rPr>
          <w:rStyle w:val="FootnoteReference"/>
          <w:rFonts w:ascii="TimesNewRoman" w:hAnsi="TimesNewRoman"/>
          <w:noProof/>
          <w:sz w:val="24"/>
        </w:rPr>
        <w:footnoteReference w:id="9"/>
      </w:r>
      <w:r>
        <w:rPr>
          <w:noProof/>
        </w:rPr>
        <w:t>.</w:t>
      </w:r>
    </w:p>
    <w:p w:rsidR="00FC2C90" w:rsidRDefault="00DB129A">
      <w:pPr>
        <w:pStyle w:val="Heading2"/>
        <w:rPr>
          <w:rFonts w:ascii="Times New Roman" w:hAnsi="Times New Roman"/>
          <w:i w:val="0"/>
          <w:noProof/>
          <w:sz w:val="24"/>
          <w:szCs w:val="24"/>
        </w:rPr>
      </w:pPr>
      <w:r>
        <w:rPr>
          <w:rFonts w:ascii="Times New Roman" w:hAnsi="Times New Roman"/>
          <w:i w:val="0"/>
          <w:noProof/>
          <w:sz w:val="24"/>
          <w:szCs w:val="24"/>
        </w:rPr>
        <w:br/>
      </w:r>
      <w:bookmarkStart w:id="8" w:name="_Toc433017693"/>
      <w:bookmarkStart w:id="9" w:name="_Toc438204726"/>
      <w:r>
        <w:rPr>
          <w:rFonts w:ascii="Times New Roman" w:hAnsi="Times New Roman"/>
          <w:i w:val="0"/>
          <w:noProof/>
          <w:sz w:val="24"/>
        </w:rPr>
        <w:t>3.1 Обхват на оценката</w:t>
      </w:r>
      <w:bookmarkEnd w:id="8"/>
      <w:bookmarkEnd w:id="9"/>
    </w:p>
    <w:p w:rsidR="00FC2C90" w:rsidRDefault="00DB129A">
      <w:pPr>
        <w:pStyle w:val="Default"/>
        <w:jc w:val="both"/>
        <w:rPr>
          <w:rFonts w:ascii="Times New Roman" w:eastAsia="Times New Roman" w:hAnsi="Times New Roman"/>
          <w:b/>
          <w:noProof/>
          <w:szCs w:val="20"/>
        </w:rPr>
      </w:pPr>
      <w:r>
        <w:rPr>
          <w:rFonts w:ascii="Times New Roman" w:hAnsi="Times New Roman"/>
          <w:noProof/>
        </w:rPr>
        <w:t>Като първа стъпка в оценката бяха очертани основните характеристики на акцизните системи</w:t>
      </w:r>
      <w:r>
        <w:rPr>
          <w:rFonts w:ascii="Times New Roman" w:hAnsi="Times New Roman"/>
          <w:noProof/>
        </w:rPr>
        <w:t xml:space="preserve"> за обработен тютюн във връзка с двете основни директиви за акцизите върху обработен тютюн.</w:t>
      </w:r>
      <w:r>
        <w:rPr>
          <w:rFonts w:ascii="Times New Roman" w:hAnsi="Times New Roman"/>
          <w:noProof/>
          <w:vertAlign w:val="superscript"/>
        </w:rPr>
        <w:footnoteReference w:id="10"/>
      </w:r>
      <w:r>
        <w:rPr>
          <w:rFonts w:ascii="Times New Roman" w:hAnsi="Times New Roman"/>
          <w:noProof/>
        </w:rPr>
        <w:t xml:space="preserve"> След това оценката се съсредоточи върху получаването на отговори на договорените въпроси за оценка. </w:t>
      </w:r>
      <w:r>
        <w:rPr>
          <w:noProof/>
        </w:rPr>
        <w:t>Констатациите от оценката са групирани съобразно тези въпроси з</w:t>
      </w:r>
      <w:r>
        <w:rPr>
          <w:noProof/>
        </w:rPr>
        <w:t xml:space="preserve">а оценка, изброени в </w:t>
      </w:r>
      <w:hyperlink w:anchor="_3.3_Results_of" w:history="1">
        <w:r>
          <w:rPr>
            <w:rStyle w:val="Hyperlink"/>
            <w:rFonts w:ascii="Times New Roman" w:hAnsi="Times New Roman"/>
            <w:noProof/>
          </w:rPr>
          <w:t>параграф 3.3</w:t>
        </w:r>
      </w:hyperlink>
      <w:r>
        <w:rPr>
          <w:noProof/>
        </w:rPr>
        <w:t xml:space="preserve">. В оценката се посочват също и проблемите, произтичащи от тези констатации.Те са разгледани в </w:t>
      </w:r>
      <w:hyperlink w:anchor="_4._Issues_arising" w:history="1">
        <w:r>
          <w:rPr>
            <w:rStyle w:val="Hyperlink"/>
            <w:rFonts w:ascii="Times New Roman" w:hAnsi="Times New Roman"/>
            <w:noProof/>
          </w:rPr>
          <w:t xml:space="preserve">Раздел 4 </w:t>
        </w:r>
      </w:hyperlink>
      <w:r>
        <w:rPr>
          <w:noProof/>
        </w:rPr>
        <w:t>на настоящия доклад.</w:t>
      </w:r>
    </w:p>
    <w:p w:rsidR="00FC2C90" w:rsidRDefault="00FC2C90">
      <w:pPr>
        <w:pStyle w:val="Default"/>
        <w:jc w:val="both"/>
        <w:rPr>
          <w:rFonts w:ascii="Times New Roman" w:eastAsia="Times New Roman" w:hAnsi="Times New Roman"/>
          <w:noProof/>
          <w:szCs w:val="20"/>
        </w:rPr>
      </w:pPr>
    </w:p>
    <w:p w:rsidR="00FC2C90" w:rsidRDefault="00DB129A">
      <w:pPr>
        <w:pStyle w:val="ListBullet"/>
        <w:numPr>
          <w:ilvl w:val="0"/>
          <w:numId w:val="0"/>
        </w:numPr>
        <w:rPr>
          <w:noProof/>
        </w:rPr>
      </w:pPr>
      <w:r>
        <w:rPr>
          <w:noProof/>
        </w:rPr>
        <w:t>Въздействието на минимал</w:t>
      </w:r>
      <w:r>
        <w:rPr>
          <w:noProof/>
        </w:rPr>
        <w:t>ните ставки върху опазването на здравето не попада в обхвата на оценката, тъй като в много случаи увеличението на минималното равнище на общия акциз влезе в сила едва наскоро, което означава, че е необходимо повече време за оценка на тези аспекти</w:t>
      </w:r>
      <w:r>
        <w:rPr>
          <w:rStyle w:val="FootnoteReference"/>
          <w:noProof/>
        </w:rPr>
        <w:footnoteReference w:id="11"/>
      </w:r>
      <w:r>
        <w:rPr>
          <w:noProof/>
        </w:rPr>
        <w:t>. Освен т</w:t>
      </w:r>
      <w:r>
        <w:rPr>
          <w:noProof/>
        </w:rPr>
        <w:t>ова на няколко държави членки беше предоставен преходен период за достигане на минималните ставки за цигарите до 31 декември 2017 г. За фино нарязания тютюн за пушене ще бъдат въведени постепенни увеличения на минималното равнище на общия акциз в рамките н</w:t>
      </w:r>
      <w:r>
        <w:rPr>
          <w:noProof/>
        </w:rPr>
        <w:t xml:space="preserve">а период, който ще продължи до 1 януари 2020 г. </w:t>
      </w:r>
    </w:p>
    <w:p w:rsidR="00FC2C90" w:rsidRDefault="00FC2C90">
      <w:pPr>
        <w:rPr>
          <w:noProof/>
        </w:rPr>
      </w:pPr>
    </w:p>
    <w:p w:rsidR="00FC2C90" w:rsidRDefault="00DB129A">
      <w:pPr>
        <w:pStyle w:val="Heading2"/>
        <w:rPr>
          <w:rFonts w:ascii="Times New Roman" w:hAnsi="Times New Roman"/>
          <w:i w:val="0"/>
          <w:noProof/>
          <w:sz w:val="24"/>
          <w:szCs w:val="24"/>
        </w:rPr>
      </w:pPr>
      <w:bookmarkStart w:id="10" w:name="_Toc433017694"/>
      <w:bookmarkStart w:id="11" w:name="_Toc438204727"/>
      <w:r>
        <w:rPr>
          <w:rFonts w:ascii="Times New Roman" w:hAnsi="Times New Roman"/>
          <w:i w:val="0"/>
          <w:noProof/>
          <w:sz w:val="24"/>
        </w:rPr>
        <w:t>3.2 Meтодология</w:t>
      </w:r>
      <w:bookmarkEnd w:id="10"/>
      <w:bookmarkEnd w:id="11"/>
    </w:p>
    <w:p w:rsidR="00FC2C90" w:rsidRDefault="00DB129A">
      <w:pPr>
        <w:pStyle w:val="Default"/>
        <w:jc w:val="both"/>
        <w:rPr>
          <w:rFonts w:ascii="Times New Roman" w:eastAsia="Times New Roman" w:hAnsi="Times New Roman"/>
          <w:noProof/>
          <w:szCs w:val="20"/>
        </w:rPr>
      </w:pPr>
      <w:r>
        <w:rPr>
          <w:rFonts w:ascii="Times New Roman" w:hAnsi="Times New Roman"/>
          <w:noProof/>
        </w:rPr>
        <w:t>Оценката беше извършена на три етапа: разработване, събиране на данни и анализ. По време на етапа на събиране на данни бяха изпратени въпросници на държавите членки и на икономическите опера</w:t>
      </w:r>
      <w:r>
        <w:rPr>
          <w:rFonts w:ascii="Times New Roman" w:hAnsi="Times New Roman"/>
          <w:noProof/>
        </w:rPr>
        <w:t xml:space="preserve">тори. Бяха получени отговори от 27 държави членки и от 48 икономически оператори. След получаването на отговорите последваха телефонни разговори и персонални интервюта. </w:t>
      </w:r>
      <w:r>
        <w:rPr>
          <w:noProof/>
        </w:rPr>
        <w:t>Освен това бяха проучени конкретни казуси в 7 избрани държави членки</w:t>
      </w:r>
      <w:r>
        <w:rPr>
          <w:rStyle w:val="FootnoteReference"/>
          <w:rFonts w:ascii="Times New Roman" w:hAnsi="Times New Roman"/>
          <w:noProof/>
        </w:rPr>
        <w:footnoteReference w:id="12"/>
      </w:r>
      <w:r>
        <w:rPr>
          <w:noProof/>
        </w:rPr>
        <w:t>.</w:t>
      </w:r>
      <w:r>
        <w:rPr>
          <w:rFonts w:ascii="Times New Roman" w:hAnsi="Times New Roman"/>
          <w:noProof/>
        </w:rPr>
        <w:t xml:space="preserve"> На този етап бяха извършени също анализ на информация и преглед на специализирана литература. Освен това беше извършен и качествен анализ на съществуващото законодателство, проучванията и специализираната икономическа литература, както и анализ на налични</w:t>
      </w:r>
      <w:r>
        <w:rPr>
          <w:rFonts w:ascii="Times New Roman" w:hAnsi="Times New Roman"/>
          <w:noProof/>
        </w:rPr>
        <w:t xml:space="preserve">те икономически данни. </w:t>
      </w:r>
    </w:p>
    <w:p w:rsidR="00FC2C90" w:rsidRDefault="00FC2C90">
      <w:pPr>
        <w:pStyle w:val="Default"/>
        <w:jc w:val="both"/>
        <w:rPr>
          <w:rFonts w:ascii="Times New Roman" w:eastAsia="Times New Roman" w:hAnsi="Times New Roman"/>
          <w:noProof/>
          <w:szCs w:val="20"/>
        </w:rPr>
      </w:pPr>
    </w:p>
    <w:p w:rsidR="00FC2C90" w:rsidRDefault="00DB129A">
      <w:pPr>
        <w:pStyle w:val="Default"/>
        <w:jc w:val="both"/>
        <w:rPr>
          <w:rFonts w:ascii="Times New Roman" w:eastAsia="Times New Roman" w:hAnsi="Times New Roman"/>
          <w:noProof/>
          <w:szCs w:val="20"/>
        </w:rPr>
      </w:pPr>
      <w:r>
        <w:rPr>
          <w:rFonts w:ascii="Times New Roman" w:hAnsi="Times New Roman"/>
          <w:noProof/>
        </w:rPr>
        <w:t>Въз основа на отговорите на въпросниците изпълнителят идентифицира както добрите практики, така и проблемите. По време на третия етап изпълнителят анализира и сравни различните отговори и изготви списък на проблемите, пред които са</w:t>
      </w:r>
      <w:r>
        <w:rPr>
          <w:rFonts w:ascii="Times New Roman" w:hAnsi="Times New Roman"/>
          <w:noProof/>
        </w:rPr>
        <w:t xml:space="preserve"> изправени данъчните администрации и икономическите оператори. Накрая беше изготвена поредица от препоръки с цел решаване на установените проблеми. </w:t>
      </w:r>
    </w:p>
    <w:p w:rsidR="00FC2C90" w:rsidRDefault="00FC2C90">
      <w:pPr>
        <w:pStyle w:val="Default"/>
        <w:jc w:val="both"/>
        <w:rPr>
          <w:rFonts w:ascii="Times New Roman" w:eastAsia="Times New Roman" w:hAnsi="Times New Roman"/>
          <w:noProof/>
          <w:szCs w:val="20"/>
        </w:rPr>
      </w:pPr>
    </w:p>
    <w:p w:rsidR="00FC2C90" w:rsidRDefault="00FC2C90">
      <w:pPr>
        <w:pStyle w:val="ListBullet"/>
        <w:numPr>
          <w:ilvl w:val="0"/>
          <w:numId w:val="0"/>
        </w:numPr>
        <w:ind w:left="283"/>
        <w:rPr>
          <w:noProof/>
        </w:rPr>
      </w:pPr>
    </w:p>
    <w:p w:rsidR="00FC2C90" w:rsidRDefault="00DB129A">
      <w:pPr>
        <w:pStyle w:val="Heading2"/>
        <w:rPr>
          <w:rFonts w:ascii="Times New Roman" w:hAnsi="Times New Roman"/>
          <w:i w:val="0"/>
          <w:noProof/>
          <w:sz w:val="24"/>
          <w:szCs w:val="24"/>
        </w:rPr>
      </w:pPr>
      <w:bookmarkStart w:id="12" w:name="_3.3_Results_of"/>
      <w:bookmarkStart w:id="13" w:name="_Toc433017695"/>
      <w:bookmarkStart w:id="14" w:name="_Toc438204728"/>
      <w:bookmarkEnd w:id="12"/>
      <w:r>
        <w:rPr>
          <w:rFonts w:ascii="Times New Roman" w:hAnsi="Times New Roman"/>
          <w:i w:val="0"/>
          <w:smallCaps/>
          <w:noProof/>
          <w:sz w:val="24"/>
        </w:rPr>
        <w:t>3.</w:t>
      </w:r>
      <w:r w:rsidRPr="00DB129A">
        <w:rPr>
          <w:rFonts w:ascii="Times New Roman" w:hAnsi="Times New Roman"/>
          <w:i w:val="0"/>
          <w:smallCaps/>
          <w:noProof/>
          <w:sz w:val="24"/>
          <w:szCs w:val="24"/>
          <w:lang w:val="ru-RU" w:eastAsia="en-US" w:bidi="ar-SA"/>
        </w:rPr>
        <w:t xml:space="preserve">3 </w:t>
      </w:r>
      <w:r>
        <w:rPr>
          <w:rFonts w:ascii="Times New Roman" w:eastAsia="Calibri" w:hAnsi="Times New Roman"/>
          <w:bCs w:val="0"/>
          <w:i w:val="0"/>
          <w:iCs w:val="0"/>
          <w:noProof/>
          <w:sz w:val="24"/>
          <w:szCs w:val="22"/>
        </w:rPr>
        <w:t>Резултати от оценката</w:t>
      </w:r>
      <w:bookmarkEnd w:id="13"/>
      <w:bookmarkEnd w:id="14"/>
    </w:p>
    <w:p w:rsidR="00FC2C90" w:rsidRDefault="00DB129A">
      <w:pPr>
        <w:spacing w:line="240" w:lineRule="auto"/>
        <w:jc w:val="both"/>
        <w:rPr>
          <w:rFonts w:ascii="Times New Roman" w:eastAsia="Times New Roman" w:hAnsi="Times New Roman"/>
          <w:b/>
          <w:noProof/>
          <w:sz w:val="24"/>
          <w:szCs w:val="24"/>
        </w:rPr>
      </w:pPr>
      <w:r>
        <w:rPr>
          <w:rFonts w:ascii="Times New Roman" w:hAnsi="Times New Roman"/>
          <w:b/>
          <w:noProof/>
          <w:sz w:val="24"/>
        </w:rPr>
        <w:t xml:space="preserve">3.3.1 До каква степен настоящите механизми за акцизи върху тютюневите изделия </w:t>
      </w:r>
      <w:r>
        <w:rPr>
          <w:rFonts w:ascii="Times New Roman" w:hAnsi="Times New Roman"/>
          <w:b/>
          <w:noProof/>
          <w:sz w:val="24"/>
        </w:rPr>
        <w:t>осигуряват правилното функциониране на вътрешния пазар и предотвратяват нарушения на конкуренцията?</w:t>
      </w:r>
    </w:p>
    <w:p w:rsidR="00FC2C90" w:rsidRDefault="00DB129A">
      <w:pPr>
        <w:spacing w:line="240" w:lineRule="auto"/>
        <w:jc w:val="both"/>
        <w:rPr>
          <w:rFonts w:ascii="Times New Roman" w:eastAsia="Times New Roman" w:hAnsi="Times New Roman"/>
          <w:noProof/>
          <w:sz w:val="24"/>
          <w:szCs w:val="24"/>
        </w:rPr>
      </w:pPr>
      <w:r>
        <w:rPr>
          <w:noProof/>
        </w:rPr>
        <w:t>Беше констатирано, че въвеждането на минимален акциз</w:t>
      </w:r>
      <w:r>
        <w:rPr>
          <w:rStyle w:val="FootnoteReference"/>
          <w:rFonts w:ascii="Times New Roman" w:hAnsi="Times New Roman"/>
          <w:noProof/>
        </w:rPr>
        <w:footnoteReference w:id="13"/>
      </w:r>
      <w:r>
        <w:rPr>
          <w:noProof/>
        </w:rPr>
        <w:t>, несъгласуваното третиране на електронните цигари и на някои изделия от обработен тютюн, както и пород</w:t>
      </w:r>
      <w:r>
        <w:rPr>
          <w:noProof/>
        </w:rPr>
        <w:t>ената от данъка замяна в рамките на и между групи изделия, водят до нарушения на вътрешния пазар.</w:t>
      </w:r>
      <w:r>
        <w:rPr>
          <w:rFonts w:ascii="Times New Roman" w:hAnsi="Times New Roman"/>
          <w:noProof/>
          <w:sz w:val="24"/>
        </w:rPr>
        <w:t xml:space="preserve"> Въпреки че нехармонизираните мерки за борба със спекулациите също може да се отразят неблагоприятно върху правилното функциониране на вътрешния пазар, данъчни</w:t>
      </w:r>
      <w:r>
        <w:rPr>
          <w:rFonts w:ascii="Times New Roman" w:hAnsi="Times New Roman"/>
          <w:noProof/>
          <w:sz w:val="24"/>
        </w:rPr>
        <w:t>те администрации не разглеждат хармонизацията в тези област нито като възможна, нито като желателна. Констатацията на оценката е, че — освен тези изключения — настоящата структура и равнище на ставките по принцип създават неутрални условия за конкуренция и</w:t>
      </w:r>
      <w:r>
        <w:rPr>
          <w:rFonts w:ascii="Times New Roman" w:hAnsi="Times New Roman"/>
          <w:noProof/>
          <w:sz w:val="24"/>
        </w:rPr>
        <w:t xml:space="preserve"> свободно определяне на цените на вътрешния пазар.</w:t>
      </w:r>
    </w:p>
    <w:p w:rsidR="00FC2C90" w:rsidRDefault="00DB129A">
      <w:pPr>
        <w:spacing w:line="240" w:lineRule="auto"/>
        <w:jc w:val="both"/>
        <w:rPr>
          <w:rFonts w:ascii="Times New Roman" w:eastAsia="Times New Roman" w:hAnsi="Times New Roman"/>
          <w:noProof/>
          <w:sz w:val="24"/>
          <w:szCs w:val="24"/>
        </w:rPr>
      </w:pPr>
      <w:r>
        <w:rPr>
          <w:rFonts w:ascii="Times New Roman" w:hAnsi="Times New Roman"/>
          <w:noProof/>
          <w:sz w:val="24"/>
        </w:rPr>
        <w:t>Предвидените в действащата Директива дерогации и изключения имат ограничено въздействие върху трансграничното пазаруване и незаконната търговия. Нещо повече, беше установено, че не съществуват ясни доказат</w:t>
      </w:r>
      <w:r>
        <w:rPr>
          <w:rFonts w:ascii="Times New Roman" w:hAnsi="Times New Roman"/>
          <w:noProof/>
          <w:sz w:val="24"/>
        </w:rPr>
        <w:t xml:space="preserve">елства, които да показват, че влезлите в сила промени в равнищата на акциза върху тютюна са довели до промени в моделите на търговия. </w:t>
      </w:r>
    </w:p>
    <w:p w:rsidR="00FC2C90" w:rsidRDefault="00FC2C90">
      <w:pPr>
        <w:spacing w:after="0" w:line="240" w:lineRule="auto"/>
        <w:jc w:val="both"/>
        <w:rPr>
          <w:rFonts w:ascii="Times New Roman" w:eastAsia="Times New Roman" w:hAnsi="Times New Roman"/>
          <w:b/>
          <w:i/>
          <w:noProof/>
          <w:sz w:val="24"/>
          <w:szCs w:val="24"/>
        </w:rPr>
      </w:pPr>
    </w:p>
    <w:p w:rsidR="00FC2C90" w:rsidRDefault="00DB129A">
      <w:pPr>
        <w:spacing w:after="0" w:line="240" w:lineRule="auto"/>
        <w:jc w:val="both"/>
        <w:rPr>
          <w:rFonts w:ascii="Times New Roman" w:eastAsia="Times New Roman" w:hAnsi="Times New Roman"/>
          <w:b/>
          <w:noProof/>
          <w:sz w:val="24"/>
          <w:szCs w:val="24"/>
        </w:rPr>
      </w:pPr>
      <w:r>
        <w:rPr>
          <w:rFonts w:ascii="Times New Roman" w:hAnsi="Times New Roman"/>
          <w:b/>
          <w:noProof/>
          <w:sz w:val="24"/>
        </w:rPr>
        <w:t>3.3.2 До каква степен настоящите механизми за акцизи върху тютюневите изделия се прилагат по разходоефективен начин?</w:t>
      </w:r>
    </w:p>
    <w:p w:rsidR="00FC2C90" w:rsidRDefault="00FC2C90">
      <w:pPr>
        <w:spacing w:after="0" w:line="240" w:lineRule="auto"/>
        <w:jc w:val="both"/>
        <w:rPr>
          <w:rFonts w:ascii="Times New Roman" w:eastAsia="Times New Roman" w:hAnsi="Times New Roman"/>
          <w:i/>
          <w:noProof/>
          <w:sz w:val="24"/>
          <w:szCs w:val="24"/>
        </w:rPr>
      </w:pPr>
    </w:p>
    <w:p w:rsidR="00FC2C90" w:rsidRDefault="00DB129A">
      <w:pPr>
        <w:spacing w:after="0" w:line="240" w:lineRule="auto"/>
        <w:jc w:val="both"/>
        <w:rPr>
          <w:rFonts w:ascii="Times New Roman" w:eastAsia="Times New Roman" w:hAnsi="Times New Roman"/>
          <w:noProof/>
          <w:sz w:val="24"/>
          <w:szCs w:val="24"/>
        </w:rPr>
      </w:pPr>
      <w:r>
        <w:rPr>
          <w:rFonts w:ascii="Times New Roman" w:hAnsi="Times New Roman"/>
          <w:noProof/>
          <w:sz w:val="24"/>
        </w:rPr>
        <w:t>Що</w:t>
      </w:r>
      <w:r>
        <w:rPr>
          <w:rFonts w:ascii="Times New Roman" w:hAnsi="Times New Roman"/>
          <w:noProof/>
          <w:sz w:val="24"/>
        </w:rPr>
        <w:t xml:space="preserve"> се отнася до административните разходи и разходите за постигане на съответствие за данъчните администрации и икономическите оператори, най-силно отрицателно въздействие оказват несъответствията между определенията на акцизите и тарифното класиране в Комби</w:t>
      </w:r>
      <w:r>
        <w:rPr>
          <w:rFonts w:ascii="Times New Roman" w:hAnsi="Times New Roman"/>
          <w:noProof/>
          <w:sz w:val="24"/>
        </w:rPr>
        <w:t>нираната номенклатура (КН), както и правната несигурност относно третирането на някои изделия (включително оспорване по съдебен ред). Въпреки че разходите, свързани с правната несигурност, по принцип са относително малки, тъй като често става въпрос за изд</w:t>
      </w:r>
      <w:r>
        <w:rPr>
          <w:rFonts w:ascii="Times New Roman" w:hAnsi="Times New Roman"/>
          <w:noProof/>
          <w:sz w:val="24"/>
        </w:rPr>
        <w:t>елия, предназначени за определена пазарна ниша, въздействието върху оператора или данъчната администрация се посочва като потенциално значително.</w:t>
      </w:r>
    </w:p>
    <w:p w:rsidR="00FC2C90" w:rsidRDefault="00FC2C90">
      <w:pPr>
        <w:spacing w:after="0" w:line="240" w:lineRule="auto"/>
        <w:jc w:val="both"/>
        <w:rPr>
          <w:rFonts w:ascii="Times New Roman" w:eastAsia="Times New Roman" w:hAnsi="Times New Roman"/>
          <w:noProof/>
          <w:sz w:val="24"/>
          <w:szCs w:val="24"/>
        </w:rPr>
      </w:pPr>
    </w:p>
    <w:p w:rsidR="00FC2C90" w:rsidRDefault="00FC2C90">
      <w:pPr>
        <w:spacing w:after="0" w:line="240" w:lineRule="auto"/>
        <w:jc w:val="both"/>
        <w:rPr>
          <w:rFonts w:ascii="Times New Roman" w:eastAsia="Times New Roman" w:hAnsi="Times New Roman"/>
          <w:b/>
          <w:i/>
          <w:noProof/>
          <w:sz w:val="24"/>
          <w:szCs w:val="24"/>
        </w:rPr>
      </w:pPr>
    </w:p>
    <w:p w:rsidR="00FC2C90" w:rsidRDefault="00DB129A">
      <w:pPr>
        <w:spacing w:after="0" w:line="240" w:lineRule="auto"/>
        <w:jc w:val="both"/>
        <w:rPr>
          <w:rFonts w:ascii="Times New Roman" w:eastAsia="Times New Roman" w:hAnsi="Times New Roman"/>
          <w:b/>
          <w:noProof/>
          <w:sz w:val="24"/>
          <w:szCs w:val="24"/>
        </w:rPr>
      </w:pPr>
      <w:r>
        <w:rPr>
          <w:rFonts w:ascii="Times New Roman" w:hAnsi="Times New Roman"/>
          <w:b/>
          <w:noProof/>
          <w:sz w:val="24"/>
        </w:rPr>
        <w:t>3.3.3 До каква степен настоящите механизми за акцизи върху тютюневите изделия гарантират постигането на бюдж</w:t>
      </w:r>
      <w:r>
        <w:rPr>
          <w:rFonts w:ascii="Times New Roman" w:hAnsi="Times New Roman"/>
          <w:b/>
          <w:noProof/>
          <w:sz w:val="24"/>
        </w:rPr>
        <w:t>етните цели на държавите членки?</w:t>
      </w:r>
    </w:p>
    <w:p w:rsidR="00FC2C90" w:rsidRDefault="00FC2C90">
      <w:pPr>
        <w:spacing w:after="0" w:line="240" w:lineRule="auto"/>
        <w:jc w:val="both"/>
        <w:rPr>
          <w:rFonts w:ascii="Times New Roman" w:eastAsia="Times New Roman" w:hAnsi="Times New Roman"/>
          <w:noProof/>
          <w:sz w:val="24"/>
          <w:szCs w:val="24"/>
        </w:rPr>
      </w:pPr>
    </w:p>
    <w:p w:rsidR="00FC2C90" w:rsidRDefault="00DB129A">
      <w:pPr>
        <w:spacing w:after="0" w:line="240" w:lineRule="auto"/>
        <w:jc w:val="both"/>
        <w:rPr>
          <w:rFonts w:ascii="Times New Roman" w:eastAsia="Times New Roman" w:hAnsi="Times New Roman"/>
          <w:noProof/>
          <w:sz w:val="24"/>
          <w:szCs w:val="24"/>
        </w:rPr>
      </w:pPr>
      <w:r>
        <w:rPr>
          <w:rFonts w:ascii="Times New Roman" w:hAnsi="Times New Roman"/>
          <w:noProof/>
          <w:sz w:val="24"/>
        </w:rPr>
        <w:t>Като цяло, определенията в членове 2—5 от Директива 2011/64/ЕС са ефективни за адекватното събиране на акцизи. От друга страна, определенията не са най-подходящите за целите на наблюдението на движението и държането на скл</w:t>
      </w:r>
      <w:r>
        <w:rPr>
          <w:rFonts w:ascii="Times New Roman" w:hAnsi="Times New Roman"/>
          <w:noProof/>
          <w:sz w:val="24"/>
        </w:rPr>
        <w:t xml:space="preserve">ад на обработен тютюн. </w:t>
      </w:r>
    </w:p>
    <w:p w:rsidR="00FC2C90" w:rsidRDefault="00FC2C90">
      <w:pPr>
        <w:spacing w:after="0" w:line="240" w:lineRule="auto"/>
        <w:jc w:val="both"/>
        <w:rPr>
          <w:rFonts w:ascii="Times New Roman" w:eastAsia="Times New Roman" w:hAnsi="Times New Roman"/>
          <w:noProof/>
          <w:sz w:val="24"/>
          <w:szCs w:val="24"/>
        </w:rPr>
      </w:pPr>
    </w:p>
    <w:p w:rsidR="00FC2C90" w:rsidRDefault="00FC2C90">
      <w:pPr>
        <w:spacing w:after="0" w:line="240" w:lineRule="auto"/>
        <w:jc w:val="both"/>
        <w:rPr>
          <w:rFonts w:ascii="Times New Roman" w:eastAsia="Times New Roman" w:hAnsi="Times New Roman"/>
          <w:noProof/>
          <w:sz w:val="24"/>
          <w:szCs w:val="24"/>
        </w:rPr>
      </w:pPr>
    </w:p>
    <w:p w:rsidR="00FC2C90" w:rsidRDefault="00DB129A">
      <w:pPr>
        <w:pStyle w:val="Heading2"/>
        <w:rPr>
          <w:rFonts w:ascii="Times New Roman" w:eastAsia="Calibri" w:hAnsi="Times New Roman"/>
          <w:bCs w:val="0"/>
          <w:i w:val="0"/>
          <w:iCs w:val="0"/>
          <w:noProof/>
          <w:sz w:val="24"/>
          <w:szCs w:val="22"/>
        </w:rPr>
      </w:pPr>
      <w:bookmarkStart w:id="15" w:name="_Toc433017696"/>
      <w:bookmarkStart w:id="16" w:name="_Toc438204729"/>
      <w:r>
        <w:rPr>
          <w:rFonts w:ascii="Times New Roman" w:hAnsi="Times New Roman"/>
          <w:i w:val="0"/>
          <w:smallCaps/>
          <w:noProof/>
          <w:sz w:val="24"/>
        </w:rPr>
        <w:t xml:space="preserve">3.4 </w:t>
      </w:r>
      <w:r>
        <w:rPr>
          <w:noProof/>
        </w:rPr>
        <w:t xml:space="preserve"> </w:t>
      </w:r>
      <w:r>
        <w:rPr>
          <w:rFonts w:ascii="Times New Roman" w:eastAsia="Calibri" w:hAnsi="Times New Roman"/>
          <w:bCs w:val="0"/>
          <w:i w:val="0"/>
          <w:iCs w:val="0"/>
          <w:noProof/>
          <w:sz w:val="24"/>
          <w:szCs w:val="22"/>
        </w:rPr>
        <w:t>Обратна информация от заинтересованите страни във връзка с оценката</w:t>
      </w:r>
      <w:bookmarkEnd w:id="15"/>
      <w:bookmarkEnd w:id="16"/>
    </w:p>
    <w:p w:rsidR="00FC2C90" w:rsidRDefault="00DB129A">
      <w:pPr>
        <w:pStyle w:val="Default"/>
        <w:jc w:val="both"/>
        <w:rPr>
          <w:rFonts w:ascii="Times New Roman" w:hAnsi="Times New Roman" w:cs="Times New Roman"/>
          <w:noProof/>
        </w:rPr>
      </w:pPr>
      <w:r>
        <w:rPr>
          <w:rFonts w:ascii="Times New Roman" w:hAnsi="Times New Roman"/>
          <w:noProof/>
        </w:rPr>
        <w:t>Ръководната група, която следеше изготвянето на оценката, покани заинтересованите страни да представят своите мнения относно констатациите по време на среща,</w:t>
      </w:r>
      <w:r>
        <w:rPr>
          <w:rFonts w:ascii="Times New Roman" w:hAnsi="Times New Roman"/>
          <w:noProof/>
        </w:rPr>
        <w:t xml:space="preserve"> организирана на 6 юни 2014 г. в Брюксел. Поканата включваше всички заинтересовани страни, имащи отношение към въпроса, в това число органите на държавите членки, икономическите оператори, асоциациите, работещи в областта на здравеопазването, и сдруженията</w:t>
      </w:r>
      <w:r>
        <w:rPr>
          <w:rFonts w:ascii="Times New Roman" w:hAnsi="Times New Roman"/>
          <w:noProof/>
        </w:rPr>
        <w:t xml:space="preserve"> на потребителите. След срещата Комисията получи писмени коментари от 3 държави членки, 12 сдружения или федерации, представляващи икономически оператори, и една мрежа на неправителствени организации, работещи в областта на общественото здраве в Европа.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Получените коментари бяха различни по своето естество. Като цяло, по-голяма подкрепа получиха констатациите на оценката, отколкото съдържащите се в нея препоръки. Според повечето заинтересовани страни препоръките се нуждаят от допълнителен анализ. Освен из</w:t>
      </w:r>
      <w:r>
        <w:rPr>
          <w:rFonts w:ascii="Times New Roman" w:hAnsi="Times New Roman"/>
          <w:noProof/>
        </w:rPr>
        <w:t>разената подкрепа за някои от констатациите, бяха получени много въпроси във връзка с методологията и използването на данните.</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 xml:space="preserve">Беше изразена загриженост във връзка с по-големия брой представители на някои заинтересовани страни, което се отразява на общия </w:t>
      </w:r>
      <w:r>
        <w:rPr>
          <w:rFonts w:ascii="Times New Roman" w:hAnsi="Times New Roman"/>
          <w:noProof/>
        </w:rPr>
        <w:t xml:space="preserve">набор от данни. Някои респонденти отговориха на въпросника по централизиран начин, докато други поискаха националните поразделения да отговорят поотделно. Външният изпълнител взе предвид това и внесе съответните корекции.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Бяха получени няколко критични б</w:t>
      </w:r>
      <w:r>
        <w:rPr>
          <w:rFonts w:ascii="Times New Roman" w:hAnsi="Times New Roman"/>
          <w:noProof/>
        </w:rPr>
        <w:t>ележки относно изчисляването на ценовата еластичност на търсенето и допусканията във връзка с обема на незаконната търговия, както и решението да се използват данни на Euromonitor. Външният изпълнител осигури подходящо разяснение на тези въпроси в окончате</w:t>
      </w:r>
      <w:r>
        <w:rPr>
          <w:rFonts w:ascii="Times New Roman" w:hAnsi="Times New Roman"/>
          <w:noProof/>
        </w:rPr>
        <w:t xml:space="preserve">лната публикация.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noProof/>
        </w:rPr>
      </w:pPr>
      <w:r>
        <w:rPr>
          <w:rFonts w:ascii="Times New Roman" w:hAnsi="Times New Roman"/>
          <w:noProof/>
        </w:rPr>
        <w:t xml:space="preserve">Според някои респонденти оценката трябваше да е насочена и към здравните аспекти, свързани с употребата на тютюневи изделия и данъчното облагане. Това обаче се счита за преждевременно, тъй като би означавало да се отчита въздействието на новата </w:t>
      </w:r>
      <w:hyperlink r:id="rId17">
        <w:r>
          <w:rPr>
            <w:rStyle w:val="Hyperlink"/>
            <w:rFonts w:ascii="Times New Roman" w:hAnsi="Times New Roman"/>
            <w:noProof/>
          </w:rPr>
          <w:t>Директива за тютюневите изделия</w:t>
        </w:r>
      </w:hyperlink>
      <w:r>
        <w:rPr>
          <w:noProof/>
        </w:rPr>
        <w:t xml:space="preserve"> </w:t>
      </w:r>
      <w:r>
        <w:rPr>
          <w:rFonts w:ascii="Times New Roman" w:hAnsi="Times New Roman"/>
          <w:noProof/>
        </w:rPr>
        <w:t>(2014/40/EС)</w:t>
      </w:r>
      <w:r>
        <w:rPr>
          <w:rFonts w:ascii="Times New Roman" w:hAnsi="Times New Roman"/>
          <w:noProof/>
          <w:vertAlign w:val="superscript"/>
        </w:rPr>
        <w:footnoteReference w:id="14"/>
      </w:r>
      <w:r>
        <w:rPr>
          <w:rFonts w:ascii="Times New Roman" w:hAnsi="Times New Roman"/>
          <w:noProof/>
        </w:rPr>
        <w:t>, която трябва да бъде приведена в изпълнение до май 2016 г. Във всеки случай новата Директива за тютюневите изделия все още не беше при</w:t>
      </w:r>
      <w:r>
        <w:rPr>
          <w:rFonts w:ascii="Times New Roman" w:hAnsi="Times New Roman"/>
          <w:noProof/>
        </w:rPr>
        <w:t xml:space="preserve">ета по време на основния етап на извършването на оценката. </w:t>
      </w:r>
    </w:p>
    <w:p w:rsidR="00FC2C90" w:rsidRDefault="00FC2C90">
      <w:pPr>
        <w:pStyle w:val="Default"/>
        <w:jc w:val="both"/>
        <w:rPr>
          <w:rFonts w:ascii="Times New Roman" w:hAnsi="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 xml:space="preserve">Освен информацията относно обхвата и методологията на оценката, беше получена и обратна информация относно съдържащите се в оценката препоръки (вж. също </w:t>
      </w:r>
      <w:hyperlink w:anchor="_5.2_Recommendations" w:history="1">
        <w:r>
          <w:rPr>
            <w:rStyle w:val="Hyperlink"/>
            <w:rFonts w:ascii="Times New Roman" w:hAnsi="Times New Roman"/>
            <w:noProof/>
          </w:rPr>
          <w:t>па</w:t>
        </w:r>
        <w:r>
          <w:rPr>
            <w:rStyle w:val="Hyperlink"/>
            <w:rFonts w:ascii="Times New Roman" w:hAnsi="Times New Roman"/>
            <w:noProof/>
          </w:rPr>
          <w:t>раграф 5.2</w:t>
        </w:r>
      </w:hyperlink>
      <w:r>
        <w:rPr>
          <w:noProof/>
        </w:rPr>
        <w:t>).</w:t>
      </w:r>
    </w:p>
    <w:p w:rsidR="00FC2C90" w:rsidRDefault="00FC2C90">
      <w:pPr>
        <w:pStyle w:val="Default"/>
        <w:jc w:val="both"/>
        <w:rPr>
          <w:rFonts w:ascii="Times New Roman" w:hAnsi="Times New Roman" w:cs="Times New Roman"/>
          <w:noProof/>
        </w:rPr>
      </w:pPr>
    </w:p>
    <w:p w:rsidR="00FC2C90" w:rsidRDefault="00DB129A">
      <w:pPr>
        <w:pStyle w:val="Default"/>
        <w:numPr>
          <w:ilvl w:val="0"/>
          <w:numId w:val="2"/>
        </w:numPr>
        <w:jc w:val="both"/>
        <w:rPr>
          <w:rFonts w:ascii="Times New Roman" w:hAnsi="Times New Roman" w:cs="Times New Roman"/>
          <w:noProof/>
        </w:rPr>
      </w:pPr>
      <w:r>
        <w:rPr>
          <w:rFonts w:ascii="Times New Roman" w:hAnsi="Times New Roman"/>
          <w:noProof/>
        </w:rPr>
        <w:t xml:space="preserve">Според някои респонденти препоръката да се обмисли хармонизиране на минималните ставки за пурите/пуретите с тези за цигарите ще окаже непропорционално въздействие. </w:t>
      </w:r>
    </w:p>
    <w:p w:rsidR="00FC2C90" w:rsidRDefault="00DB129A">
      <w:pPr>
        <w:pStyle w:val="Default"/>
        <w:numPr>
          <w:ilvl w:val="0"/>
          <w:numId w:val="2"/>
        </w:numPr>
        <w:jc w:val="both"/>
        <w:rPr>
          <w:rFonts w:ascii="Times New Roman" w:hAnsi="Times New Roman" w:cs="Times New Roman"/>
          <w:noProof/>
        </w:rPr>
      </w:pPr>
      <w:r>
        <w:rPr>
          <w:rFonts w:ascii="Times New Roman" w:hAnsi="Times New Roman"/>
          <w:noProof/>
        </w:rPr>
        <w:t>Други не са убедени, че включването на суровия тютюн в обхвата на разпоредбит</w:t>
      </w:r>
      <w:r>
        <w:rPr>
          <w:rFonts w:ascii="Times New Roman" w:hAnsi="Times New Roman"/>
          <w:noProof/>
        </w:rPr>
        <w:t xml:space="preserve">е относно държането на склад и движението на обработен тютюн би решило констатираните проблеми. </w:t>
      </w:r>
    </w:p>
    <w:p w:rsidR="00FC2C90" w:rsidRDefault="00DB129A">
      <w:pPr>
        <w:pStyle w:val="Default"/>
        <w:numPr>
          <w:ilvl w:val="0"/>
          <w:numId w:val="2"/>
        </w:numPr>
        <w:jc w:val="both"/>
        <w:rPr>
          <w:rFonts w:ascii="Times New Roman" w:hAnsi="Times New Roman" w:cs="Times New Roman"/>
          <w:noProof/>
        </w:rPr>
      </w:pPr>
      <w:r>
        <w:rPr>
          <w:rFonts w:ascii="Times New Roman" w:hAnsi="Times New Roman"/>
          <w:noProof/>
        </w:rPr>
        <w:t>Някои респонденти считат, че би било нецелесъобразно да се препоръча премахването на несъответствията между категориите акцизи и кодовете по КН, тъй като кодов</w:t>
      </w:r>
      <w:r>
        <w:rPr>
          <w:rFonts w:ascii="Times New Roman" w:hAnsi="Times New Roman"/>
          <w:noProof/>
        </w:rPr>
        <w:t xml:space="preserve">ете по КН са разработени за други цели. </w:t>
      </w:r>
    </w:p>
    <w:p w:rsidR="00FC2C90" w:rsidRDefault="00DB129A">
      <w:pPr>
        <w:pStyle w:val="Default"/>
        <w:numPr>
          <w:ilvl w:val="0"/>
          <w:numId w:val="2"/>
        </w:numPr>
        <w:jc w:val="both"/>
        <w:rPr>
          <w:rFonts w:ascii="Times New Roman" w:hAnsi="Times New Roman" w:cs="Times New Roman"/>
          <w:noProof/>
        </w:rPr>
      </w:pPr>
      <w:r>
        <w:rPr>
          <w:rFonts w:ascii="Times New Roman" w:hAnsi="Times New Roman"/>
          <w:noProof/>
        </w:rPr>
        <w:t>Някои участници бяха на мнение, че електронните цигари не следва да бъдат включени в приложното поле на настоящата директива, а би трябвало да се обмисли отделна инициатива за хармонизиран подход за данъчно облагане</w:t>
      </w:r>
      <w:r>
        <w:rPr>
          <w:rFonts w:ascii="Times New Roman" w:hAnsi="Times New Roman"/>
          <w:noProof/>
        </w:rPr>
        <w:t xml:space="preserve"> на тези изделия.</w:t>
      </w:r>
    </w:p>
    <w:p w:rsidR="00FC2C90" w:rsidRDefault="00DB129A">
      <w:pPr>
        <w:spacing w:after="0" w:line="240" w:lineRule="auto"/>
        <w:jc w:val="both"/>
        <w:rPr>
          <w:rFonts w:ascii="Times New Roman Bold" w:eastAsia="Times New Roman" w:hAnsi="Times New Roman Bold"/>
          <w:b/>
          <w:noProof/>
          <w:sz w:val="24"/>
          <w:szCs w:val="24"/>
        </w:rPr>
      </w:pPr>
      <w:r>
        <w:rPr>
          <w:rFonts w:ascii="Times New Roman" w:hAnsi="Times New Roman"/>
          <w:i/>
          <w:noProof/>
          <w:sz w:val="24"/>
        </w:rPr>
        <w:t xml:space="preserve"> </w:t>
      </w:r>
      <w:bookmarkStart w:id="17" w:name="_2.2_Lack_of"/>
      <w:bookmarkEnd w:id="17"/>
      <w:r>
        <w:rPr>
          <w:rFonts w:ascii="Times New Roman" w:eastAsia="Times New Roman" w:hAnsi="Times New Roman"/>
          <w:i/>
          <w:noProof/>
          <w:sz w:val="24"/>
          <w:szCs w:val="24"/>
        </w:rPr>
        <w:br/>
      </w:r>
    </w:p>
    <w:p w:rsidR="00FC2C90" w:rsidRDefault="00DB129A">
      <w:pPr>
        <w:pStyle w:val="Heading1"/>
        <w:rPr>
          <w:rFonts w:ascii="Times New Roman" w:hAnsi="Times New Roman"/>
          <w:noProof/>
        </w:rPr>
      </w:pPr>
      <w:bookmarkStart w:id="18" w:name="_4._Issues_arising"/>
      <w:bookmarkStart w:id="19" w:name="_Toc433017697"/>
      <w:bookmarkStart w:id="20" w:name="_Toc438204730"/>
      <w:bookmarkEnd w:id="18"/>
      <w:r>
        <w:rPr>
          <w:noProof/>
        </w:rPr>
        <w:t xml:space="preserve">4. </w:t>
      </w:r>
      <w:r>
        <w:rPr>
          <w:noProof/>
          <w:u w:val="single"/>
        </w:rPr>
        <w:t>Въпроси, възникващи във връзка с оценката:</w:t>
      </w:r>
      <w:r>
        <w:rPr>
          <w:rFonts w:ascii="Times New Roman" w:hAnsi="Times New Roman"/>
          <w:noProof/>
          <w:u w:val="single"/>
        </w:rPr>
        <w:t xml:space="preserve"> определения</w:t>
      </w:r>
      <w:bookmarkEnd w:id="19"/>
      <w:bookmarkEnd w:id="20"/>
    </w:p>
    <w:p w:rsidR="00FC2C90" w:rsidRDefault="00DB129A">
      <w:pPr>
        <w:pStyle w:val="Default"/>
        <w:jc w:val="both"/>
        <w:rPr>
          <w:rFonts w:ascii="Times New Roman" w:hAnsi="Times New Roman" w:cs="Times New Roman"/>
          <w:noProof/>
        </w:rPr>
      </w:pPr>
      <w:r>
        <w:rPr>
          <w:rFonts w:ascii="Times New Roman" w:hAnsi="Times New Roman"/>
          <w:noProof/>
        </w:rPr>
        <w:t>След влизането в сила на Директива 2011/64/ЕС определенията на цигари, пурети, пури и тютюн за пушене бяха изменени с цел отчитане на опасенията във връзка с пропуски в предходн</w:t>
      </w:r>
      <w:r>
        <w:rPr>
          <w:rFonts w:ascii="Times New Roman" w:hAnsi="Times New Roman"/>
          <w:noProof/>
        </w:rPr>
        <w:t>и определения. При оценката беше обърнато внимание на функционирането на новите определения. Бяха установени редица въпроси, които се нуждаят от допълнително разглеждане. Те са изброени в следващите параграфи.</w:t>
      </w:r>
    </w:p>
    <w:p w:rsidR="00FC2C90" w:rsidRDefault="00FC2C90">
      <w:pPr>
        <w:pStyle w:val="Default"/>
        <w:jc w:val="both"/>
        <w:rPr>
          <w:rFonts w:ascii="Times New Roman" w:hAnsi="Times New Roman" w:cs="Times New Roman"/>
          <w:noProof/>
        </w:rPr>
      </w:pPr>
    </w:p>
    <w:p w:rsidR="00FC2C90" w:rsidRDefault="00DB129A">
      <w:pPr>
        <w:pStyle w:val="Heading2"/>
        <w:rPr>
          <w:rFonts w:ascii="Times New Roman" w:hAnsi="Times New Roman"/>
          <w:i w:val="0"/>
          <w:noProof/>
          <w:sz w:val="24"/>
          <w:szCs w:val="24"/>
        </w:rPr>
      </w:pPr>
      <w:bookmarkStart w:id="21" w:name="_Toc433017698"/>
      <w:bookmarkStart w:id="22" w:name="_Toc438204731"/>
      <w:r>
        <w:rPr>
          <w:rFonts w:ascii="Times New Roman" w:hAnsi="Times New Roman"/>
          <w:i w:val="0"/>
          <w:noProof/>
          <w:sz w:val="24"/>
        </w:rPr>
        <w:t>4.1 Функциониране на настоящите определения</w:t>
      </w:r>
      <w:bookmarkEnd w:id="21"/>
      <w:bookmarkEnd w:id="22"/>
    </w:p>
    <w:p w:rsidR="00FC2C90" w:rsidRDefault="00DB129A">
      <w:pPr>
        <w:pStyle w:val="Heading3"/>
        <w:rPr>
          <w:rFonts w:ascii="Times New Roman" w:hAnsi="Times New Roman"/>
          <w:b w:val="0"/>
          <w:i/>
          <w:noProof/>
          <w:sz w:val="24"/>
          <w:szCs w:val="24"/>
        </w:rPr>
      </w:pPr>
      <w:bookmarkStart w:id="23" w:name="_Toc433017699"/>
      <w:bookmarkStart w:id="24" w:name="_Toc438204732"/>
      <w:r>
        <w:rPr>
          <w:rFonts w:ascii="Times New Roman" w:hAnsi="Times New Roman"/>
          <w:b w:val="0"/>
          <w:i/>
          <w:noProof/>
          <w:sz w:val="24"/>
        </w:rPr>
        <w:t>4.1.1 Субективни критерии</w:t>
      </w:r>
      <w:bookmarkEnd w:id="23"/>
      <w:bookmarkEnd w:id="24"/>
    </w:p>
    <w:p w:rsidR="00FC2C90" w:rsidRDefault="00DB129A">
      <w:pPr>
        <w:pStyle w:val="Default"/>
        <w:jc w:val="both"/>
        <w:rPr>
          <w:rFonts w:ascii="Times New Roman" w:hAnsi="Times New Roman" w:cs="Times New Roman"/>
          <w:noProof/>
        </w:rPr>
      </w:pPr>
      <w:r>
        <w:rPr>
          <w:rFonts w:ascii="Times New Roman" w:hAnsi="Times New Roman"/>
          <w:noProof/>
        </w:rPr>
        <w:t>Настоящите определения съдържат редица субективни изрази. Затова класирането на продуктите за целите на облагане с акциз изисква известно субективно тълкуване. Заинтересованите страни критикуват функционирането на настоящите опред</w:t>
      </w:r>
      <w:r>
        <w:rPr>
          <w:rFonts w:ascii="Times New Roman" w:hAnsi="Times New Roman"/>
          <w:noProof/>
        </w:rPr>
        <w:t xml:space="preserve">еления, по-специално съдържащите се в тях субективни елементи. Оценката установи следните трудности: </w:t>
      </w:r>
    </w:p>
    <w:p w:rsidR="00FC2C90" w:rsidRDefault="00FC2C90">
      <w:pPr>
        <w:pStyle w:val="Default"/>
        <w:rPr>
          <w:rFonts w:ascii="Times New Roman" w:hAnsi="Times New Roman" w:cs="Times New Roman"/>
          <w:noProof/>
        </w:rPr>
      </w:pPr>
    </w:p>
    <w:p w:rsidR="00FC2C90" w:rsidRDefault="00DB129A">
      <w:pPr>
        <w:pStyle w:val="Default"/>
        <w:numPr>
          <w:ilvl w:val="0"/>
          <w:numId w:val="3"/>
        </w:numPr>
        <w:jc w:val="both"/>
        <w:rPr>
          <w:rFonts w:ascii="Times New Roman" w:hAnsi="Times New Roman" w:cs="Times New Roman"/>
          <w:noProof/>
        </w:rPr>
      </w:pPr>
      <w:r>
        <w:rPr>
          <w:rFonts w:ascii="Times New Roman" w:hAnsi="Times New Roman"/>
          <w:noProof/>
        </w:rPr>
        <w:t xml:space="preserve">Настоящата формулировка на член 5, по-специално изрази като </w:t>
      </w:r>
      <w:r>
        <w:rPr>
          <w:rFonts w:ascii="Times New Roman" w:hAnsi="Times New Roman"/>
          <w:i/>
          <w:noProof/>
        </w:rPr>
        <w:t>„пригодени за продажба на дребно“</w:t>
      </w:r>
      <w:r>
        <w:rPr>
          <w:rFonts w:ascii="Times New Roman" w:hAnsi="Times New Roman"/>
          <w:noProof/>
        </w:rPr>
        <w:t xml:space="preserve"> и </w:t>
      </w:r>
      <w:r>
        <w:rPr>
          <w:rFonts w:ascii="Times New Roman" w:hAnsi="Times New Roman"/>
          <w:i/>
          <w:noProof/>
        </w:rPr>
        <w:t>„може да се пуши в този вид, без да е необходима допълнит</w:t>
      </w:r>
      <w:r>
        <w:rPr>
          <w:rFonts w:ascii="Times New Roman" w:hAnsi="Times New Roman"/>
          <w:i/>
          <w:noProof/>
        </w:rPr>
        <w:t>елна индустриална обработка“</w:t>
      </w:r>
      <w:r>
        <w:rPr>
          <w:rFonts w:ascii="Times New Roman" w:hAnsi="Times New Roman"/>
          <w:noProof/>
        </w:rPr>
        <w:t xml:space="preserve"> може да породят правна несигурност и диференцирано третиране на едни и същи изделия в държавите членки.</w:t>
      </w:r>
      <w:r>
        <w:rPr>
          <w:rFonts w:ascii="Times New Roman" w:hAnsi="Times New Roman" w:cs="Times New Roman"/>
          <w:noProof/>
        </w:rPr>
        <w:br/>
      </w:r>
    </w:p>
    <w:p w:rsidR="00FC2C90" w:rsidRDefault="00DB129A">
      <w:pPr>
        <w:pStyle w:val="Default"/>
        <w:numPr>
          <w:ilvl w:val="0"/>
          <w:numId w:val="3"/>
        </w:numPr>
        <w:jc w:val="both"/>
        <w:rPr>
          <w:rFonts w:ascii="Times New Roman" w:hAnsi="Times New Roman" w:cs="Times New Roman"/>
          <w:noProof/>
        </w:rPr>
      </w:pPr>
      <w:r>
        <w:rPr>
          <w:rFonts w:ascii="Times New Roman" w:hAnsi="Times New Roman"/>
          <w:noProof/>
        </w:rPr>
        <w:t>Определенията на пури, пурети и тютюн за пушене не предоставят достатъчна правна сигурност за целите на класирането. Несъг</w:t>
      </w:r>
      <w:r>
        <w:rPr>
          <w:rFonts w:ascii="Times New Roman" w:hAnsi="Times New Roman"/>
          <w:noProof/>
        </w:rPr>
        <w:t>ласуваното третиране на изделията от обработен тютюн (по-специално т.нар. „гранични изделия“) може да доведе до различно данъчно положение във всяка държава членка. Това би могло да застраши правилното функциониране на вътрешния пазар. Половината от държав</w:t>
      </w:r>
      <w:r>
        <w:rPr>
          <w:rFonts w:ascii="Times New Roman" w:hAnsi="Times New Roman"/>
          <w:noProof/>
        </w:rPr>
        <w:t>ите членки посочват примери за изделия, които според тях представляват опит за злоупотреба с настоящите определения с цел възползване от по-благоприятно данъчно третиране</w:t>
      </w:r>
      <w:r>
        <w:rPr>
          <w:rStyle w:val="FootnoteReference"/>
          <w:rFonts w:ascii="Times New Roman" w:hAnsi="Times New Roman"/>
          <w:noProof/>
        </w:rPr>
        <w:footnoteReference w:id="15"/>
      </w:r>
      <w:r>
        <w:rPr>
          <w:noProof/>
        </w:rPr>
        <w:t>.</w:t>
      </w:r>
      <w:r>
        <w:rPr>
          <w:rFonts w:ascii="Times New Roman" w:hAnsi="Times New Roman"/>
          <w:noProof/>
        </w:rPr>
        <w:t xml:space="preserve"> Няколко икономически оператори отбелязват, че някои от по-малките пури или пурети, </w:t>
      </w:r>
      <w:r>
        <w:rPr>
          <w:rFonts w:ascii="Times New Roman" w:hAnsi="Times New Roman"/>
          <w:noProof/>
        </w:rPr>
        <w:t>ползващи се от по-ниска акцизна ставка, следва да бъдат разглеждани като цигари. Според тях тези продукти са преки заместители на цигарите</w:t>
      </w:r>
      <w:r>
        <w:rPr>
          <w:rStyle w:val="FootnoteReference"/>
          <w:rFonts w:ascii="Times New Roman" w:hAnsi="Times New Roman"/>
          <w:noProof/>
        </w:rPr>
        <w:footnoteReference w:id="16"/>
      </w:r>
      <w:r>
        <w:rPr>
          <w:noProof/>
        </w:rPr>
        <w:t>.</w:t>
      </w:r>
    </w:p>
    <w:p w:rsidR="00FC2C90" w:rsidRDefault="00FC2C90">
      <w:pPr>
        <w:pStyle w:val="Default"/>
        <w:jc w:val="both"/>
        <w:rPr>
          <w:rFonts w:ascii="Times New Roman" w:hAnsi="Times New Roman" w:cs="Times New Roman"/>
          <w:noProof/>
        </w:rPr>
      </w:pPr>
    </w:p>
    <w:p w:rsidR="00FC2C90" w:rsidRDefault="00DB129A">
      <w:pPr>
        <w:pStyle w:val="Default"/>
        <w:numPr>
          <w:ilvl w:val="0"/>
          <w:numId w:val="3"/>
        </w:numPr>
        <w:jc w:val="both"/>
        <w:rPr>
          <w:rFonts w:ascii="Times New Roman" w:hAnsi="Times New Roman" w:cs="Times New Roman"/>
          <w:noProof/>
        </w:rPr>
      </w:pPr>
      <w:r>
        <w:rPr>
          <w:rFonts w:ascii="Times New Roman" w:hAnsi="Times New Roman"/>
          <w:noProof/>
        </w:rPr>
        <w:t>Твърде свободните формулировки на определенията в Директивата или липсата на определения (вж.</w:t>
      </w:r>
      <w:r>
        <w:rPr>
          <w:noProof/>
        </w:rPr>
        <w:t xml:space="preserve"> </w:t>
      </w:r>
      <w:hyperlink w:anchor="_4.2_Absence_of" w:history="1">
        <w:r>
          <w:rPr>
            <w:rStyle w:val="Hyperlink"/>
            <w:rFonts w:ascii="Times New Roman" w:hAnsi="Times New Roman"/>
            <w:noProof/>
          </w:rPr>
          <w:t>параграф 4.2</w:t>
        </w:r>
      </w:hyperlink>
      <w:r>
        <w:rPr>
          <w:noProof/>
        </w:rPr>
        <w:t xml:space="preserve">) </w:t>
      </w:r>
      <w:r>
        <w:rPr>
          <w:rFonts w:ascii="Times New Roman" w:hAnsi="Times New Roman"/>
          <w:noProof/>
        </w:rPr>
        <w:t>водят до правна несигурност. Например, класирането на изделие, което дори не е свързано с особено сложни проблеми, може да отнеме на операторите между 2 и 8 часа работа</w:t>
      </w:r>
      <w:r>
        <w:rPr>
          <w:rStyle w:val="FootnoteReference"/>
          <w:rFonts w:ascii="Times New Roman" w:hAnsi="Times New Roman"/>
          <w:noProof/>
        </w:rPr>
        <w:footnoteReference w:id="17"/>
      </w:r>
      <w:r>
        <w:rPr>
          <w:noProof/>
        </w:rPr>
        <w:t>.</w:t>
      </w:r>
      <w:r>
        <w:rPr>
          <w:rFonts w:ascii="Times New Roman" w:hAnsi="Times New Roman"/>
          <w:noProof/>
        </w:rPr>
        <w:t xml:space="preserve"> Ако класирането поражда проблем, тогава е необходимо дор</w:t>
      </w:r>
      <w:r>
        <w:rPr>
          <w:rFonts w:ascii="Times New Roman" w:hAnsi="Times New Roman"/>
          <w:noProof/>
        </w:rPr>
        <w:t>и повече време. Поради това въздействието на правната несигурност за отделните оператори или данъчните администрации може да бъде значително.</w:t>
      </w:r>
    </w:p>
    <w:p w:rsidR="00FC2C90" w:rsidRDefault="00DB129A">
      <w:pPr>
        <w:pStyle w:val="Heading3"/>
        <w:rPr>
          <w:rFonts w:ascii="Times New Roman" w:hAnsi="Times New Roman"/>
          <w:b w:val="0"/>
          <w:i/>
          <w:noProof/>
          <w:sz w:val="24"/>
          <w:szCs w:val="24"/>
        </w:rPr>
      </w:pPr>
      <w:bookmarkStart w:id="25" w:name="_Toc433017700"/>
      <w:bookmarkStart w:id="26" w:name="_Toc438204733"/>
      <w:r>
        <w:rPr>
          <w:rFonts w:ascii="Times New Roman" w:hAnsi="Times New Roman"/>
          <w:b w:val="0"/>
          <w:i/>
          <w:noProof/>
          <w:sz w:val="24"/>
        </w:rPr>
        <w:t>4.1.2 Несъответствия между мита и акцизи</w:t>
      </w:r>
      <w:bookmarkEnd w:id="25"/>
      <w:bookmarkEnd w:id="26"/>
    </w:p>
    <w:p w:rsidR="00FC2C90" w:rsidRDefault="00DB129A">
      <w:pPr>
        <w:spacing w:after="0" w:line="240" w:lineRule="auto"/>
        <w:rPr>
          <w:rFonts w:ascii="Times New Roman" w:hAnsi="Times New Roman"/>
          <w:noProof/>
          <w:sz w:val="24"/>
          <w:szCs w:val="24"/>
        </w:rPr>
      </w:pPr>
      <w:r>
        <w:rPr>
          <w:rFonts w:ascii="Times New Roman" w:hAnsi="Times New Roman"/>
          <w:noProof/>
          <w:sz w:val="24"/>
        </w:rPr>
        <w:t>Понастоящем са налице две различни системи за класиране на изделията за ц</w:t>
      </w:r>
      <w:r>
        <w:rPr>
          <w:rFonts w:ascii="Times New Roman" w:hAnsi="Times New Roman"/>
          <w:noProof/>
          <w:sz w:val="24"/>
        </w:rPr>
        <w:t xml:space="preserve">елите на облагане с акцизи и мита. По-специално, определенията в членове 2—5 от Директива 2011/64/ЕС не са изцяло в съответствие с класификационната система за митнически цели. </w:t>
      </w:r>
      <w:r>
        <w:rPr>
          <w:noProof/>
        </w:rPr>
        <w:t xml:space="preserve">Несъответствията водят до по-високи разходи за привеждане в съответствие както </w:t>
      </w:r>
      <w:r>
        <w:rPr>
          <w:noProof/>
        </w:rPr>
        <w:t>за данъчните администрации, така и за икономическите оператори</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В частност, по-малките оператори съобщават за проблеми поради различните определения за целите на облагане с акцизи и мита, които могат да доведат до увеличаване на разходите за привеждане в </w:t>
      </w:r>
      <w:r>
        <w:rPr>
          <w:rFonts w:ascii="Times New Roman" w:hAnsi="Times New Roman"/>
          <w:noProof/>
          <w:sz w:val="24"/>
        </w:rPr>
        <w:t xml:space="preserve">съответствие, тъй като тези оператори трябва да извършват подобни стъпки два пъти в рамките на различните системи, използвани от органите. </w:t>
      </w:r>
      <w:r>
        <w:rPr>
          <w:noProof/>
        </w:rPr>
        <w:t>Като цяло, 68 % от операторите са докладвали, че различаващите се определения водят до голямо увеличение на администр</w:t>
      </w:r>
      <w:r>
        <w:rPr>
          <w:noProof/>
        </w:rPr>
        <w:t>ативните разходи, а 4 % дори считат, че увеличението е много голямо</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w:t>
      </w:r>
    </w:p>
    <w:p w:rsidR="00FC2C90" w:rsidRDefault="00FC2C90">
      <w:pPr>
        <w:pStyle w:val="Default"/>
        <w:jc w:val="both"/>
        <w:rPr>
          <w:rFonts w:ascii="Times New Roman" w:hAnsi="Times New Roman" w:cs="Times New Roman"/>
          <w:noProof/>
        </w:rPr>
      </w:pPr>
    </w:p>
    <w:p w:rsidR="00FC2C90" w:rsidRDefault="00DB129A">
      <w:pPr>
        <w:pStyle w:val="Heading3"/>
        <w:jc w:val="both"/>
        <w:rPr>
          <w:rFonts w:ascii="Times New Roman" w:hAnsi="Times New Roman"/>
          <w:b w:val="0"/>
          <w:i/>
          <w:noProof/>
          <w:sz w:val="24"/>
          <w:szCs w:val="24"/>
        </w:rPr>
      </w:pPr>
      <w:bookmarkStart w:id="27" w:name="_Toc433017701"/>
      <w:bookmarkStart w:id="28" w:name="_Toc438204734"/>
      <w:r>
        <w:rPr>
          <w:rFonts w:ascii="Times New Roman" w:hAnsi="Times New Roman"/>
          <w:b w:val="0"/>
          <w:i/>
          <w:noProof/>
          <w:sz w:val="24"/>
        </w:rPr>
        <w:t>4.1.3 Минимални акцизи</w:t>
      </w:r>
      <w:bookmarkEnd w:id="27"/>
      <w:bookmarkEnd w:id="28"/>
    </w:p>
    <w:p w:rsidR="00FC2C90" w:rsidRDefault="00DB129A">
      <w:pPr>
        <w:pStyle w:val="Default"/>
        <w:jc w:val="both"/>
        <w:rPr>
          <w:rFonts w:ascii="Times New Roman" w:eastAsia="Times New Roman" w:hAnsi="Times New Roman" w:cs="Times New Roman"/>
          <w:noProof/>
        </w:rPr>
      </w:pPr>
      <w:r>
        <w:rPr>
          <w:rFonts w:ascii="Times New Roman" w:hAnsi="Times New Roman"/>
          <w:noProof/>
        </w:rPr>
        <w:t xml:space="preserve">От 2011 г. държавите членки имат възможността да налагат минимален акциз върху цигарите. Въвеждането на минималния акциз трябваше да им предостави рамкови </w:t>
      </w:r>
      <w:r>
        <w:rPr>
          <w:rFonts w:ascii="Times New Roman" w:hAnsi="Times New Roman"/>
          <w:noProof/>
        </w:rPr>
        <w:t>правила за определянето на този минимален размер по един и същи начин. Въпреки това оценката констатира, че член 8, параграф 6 не е ясен и че на практика прилагането в отделните държави членки се различава. Интервютата с представители на държавите членки п</w:t>
      </w:r>
      <w:r>
        <w:rPr>
          <w:rFonts w:ascii="Times New Roman" w:hAnsi="Times New Roman"/>
          <w:noProof/>
        </w:rPr>
        <w:t>оказват, че понастоящем при определянето на минималния акциз се използва широк спектър от тълкувания</w:t>
      </w:r>
      <w:r>
        <w:rPr>
          <w:rStyle w:val="FootnoteReference"/>
          <w:rFonts w:ascii="Times New Roman" w:hAnsi="Times New Roman"/>
          <w:noProof/>
        </w:rPr>
        <w:footnoteReference w:id="20"/>
      </w:r>
      <w:r>
        <w:rPr>
          <w:noProof/>
        </w:rPr>
        <w:t>.</w:t>
      </w:r>
      <w:r>
        <w:rPr>
          <w:rFonts w:ascii="Times New Roman" w:hAnsi="Times New Roman"/>
          <w:noProof/>
        </w:rPr>
        <w:t xml:space="preserve"> </w:t>
      </w:r>
    </w:p>
    <w:p w:rsidR="00FC2C90" w:rsidRDefault="00DB129A">
      <w:pPr>
        <w:pStyle w:val="Heading2"/>
        <w:rPr>
          <w:rFonts w:ascii="Times New Roman" w:hAnsi="Times New Roman"/>
          <w:i w:val="0"/>
          <w:noProof/>
          <w:sz w:val="24"/>
          <w:szCs w:val="24"/>
        </w:rPr>
      </w:pPr>
      <w:bookmarkStart w:id="29" w:name="_4.2_Absence_of"/>
      <w:bookmarkEnd w:id="29"/>
      <w:r>
        <w:rPr>
          <w:rFonts w:ascii="Times New Roman" w:hAnsi="Times New Roman"/>
          <w:i w:val="0"/>
          <w:noProof/>
          <w:sz w:val="24"/>
          <w:szCs w:val="24"/>
        </w:rPr>
        <w:br/>
      </w:r>
      <w:bookmarkStart w:id="30" w:name="_Toc433017702"/>
      <w:bookmarkStart w:id="31" w:name="_Toc438204735"/>
      <w:r>
        <w:rPr>
          <w:rFonts w:ascii="Times New Roman" w:hAnsi="Times New Roman"/>
          <w:i w:val="0"/>
          <w:noProof/>
          <w:sz w:val="24"/>
        </w:rPr>
        <w:t>4.2 Липса на определения</w:t>
      </w:r>
      <w:bookmarkEnd w:id="30"/>
      <w:bookmarkEnd w:id="31"/>
    </w:p>
    <w:p w:rsidR="00FC2C90" w:rsidRDefault="00DB129A">
      <w:pPr>
        <w:pStyle w:val="Default"/>
        <w:jc w:val="both"/>
        <w:rPr>
          <w:rFonts w:ascii="Times New Roman" w:hAnsi="Times New Roman" w:cs="Times New Roman"/>
          <w:noProof/>
        </w:rPr>
      </w:pPr>
      <w:r>
        <w:rPr>
          <w:rFonts w:ascii="Times New Roman" w:hAnsi="Times New Roman"/>
          <w:noProof/>
        </w:rPr>
        <w:t xml:space="preserve">Понастоящем в Директива 2011/64/ЕС се съдържат определения за цигари, пурети, пури и тютюн за пушене.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Някои продукти, за кои</w:t>
      </w:r>
      <w:r>
        <w:rPr>
          <w:rFonts w:ascii="Times New Roman" w:hAnsi="Times New Roman"/>
          <w:noProof/>
        </w:rPr>
        <w:t xml:space="preserve">то няма определения, биха могли да попадат в една от тези категории (например, тютюнът за водна лула). Други биха могли да попаднат извън обхвата на Директивата (такъв е обикновено случаят при суровия тютюн, някои междинни продукти и електронните цигари). </w:t>
      </w:r>
      <w:r>
        <w:rPr>
          <w:rFonts w:ascii="Times New Roman" w:hAnsi="Times New Roman"/>
          <w:noProof/>
        </w:rPr>
        <w:t>В някои държави членки на пазара се появяват нови тютюневи изделия, включващи загряване, които пораждат различия в третирането</w:t>
      </w:r>
      <w:r>
        <w:rPr>
          <w:rStyle w:val="FootnoteReference"/>
          <w:rFonts w:ascii="Times New Roman" w:hAnsi="Times New Roman"/>
          <w:noProof/>
        </w:rPr>
        <w:footnoteReference w:id="21"/>
      </w:r>
      <w:r>
        <w:rPr>
          <w:noProof/>
        </w:rPr>
        <w:t>.</w:t>
      </w:r>
      <w:r>
        <w:rPr>
          <w:rFonts w:ascii="Times New Roman" w:hAnsi="Times New Roman"/>
          <w:noProof/>
        </w:rPr>
        <w:t xml:space="preserve"> Тези тютюневи изделия, „изискващи загряване, а не изгаряне“, се различават от електронните цигари по това, че съдържат тютюн. Н</w:t>
      </w:r>
      <w:r>
        <w:rPr>
          <w:rFonts w:ascii="Times New Roman" w:hAnsi="Times New Roman"/>
          <w:noProof/>
        </w:rPr>
        <w:t xml:space="preserve">о вместо изгаряне на тютюн при тях протича процес на загряване (за разлика от горенето).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Някои държави членки и икономически оператори съобщават, че настоящите определения вече не отговарят на предвидената цел. Това се дължи не само на развитието на паза</w:t>
      </w:r>
      <w:r>
        <w:rPr>
          <w:rFonts w:ascii="Times New Roman" w:hAnsi="Times New Roman"/>
          <w:noProof/>
        </w:rPr>
        <w:t>ра, но също така на съмнения дали настоящите определения са достатъчно ефективни, за да предотвратят незаконната търговия.</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Въпреки че признава, че задачата за предотвратяване на незаконната търговия с акцизни продукти (по-специално по отношение на привежд</w:t>
      </w:r>
      <w:r>
        <w:rPr>
          <w:rFonts w:ascii="Times New Roman" w:hAnsi="Times New Roman"/>
          <w:noProof/>
        </w:rPr>
        <w:t>ането в изпълнение) попада основно в рамките на отговорностите на държавите членки, Комисията е на мнение, че правилата на ЕС следва да бъдат възможно най-ефективни, за да се противодейства на този вид търговия. През последните години ЕС увеличи усилията с</w:t>
      </w:r>
      <w:r>
        <w:rPr>
          <w:rFonts w:ascii="Times New Roman" w:hAnsi="Times New Roman"/>
          <w:noProof/>
        </w:rPr>
        <w:t>и с подписването на</w:t>
      </w:r>
      <w:r>
        <w:rPr>
          <w:noProof/>
        </w:rPr>
        <w:t xml:space="preserve"> </w:t>
      </w:r>
      <w:hyperlink r:id="rId18">
        <w:r>
          <w:rPr>
            <w:rStyle w:val="Hyperlink"/>
            <w:rFonts w:ascii="Times New Roman" w:hAnsi="Times New Roman"/>
            <w:noProof/>
          </w:rPr>
          <w:t>Протокола за премахване на незаконната търговия с тютюневи изделия</w:t>
        </w:r>
      </w:hyperlink>
      <w:r>
        <w:rPr>
          <w:rFonts w:ascii="Times New Roman" w:hAnsi="Times New Roman"/>
          <w:noProof/>
        </w:rPr>
        <w:t>, приемането на Директивата за тютюневите изделия, съдържаща изрични разпоредби срещу нез</w:t>
      </w:r>
      <w:r>
        <w:rPr>
          <w:rFonts w:ascii="Times New Roman" w:hAnsi="Times New Roman"/>
          <w:noProof/>
        </w:rPr>
        <w:t>аконната търговия, и програмата за действие, изложена в съобщението на Комисията от 6 юни 2013 г.</w:t>
      </w:r>
      <w:r>
        <w:rPr>
          <w:rStyle w:val="FootnoteReference"/>
          <w:rFonts w:ascii="Times New Roman" w:hAnsi="Times New Roman"/>
          <w:noProof/>
        </w:rPr>
        <w:footnoteReference w:id="22"/>
      </w:r>
      <w:r>
        <w:rPr>
          <w:rFonts w:ascii="Times New Roman" w:hAnsi="Times New Roman"/>
          <w:noProof/>
        </w:rPr>
        <w:t xml:space="preserve"> Според оценката размерът на загубите от акцизи поради незаконна търговия се изчислява на около 11,1 млрд. евро годишно</w:t>
      </w:r>
      <w:r>
        <w:rPr>
          <w:rStyle w:val="FootnoteReference"/>
          <w:rFonts w:ascii="Times New Roman" w:hAnsi="Times New Roman"/>
          <w:noProof/>
        </w:rPr>
        <w:footnoteReference w:id="23"/>
      </w:r>
      <w:r>
        <w:rPr>
          <w:rFonts w:ascii="Times New Roman" w:hAnsi="Times New Roman"/>
          <w:noProof/>
        </w:rPr>
        <w:t>. Според изчисленията на външния изпъл</w:t>
      </w:r>
      <w:r>
        <w:rPr>
          <w:rFonts w:ascii="Times New Roman" w:hAnsi="Times New Roman"/>
          <w:noProof/>
        </w:rPr>
        <w:t>нител намаляването на незаконната търговия би могло да доведе до потенциално събиране на акцизи от порядъка на 6,1—7,2 млрд. евро годишно след корекция, отразяваща обусловеното от цените намаление на равнището на потреблението (изчислено въз основа на сред</w:t>
      </w:r>
      <w:r>
        <w:rPr>
          <w:rFonts w:ascii="Times New Roman" w:hAnsi="Times New Roman"/>
          <w:noProof/>
        </w:rPr>
        <w:t>ната еластичност на цената на даден пазар)</w:t>
      </w:r>
      <w:r>
        <w:rPr>
          <w:rStyle w:val="FootnoteReference"/>
          <w:rFonts w:ascii="Times New Roman" w:hAnsi="Times New Roman"/>
          <w:noProof/>
        </w:rPr>
        <w:footnoteReference w:id="24"/>
      </w:r>
      <w:r>
        <w:rPr>
          <w:rFonts w:ascii="Times New Roman" w:hAnsi="Times New Roman"/>
          <w:noProof/>
        </w:rPr>
        <w:t xml:space="preserve">.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 xml:space="preserve">Бяха установени и други проблеми: </w:t>
      </w:r>
    </w:p>
    <w:p w:rsidR="00FC2C90" w:rsidRDefault="00FC2C90">
      <w:pPr>
        <w:spacing w:after="0" w:line="240" w:lineRule="auto"/>
        <w:jc w:val="both"/>
        <w:rPr>
          <w:rFonts w:ascii="Times New Roman" w:eastAsia="Times New Roman" w:hAnsi="Times New Roman"/>
          <w:noProof/>
          <w:sz w:val="24"/>
          <w:szCs w:val="24"/>
        </w:rPr>
      </w:pPr>
    </w:p>
    <w:p w:rsidR="00FC2C90" w:rsidRDefault="00DB129A">
      <w:pPr>
        <w:pStyle w:val="Default"/>
        <w:numPr>
          <w:ilvl w:val="0"/>
          <w:numId w:val="2"/>
        </w:numPr>
        <w:jc w:val="both"/>
        <w:rPr>
          <w:rFonts w:ascii="Times New Roman" w:hAnsi="Times New Roman" w:cs="Times New Roman"/>
          <w:noProof/>
        </w:rPr>
      </w:pPr>
      <w:r>
        <w:rPr>
          <w:rFonts w:ascii="Times New Roman" w:hAnsi="Times New Roman"/>
          <w:noProof/>
        </w:rPr>
        <w:t>Определенията не позволяват правилното и пълно прилагане нито на системата за движението и контрола на акцизни стоки (EMCS), нито на съответните разпоредби за административн</w:t>
      </w:r>
      <w:r>
        <w:rPr>
          <w:rFonts w:ascii="Times New Roman" w:hAnsi="Times New Roman"/>
          <w:noProof/>
        </w:rPr>
        <w:t>о сътрудничество и обмен на информация, които се разглеждат като ключови елементи в борбата с измамите. Това се дължи, по-специално, на ограничения обхват на Директива 2011/64/ЕС, от който са изключени определени изделия (като суровият тютюн). Няколко държ</w:t>
      </w:r>
      <w:r>
        <w:rPr>
          <w:rFonts w:ascii="Times New Roman" w:hAnsi="Times New Roman"/>
          <w:noProof/>
        </w:rPr>
        <w:t>ави членки посочват, че все по-голямо количество суров тютюн се отклонява от законни към незаконни търговски канали или се продава пряко на крайните потребители.</w:t>
      </w:r>
    </w:p>
    <w:p w:rsidR="00FC2C90" w:rsidRDefault="00FC2C90">
      <w:pPr>
        <w:pStyle w:val="Default"/>
        <w:jc w:val="both"/>
        <w:rPr>
          <w:rFonts w:ascii="Times New Roman" w:hAnsi="Times New Roman" w:cs="Times New Roman"/>
          <w:noProof/>
        </w:rPr>
      </w:pPr>
    </w:p>
    <w:p w:rsidR="00FC2C90" w:rsidRDefault="00DB129A">
      <w:pPr>
        <w:pStyle w:val="Default"/>
        <w:numPr>
          <w:ilvl w:val="0"/>
          <w:numId w:val="2"/>
        </w:numPr>
        <w:jc w:val="both"/>
        <w:rPr>
          <w:rFonts w:ascii="Times New Roman" w:hAnsi="Times New Roman" w:cs="Times New Roman"/>
          <w:noProof/>
        </w:rPr>
      </w:pPr>
      <w:r>
        <w:rPr>
          <w:rFonts w:ascii="Times New Roman" w:hAnsi="Times New Roman"/>
          <w:noProof/>
        </w:rPr>
        <w:t>Несъгласуваното третиране на редица изделия (напр. междинни продукти, суров тютюн и странични</w:t>
      </w:r>
      <w:r>
        <w:rPr>
          <w:rFonts w:ascii="Times New Roman" w:hAnsi="Times New Roman"/>
          <w:noProof/>
        </w:rPr>
        <w:t xml:space="preserve"> продукти) в държавите членки има връзка с ограничената възможност на органите на държавите членки за наблюдение на тютюневите изделия.</w:t>
      </w:r>
    </w:p>
    <w:p w:rsidR="00FC2C90" w:rsidRDefault="00FC2C90">
      <w:pPr>
        <w:pStyle w:val="Default"/>
        <w:jc w:val="both"/>
        <w:rPr>
          <w:rFonts w:ascii="Times New Roman" w:hAnsi="Times New Roman" w:cs="Times New Roman"/>
          <w:noProof/>
        </w:rPr>
      </w:pPr>
    </w:p>
    <w:p w:rsidR="00FC2C90" w:rsidRDefault="00DB129A">
      <w:pPr>
        <w:pStyle w:val="Default"/>
        <w:numPr>
          <w:ilvl w:val="0"/>
          <w:numId w:val="2"/>
        </w:numPr>
        <w:jc w:val="both"/>
        <w:rPr>
          <w:rFonts w:ascii="Times New Roman" w:hAnsi="Times New Roman" w:cs="Times New Roman"/>
          <w:noProof/>
        </w:rPr>
      </w:pPr>
      <w:r>
        <w:rPr>
          <w:rFonts w:ascii="Times New Roman" w:hAnsi="Times New Roman"/>
          <w:noProof/>
        </w:rPr>
        <w:t>„Универсалният“ подход, съдържащ се в определенията в член 5, води до сравнително по-високо данъчно облагане на продукт</w:t>
      </w:r>
      <w:r>
        <w:rPr>
          <w:rFonts w:ascii="Times New Roman" w:hAnsi="Times New Roman"/>
          <w:noProof/>
        </w:rPr>
        <w:t>и с различни характеристики, като например тютюна за водна лула, в сравнение с други продукти от същата категория.</w:t>
      </w:r>
    </w:p>
    <w:p w:rsidR="00FC2C90" w:rsidRDefault="00FC2C90">
      <w:pPr>
        <w:pStyle w:val="Default"/>
        <w:jc w:val="both"/>
        <w:rPr>
          <w:rFonts w:ascii="Times New Roman" w:hAnsi="Times New Roman" w:cs="Times New Roman"/>
          <w:noProof/>
        </w:rPr>
      </w:pPr>
    </w:p>
    <w:p w:rsidR="00FC2C90" w:rsidRDefault="00DB129A">
      <w:pPr>
        <w:pStyle w:val="Default"/>
        <w:numPr>
          <w:ilvl w:val="0"/>
          <w:numId w:val="2"/>
        </w:numPr>
        <w:jc w:val="both"/>
        <w:rPr>
          <w:rFonts w:ascii="Times New Roman" w:hAnsi="Times New Roman" w:cs="Times New Roman"/>
          <w:noProof/>
        </w:rPr>
      </w:pPr>
      <w:r>
        <w:rPr>
          <w:rFonts w:ascii="Times New Roman" w:hAnsi="Times New Roman"/>
          <w:noProof/>
        </w:rPr>
        <w:t xml:space="preserve">Изключването на електронните цигари от обхвата на акцизните стоки може да има съществено дългосрочно въздействие върху бюджета на държавите </w:t>
      </w:r>
      <w:r>
        <w:rPr>
          <w:rFonts w:ascii="Times New Roman" w:hAnsi="Times New Roman"/>
          <w:noProof/>
        </w:rPr>
        <w:t>членки. Някои държави членки са започнали да събират национален данък върху тези изделия. С времето това би могло да застраши правилното функциониране на вътрешния пазар, ако други държави членки решат да направят същото по некоординиран начин, което би до</w:t>
      </w:r>
      <w:r>
        <w:rPr>
          <w:rFonts w:ascii="Times New Roman" w:hAnsi="Times New Roman"/>
          <w:noProof/>
        </w:rPr>
        <w:t>вело до различно третиране в рамките на ЕС.</w:t>
      </w:r>
    </w:p>
    <w:p w:rsidR="00FC2C90" w:rsidRDefault="00FC2C90">
      <w:pPr>
        <w:spacing w:after="0" w:line="240" w:lineRule="auto"/>
        <w:jc w:val="both"/>
        <w:rPr>
          <w:rFonts w:ascii="Times New Roman" w:eastAsia="Times New Roman" w:hAnsi="Times New Roman"/>
          <w:noProof/>
          <w:sz w:val="24"/>
          <w:szCs w:val="24"/>
        </w:rPr>
      </w:pPr>
    </w:p>
    <w:p w:rsidR="00FC2C90" w:rsidRDefault="00FC2C90">
      <w:pPr>
        <w:spacing w:after="0" w:line="240" w:lineRule="auto"/>
        <w:jc w:val="both"/>
        <w:rPr>
          <w:rFonts w:ascii="Times New Roman" w:eastAsia="Times New Roman" w:hAnsi="Times New Roman"/>
          <w:noProof/>
          <w:sz w:val="24"/>
          <w:szCs w:val="24"/>
        </w:rPr>
      </w:pPr>
    </w:p>
    <w:p w:rsidR="00FC2C90" w:rsidRDefault="00DB129A">
      <w:pPr>
        <w:pStyle w:val="Heading1"/>
        <w:rPr>
          <w:noProof/>
          <w:u w:val="single"/>
        </w:rPr>
      </w:pPr>
      <w:bookmarkStart w:id="32" w:name="_Toc433017703"/>
      <w:bookmarkStart w:id="33" w:name="_Toc438204736"/>
      <w:r>
        <w:rPr>
          <w:noProof/>
          <w:u w:val="single"/>
        </w:rPr>
        <w:t>5. Заключения и препоръки на оценката</w:t>
      </w:r>
      <w:bookmarkEnd w:id="32"/>
      <w:bookmarkEnd w:id="33"/>
      <w:r>
        <w:rPr>
          <w:noProof/>
          <w:u w:val="single"/>
        </w:rPr>
        <w:t xml:space="preserve"> </w:t>
      </w:r>
    </w:p>
    <w:p w:rsidR="00FC2C90" w:rsidRDefault="00DB129A">
      <w:pPr>
        <w:pStyle w:val="Heading2"/>
        <w:rPr>
          <w:rFonts w:ascii="Times New Roman" w:hAnsi="Times New Roman"/>
          <w:i w:val="0"/>
          <w:noProof/>
          <w:sz w:val="24"/>
          <w:szCs w:val="24"/>
        </w:rPr>
      </w:pPr>
      <w:bookmarkStart w:id="34" w:name="_Toc433017704"/>
      <w:bookmarkStart w:id="35" w:name="_Toc438204737"/>
      <w:r>
        <w:rPr>
          <w:rFonts w:ascii="Times New Roman" w:hAnsi="Times New Roman"/>
          <w:i w:val="0"/>
          <w:noProof/>
          <w:sz w:val="24"/>
        </w:rPr>
        <w:t>5.1 Качество на оценката</w:t>
      </w:r>
      <w:bookmarkEnd w:id="34"/>
      <w:bookmarkEnd w:id="35"/>
    </w:p>
    <w:p w:rsidR="00FC2C90" w:rsidRDefault="00DB129A">
      <w:pPr>
        <w:pStyle w:val="Default"/>
        <w:jc w:val="both"/>
        <w:rPr>
          <w:rFonts w:ascii="Times New Roman" w:hAnsi="Times New Roman" w:cs="Times New Roman"/>
          <w:noProof/>
        </w:rPr>
      </w:pPr>
      <w:r>
        <w:rPr>
          <w:rFonts w:ascii="Times New Roman" w:hAnsi="Times New Roman"/>
          <w:noProof/>
        </w:rPr>
        <w:t xml:space="preserve">Комисията разгледа внимателно външната оценка и взе под внимание обратната информация, получена от заинтересованите страни. Според Комисията </w:t>
      </w:r>
      <w:r>
        <w:rPr>
          <w:rFonts w:ascii="Times New Roman" w:hAnsi="Times New Roman"/>
          <w:noProof/>
        </w:rPr>
        <w:t>работата на екипа, извършил оценката, съответства на нейните стандарти за оценка</w:t>
      </w:r>
      <w:r>
        <w:rPr>
          <w:rFonts w:ascii="Times New Roman" w:hAnsi="Times New Roman"/>
          <w:noProof/>
          <w:vertAlign w:val="superscript"/>
        </w:rPr>
        <w:footnoteReference w:id="25"/>
      </w:r>
      <w:r>
        <w:rPr>
          <w:rFonts w:ascii="Times New Roman" w:hAnsi="Times New Roman"/>
          <w:noProof/>
        </w:rPr>
        <w:t>. Преценките и заключенията в оценката произтичат непосредствено от констатациите, направени въз основа на събрания фактологичен материал. За да се гарантира надеждността на р</w:t>
      </w:r>
      <w:r>
        <w:rPr>
          <w:rFonts w:ascii="Times New Roman" w:hAnsi="Times New Roman"/>
          <w:noProof/>
        </w:rPr>
        <w:t>езултатите, в оценката се използват няколко метода за събиране на данни, включително проучвания, интервюта, събиране и анализ на документи и проучвания на конкретни случаи. Като цяло тази съвкупност от разнообразни методики беше счетена за достатъчна от Ко</w:t>
      </w:r>
      <w:r>
        <w:rPr>
          <w:rFonts w:ascii="Times New Roman" w:hAnsi="Times New Roman"/>
          <w:noProof/>
        </w:rPr>
        <w:t xml:space="preserve">мисията и заинтересованите страни.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eastAsia="Times New Roman" w:hAnsi="Times New Roman" w:cs="Times New Roman"/>
          <w:noProof/>
        </w:rPr>
      </w:pPr>
      <w:r>
        <w:rPr>
          <w:rFonts w:ascii="Times New Roman" w:hAnsi="Times New Roman"/>
          <w:noProof/>
        </w:rPr>
        <w:t xml:space="preserve">Комисията обаче е наясно, че поради липса на данни или информация, за да се отговори на въпросите за оценка, е трябвало неизбежно да се направят някои допускания. При някои констатации липсва информация относно </w:t>
      </w:r>
      <w:r>
        <w:rPr>
          <w:rFonts w:ascii="Times New Roman" w:hAnsi="Times New Roman"/>
          <w:noProof/>
        </w:rPr>
        <w:t xml:space="preserve">разходите и ползите, например, по отношение на двойната класификация и наблюдението на суровия тютюн. Освен това, тъй като оценката се съсредоточава върху ефективността и ефикасността, в нея не са разгледани подробно въпроси, свързани с целесъобразността, </w:t>
      </w:r>
      <w:r>
        <w:rPr>
          <w:rFonts w:ascii="Times New Roman" w:hAnsi="Times New Roman"/>
          <w:noProof/>
        </w:rPr>
        <w:t>съгласуваността и добавената стойност за ЕС. В оценката не се разглежда потенциалният ефект от новата Директива за тютюневите изделия (2014/40/ЕС), която също се очаква да окаже въздействие върху потреблението на тютюневи изделия</w:t>
      </w:r>
      <w:r>
        <w:rPr>
          <w:rStyle w:val="FootnoteReference"/>
          <w:rFonts w:ascii="Times New Roman" w:hAnsi="Times New Roman"/>
          <w:noProof/>
        </w:rPr>
        <w:footnoteReference w:id="26"/>
      </w:r>
      <w:r>
        <w:rPr>
          <w:noProof/>
        </w:rPr>
        <w:t>.</w:t>
      </w:r>
      <w:r>
        <w:rPr>
          <w:rFonts w:ascii="Times New Roman" w:hAnsi="Times New Roman"/>
          <w:noProof/>
        </w:rPr>
        <w:t xml:space="preserve"> </w:t>
      </w:r>
    </w:p>
    <w:p w:rsidR="00FC2C90" w:rsidRDefault="00FC2C90">
      <w:pPr>
        <w:pStyle w:val="Default"/>
        <w:jc w:val="both"/>
        <w:rPr>
          <w:rFonts w:ascii="Times New Roman" w:eastAsia="Times New Roman" w:hAnsi="Times New Roman" w:cs="Times New Roman"/>
          <w:noProof/>
        </w:rPr>
      </w:pPr>
    </w:p>
    <w:p w:rsidR="00FC2C90" w:rsidRDefault="00DB129A">
      <w:pPr>
        <w:pStyle w:val="Heading2"/>
        <w:rPr>
          <w:rFonts w:ascii="Times New Roman" w:hAnsi="Times New Roman"/>
          <w:noProof/>
        </w:rPr>
      </w:pPr>
      <w:bookmarkStart w:id="36" w:name="_5.2_Recommendations"/>
      <w:bookmarkStart w:id="37" w:name="_Toc433017705"/>
      <w:bookmarkStart w:id="38" w:name="_Toc438204738"/>
      <w:bookmarkEnd w:id="36"/>
      <w:r>
        <w:rPr>
          <w:rFonts w:ascii="Times New Roman" w:hAnsi="Times New Roman"/>
          <w:i w:val="0"/>
          <w:noProof/>
          <w:sz w:val="24"/>
        </w:rPr>
        <w:t>5.2 Препоръки</w:t>
      </w:r>
      <w:bookmarkEnd w:id="37"/>
      <w:bookmarkEnd w:id="38"/>
    </w:p>
    <w:p w:rsidR="00FC2C90" w:rsidRDefault="00DB129A">
      <w:pPr>
        <w:keepNext/>
        <w:spacing w:before="120" w:after="120" w:line="240" w:lineRule="auto"/>
        <w:jc w:val="both"/>
        <w:rPr>
          <w:rFonts w:ascii="Times New Roman" w:eastAsia="Times New Roman" w:hAnsi="Times New Roman"/>
          <w:b/>
          <w:noProof/>
          <w:sz w:val="24"/>
          <w:szCs w:val="24"/>
        </w:rPr>
      </w:pPr>
      <w:r>
        <w:rPr>
          <w:rFonts w:ascii="Times New Roman" w:hAnsi="Times New Roman"/>
          <w:noProof/>
          <w:sz w:val="24"/>
        </w:rPr>
        <w:t>Въз осно</w:t>
      </w:r>
      <w:r>
        <w:rPr>
          <w:rFonts w:ascii="Times New Roman" w:hAnsi="Times New Roman"/>
          <w:noProof/>
          <w:sz w:val="24"/>
        </w:rPr>
        <w:t>ва на събрания фактологичен материал оценителите отправиха 16 препоръки с оглед подобряване на функционирането на нормативната уредба относно акциза върху обработен тютюн.</w:t>
      </w:r>
    </w:p>
    <w:p w:rsidR="00FC2C90" w:rsidRDefault="00DB129A">
      <w:pPr>
        <w:keepNext/>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Таблица </w:t>
      </w:r>
      <w:r>
        <w:rPr>
          <w:rFonts w:ascii="Times New Roman" w:eastAsia="Times New Roman" w:hAnsi="Times New Roman"/>
          <w:b/>
          <w:noProof/>
          <w:sz w:val="24"/>
          <w:szCs w:val="24"/>
        </w:rPr>
        <w:fldChar w:fldCharType="begin" w:fldLock="1"/>
      </w:r>
      <w:r>
        <w:rPr>
          <w:rFonts w:ascii="Times New Roman" w:eastAsia="Times New Roman" w:hAnsi="Times New Roman"/>
          <w:b/>
          <w:noProof/>
          <w:sz w:val="24"/>
          <w:szCs w:val="24"/>
        </w:rPr>
        <w:instrText xml:space="preserve"> SEQ Table \* ARABIC </w:instrText>
      </w:r>
      <w:r>
        <w:rPr>
          <w:rFonts w:ascii="Times New Roman" w:eastAsia="Times New Roman" w:hAnsi="Times New Roman"/>
          <w:b/>
          <w:noProof/>
          <w:sz w:val="24"/>
          <w:szCs w:val="24"/>
        </w:rPr>
        <w:fldChar w:fldCharType="separate"/>
      </w:r>
      <w:r>
        <w:rPr>
          <w:rFonts w:ascii="Times New Roman" w:eastAsia="Times New Roman" w:hAnsi="Times New Roman"/>
          <w:b/>
          <w:noProof/>
          <w:sz w:val="24"/>
          <w:szCs w:val="24"/>
        </w:rPr>
        <w:t>1</w:t>
      </w:r>
      <w:r>
        <w:rPr>
          <w:rFonts w:ascii="Times New Roman" w:eastAsia="Times New Roman" w:hAnsi="Times New Roman"/>
          <w:b/>
          <w:noProof/>
          <w:sz w:val="24"/>
          <w:szCs w:val="24"/>
        </w:rPr>
        <w:fldChar w:fldCharType="end"/>
      </w:r>
      <w:r>
        <w:rPr>
          <w:rFonts w:ascii="Times New Roman" w:hAnsi="Times New Roman"/>
          <w:b/>
          <w:noProof/>
          <w:sz w:val="24"/>
        </w:rPr>
        <w:t xml:space="preserve"> — Препоръки, съдържащи се във външната оценка</w:t>
      </w:r>
      <w:r>
        <w:rPr>
          <w:rStyle w:val="FootnoteReference"/>
          <w:rFonts w:ascii="Times New Roman" w:hAnsi="Times New Roman"/>
          <w:b/>
          <w:noProof/>
          <w:sz w:val="24"/>
        </w:rPr>
        <w:footnoteReference w:id="27"/>
      </w:r>
    </w:p>
    <w:tbl>
      <w:tblPr>
        <w:tblW w:w="9229" w:type="dxa"/>
        <w:tblInd w:w="55" w:type="dxa"/>
        <w:tblLayout w:type="fixed"/>
        <w:tblCellMar>
          <w:left w:w="70" w:type="dxa"/>
          <w:right w:w="70" w:type="dxa"/>
        </w:tblCellMar>
        <w:tblLook w:val="04A0" w:firstRow="1" w:lastRow="0" w:firstColumn="1" w:lastColumn="0" w:noHBand="0" w:noVBand="1"/>
      </w:tblPr>
      <w:tblGrid>
        <w:gridCol w:w="511"/>
        <w:gridCol w:w="8718"/>
      </w:tblGrid>
      <w:tr w:rsidR="00FC2C90">
        <w:trPr>
          <w:trHeight w:val="152"/>
          <w:tblHeader/>
        </w:trPr>
        <w:tc>
          <w:tcPr>
            <w:tcW w:w="51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FC2C90" w:rsidRDefault="00DB129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w:t>
            </w:r>
          </w:p>
        </w:tc>
        <w:tc>
          <w:tcPr>
            <w:tcW w:w="8718"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FC2C90" w:rsidRDefault="00DB129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Препоръка</w:t>
            </w:r>
          </w:p>
        </w:tc>
      </w:tr>
      <w:tr w:rsidR="00FC2C90">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rsidR="00FC2C90" w:rsidRDefault="00DB129A">
            <w:pPr>
              <w:tabs>
                <w:tab w:val="left" w:pos="10081"/>
              </w:tabs>
              <w:spacing w:after="0" w:line="240" w:lineRule="auto"/>
              <w:rPr>
                <w:rFonts w:ascii="Times New Roman" w:eastAsia="Times New Roman" w:hAnsi="Times New Roman"/>
                <w:b/>
                <w:bCs/>
                <w:noProof/>
                <w:color w:val="000000"/>
              </w:rPr>
            </w:pPr>
            <w:r>
              <w:rPr>
                <w:rFonts w:ascii="Times New Roman" w:hAnsi="Times New Roman"/>
                <w:b/>
                <w:noProof/>
                <w:color w:val="000000"/>
              </w:rPr>
              <w:t xml:space="preserve">         Препоръки във връзка с определенията на акцизни тютюневи изделия</w:t>
            </w:r>
          </w:p>
        </w:tc>
      </w:tr>
      <w:tr w:rsidR="00FC2C90">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1.</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Да се направи допълнителен анализ на възможността за включване на електронните цигари в обхвата на акциза върху тютюневите изделия.</w:t>
            </w:r>
          </w:p>
        </w:tc>
      </w:tr>
      <w:tr w:rsidR="00FC2C90">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2.</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Да се направи допълнителен </w:t>
            </w:r>
            <w:r>
              <w:rPr>
                <w:rFonts w:ascii="Times New Roman" w:hAnsi="Times New Roman"/>
                <w:noProof/>
                <w:color w:val="000000"/>
              </w:rPr>
              <w:t>анализ на възможността за включване на суровия тютюн в обхвата на наблюдението на акцизните тютюневи изделия и/или алтернативни решения (при внимателно отчитане на свързаните с това разходи и тежест), за да се гарантира системно наблюдение на логистиката н</w:t>
            </w:r>
            <w:r>
              <w:rPr>
                <w:rFonts w:ascii="Times New Roman" w:hAnsi="Times New Roman"/>
                <w:noProof/>
                <w:color w:val="000000"/>
              </w:rPr>
              <w:t>а суровия тютюн.</w:t>
            </w:r>
          </w:p>
        </w:tc>
      </w:tr>
      <w:tr w:rsidR="00FC2C90">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3.</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Член 4, параграф 1, буква a) следва да бъде приведен в съответствие с Обяснителните бележки към Комбинираната номенклатура (ОБКН) за 2402 10 00.</w:t>
            </w:r>
          </w:p>
        </w:tc>
      </w:tr>
      <w:tr w:rsidR="00FC2C90">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4.</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Формулировката в член 5, параграф 1, буква a) „може да се пуши в този вид, без да е </w:t>
            </w:r>
            <w:r>
              <w:rPr>
                <w:rFonts w:ascii="Times New Roman" w:hAnsi="Times New Roman"/>
                <w:noProof/>
                <w:color w:val="000000"/>
              </w:rPr>
              <w:t>необходима допълнителна индустриална обработка“ да бъде преразгледана с цел да се намали несигурността във връзка с третирането на частично преработения тютюн, пускан за продажба за пушене (например „без по-нататъшна преработка в данъчен склад“).</w:t>
            </w:r>
          </w:p>
        </w:tc>
      </w:tr>
      <w:tr w:rsidR="00FC2C90">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5.</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С </w:t>
            </w:r>
            <w:r>
              <w:rPr>
                <w:rFonts w:ascii="Times New Roman" w:hAnsi="Times New Roman"/>
                <w:noProof/>
                <w:color w:val="000000"/>
              </w:rPr>
              <w:t>оглед на различните характеристики на тютюна за водна лула, да бъде създадена обособена данъчна категория, даваща възможност за налагането на подходяща структура на ставките.</w:t>
            </w:r>
          </w:p>
        </w:tc>
      </w:tr>
      <w:tr w:rsidR="00FC2C90">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6.</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Формулировката в член 5, параграф 1, буква б) „пригодени за продажба на </w:t>
            </w:r>
            <w:r>
              <w:rPr>
                <w:rFonts w:ascii="Times New Roman" w:hAnsi="Times New Roman"/>
                <w:noProof/>
                <w:color w:val="000000"/>
              </w:rPr>
              <w:t>дребно, които могат да се пушат“ следва да бъде преразгледана, като от определението се премахне формулировката „за продажба на дребно“, а кодът по КН следва да бъде приведен в съответствие.</w:t>
            </w:r>
          </w:p>
        </w:tc>
      </w:tr>
      <w:tr w:rsidR="00FC2C90">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7.</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Да се направи допълнителен анализ на възможността експандиран</w:t>
            </w:r>
            <w:r>
              <w:rPr>
                <w:rFonts w:ascii="Times New Roman" w:hAnsi="Times New Roman"/>
                <w:noProof/>
                <w:color w:val="000000"/>
              </w:rPr>
              <w:t>ият тютюн да получи отделен код по КН.</w:t>
            </w:r>
          </w:p>
        </w:tc>
      </w:tr>
      <w:tr w:rsidR="00FC2C90">
        <w:trPr>
          <w:trHeight w:val="317"/>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8.</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За да се отстранят несъответствията и правната несигурност при третирането, да се проучи допълнително възможността за включване на допълнителна данъчна категория в обхвата на Директивата, в която да се включат междинни продукти, за които е необходимо наблю</w:t>
            </w:r>
            <w:r>
              <w:rPr>
                <w:rFonts w:ascii="Times New Roman" w:hAnsi="Times New Roman"/>
                <w:noProof/>
                <w:color w:val="000000"/>
              </w:rPr>
              <w:t xml:space="preserve">дение в рамките на системата за движението и контрола на акцизни стоки (EMCS). Тази категория може да се позовава пряко на приложимите кодове по КН (напр. „възстановени тютюни“, негодни за пушене отпадъци от тютюн, експандиран тютюн и др.). </w:t>
            </w:r>
          </w:p>
        </w:tc>
      </w:tr>
      <w:tr w:rsidR="00FC2C90">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9.</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Да се цели</w:t>
            </w:r>
            <w:r>
              <w:rPr>
                <w:rFonts w:ascii="Times New Roman" w:hAnsi="Times New Roman"/>
                <w:noProof/>
                <w:color w:val="000000"/>
              </w:rPr>
              <w:t xml:space="preserve"> премахването на несъответствията между кодовете по КН и категориите акцизи, като се даде приоритет на необходимостта изделията, недподлежащи на облагане с акциз, да бъдат класирани по един и същи начин по КН като акцизните стоки, а изделията в рамките на </w:t>
            </w:r>
            <w:r>
              <w:rPr>
                <w:rFonts w:ascii="Times New Roman" w:hAnsi="Times New Roman"/>
                <w:noProof/>
                <w:color w:val="000000"/>
              </w:rPr>
              <w:t>едно и също тарифно класиране да могат да бъдат класирани в различни категории акцизи.</w:t>
            </w:r>
          </w:p>
        </w:tc>
      </w:tr>
      <w:tr w:rsidR="00FC2C90">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10.</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Формулировката в член 4, параграф 1 „предвид техните свойства и нормалните очаквания на потребителите, са изключително предназначени за пушене“ следва да бъде </w:t>
            </w:r>
            <w:r>
              <w:rPr>
                <w:rFonts w:ascii="Times New Roman" w:hAnsi="Times New Roman"/>
                <w:noProof/>
                <w:color w:val="000000"/>
              </w:rPr>
              <w:t>преразгледана, за да се гарантира правна яснота и да се сложи край на правната несигурност и скъпоструващите спорове.</w:t>
            </w:r>
          </w:p>
        </w:tc>
      </w:tr>
      <w:tr w:rsidR="00FC2C90">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rsidR="00FC2C90" w:rsidRDefault="00DB129A">
            <w:pPr>
              <w:spacing w:after="0" w:line="240" w:lineRule="auto"/>
              <w:jc w:val="both"/>
              <w:rPr>
                <w:rFonts w:ascii="Times New Roman" w:eastAsia="Times New Roman" w:hAnsi="Times New Roman"/>
                <w:b/>
                <w:bCs/>
                <w:noProof/>
                <w:color w:val="000000"/>
              </w:rPr>
            </w:pPr>
            <w:r>
              <w:rPr>
                <w:rFonts w:ascii="Times New Roman" w:hAnsi="Times New Roman"/>
                <w:b/>
                <w:noProof/>
                <w:color w:val="000000"/>
              </w:rPr>
              <w:t xml:space="preserve">        Препоръки, свързани със ставките и структурата на акциза</w:t>
            </w:r>
          </w:p>
        </w:tc>
      </w:tr>
      <w:tr w:rsidR="00FC2C90">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11.</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Да се разгледа възможността за хармонизиране на минималните акцизи </w:t>
            </w:r>
            <w:r>
              <w:rPr>
                <w:rFonts w:ascii="Times New Roman" w:hAnsi="Times New Roman"/>
                <w:noProof/>
                <w:color w:val="000000"/>
              </w:rPr>
              <w:t>върху пурите/пуретите с тези за цигарите, за да се премахнат стимулите за пускане на пазара на „гранични“ изделия, с които биха могли да се правят опити да се заобиколи плащането на по-високия акциз.</w:t>
            </w:r>
          </w:p>
        </w:tc>
      </w:tr>
      <w:tr w:rsidR="00FC2C90">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12.</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Да се преразгледат член 7, параграф 4 и член 8, параграф 6, за да се премахне несигурността по отношение на ограниченията, наложени на минималните акцизи. </w:t>
            </w:r>
          </w:p>
        </w:tc>
      </w:tr>
      <w:tr w:rsidR="00FC2C90">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tcPr>
          <w:p w:rsidR="00FC2C90" w:rsidRDefault="00DB129A">
            <w:pPr>
              <w:spacing w:after="0" w:line="240" w:lineRule="auto"/>
              <w:jc w:val="both"/>
              <w:rPr>
                <w:rFonts w:ascii="Times New Roman" w:eastAsia="Times New Roman" w:hAnsi="Times New Roman"/>
                <w:b/>
                <w:bCs/>
                <w:noProof/>
                <w:color w:val="000000"/>
              </w:rPr>
            </w:pPr>
            <w:r>
              <w:rPr>
                <w:rFonts w:ascii="Times New Roman" w:hAnsi="Times New Roman"/>
                <w:b/>
                <w:noProof/>
                <w:color w:val="000000"/>
              </w:rPr>
              <w:t xml:space="preserve">        Препоръки, свързани с други теми, анализирани в контекста на настоящата оценка</w:t>
            </w:r>
          </w:p>
        </w:tc>
      </w:tr>
      <w:tr w:rsidR="00FC2C90">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13.</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Би трябвало да се въведе корекция за е-АД с цел коригиране на малки грешки. Не би трябвало обаче да е възможно да се променят основни данни като тези, отнасящи се до количеството, електронния код на продукта, кода по КН и др. </w:t>
            </w:r>
          </w:p>
        </w:tc>
      </w:tr>
      <w:tr w:rsidR="00FC2C90">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14.</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Да се обмисли </w:t>
            </w:r>
            <w:r>
              <w:rPr>
                <w:rFonts w:ascii="Times New Roman" w:hAnsi="Times New Roman"/>
                <w:noProof/>
                <w:color w:val="000000"/>
              </w:rPr>
              <w:t>интегриране на националните системи EMCS в контекста на надзора на пазара и за целите на наказателни разследвания.</w:t>
            </w:r>
          </w:p>
        </w:tc>
      </w:tr>
      <w:tr w:rsidR="00FC2C90">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15.</w:t>
            </w:r>
          </w:p>
        </w:tc>
        <w:tc>
          <w:tcPr>
            <w:tcW w:w="8718" w:type="dxa"/>
            <w:tcBorders>
              <w:top w:val="nil"/>
              <w:left w:val="nil"/>
              <w:bottom w:val="single" w:sz="4"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Транзитните държави следва да бъдат информирани по електронен път за движенията, осъществявани на тяхна територия.</w:t>
            </w:r>
          </w:p>
        </w:tc>
      </w:tr>
      <w:tr w:rsidR="00FC2C90">
        <w:trPr>
          <w:trHeight w:val="297"/>
        </w:trPr>
        <w:tc>
          <w:tcPr>
            <w:tcW w:w="511" w:type="dxa"/>
            <w:tcBorders>
              <w:top w:val="nil"/>
              <w:left w:val="single" w:sz="8" w:space="0" w:color="auto"/>
              <w:bottom w:val="single" w:sz="8" w:space="0" w:color="auto"/>
              <w:right w:val="single" w:sz="4" w:space="0" w:color="auto"/>
            </w:tcBorders>
            <w:shd w:val="clear" w:color="auto" w:fill="auto"/>
            <w:noWrap/>
            <w:vAlign w:val="center"/>
            <w:hideMark/>
          </w:tcPr>
          <w:p w:rsidR="00FC2C90" w:rsidRDefault="00DB129A">
            <w:pPr>
              <w:spacing w:after="0" w:line="240" w:lineRule="auto"/>
              <w:jc w:val="center"/>
              <w:rPr>
                <w:rFonts w:ascii="Times New Roman" w:eastAsia="Times New Roman" w:hAnsi="Times New Roman"/>
                <w:noProof/>
                <w:color w:val="000000"/>
              </w:rPr>
            </w:pPr>
            <w:r>
              <w:rPr>
                <w:rFonts w:ascii="Times New Roman" w:hAnsi="Times New Roman"/>
                <w:noProof/>
                <w:color w:val="000000"/>
              </w:rPr>
              <w:t>16.</w:t>
            </w:r>
          </w:p>
        </w:tc>
        <w:tc>
          <w:tcPr>
            <w:tcW w:w="8718" w:type="dxa"/>
            <w:tcBorders>
              <w:top w:val="nil"/>
              <w:left w:val="nil"/>
              <w:bottom w:val="single" w:sz="8" w:space="0" w:color="auto"/>
              <w:right w:val="single" w:sz="4" w:space="0" w:color="auto"/>
            </w:tcBorders>
            <w:shd w:val="clear" w:color="auto" w:fill="auto"/>
            <w:vAlign w:val="center"/>
            <w:hideMark/>
          </w:tcPr>
          <w:p w:rsidR="00FC2C90" w:rsidRDefault="00DB129A">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Да се обмисли </w:t>
            </w:r>
            <w:r>
              <w:rPr>
                <w:rFonts w:ascii="Times New Roman" w:hAnsi="Times New Roman"/>
                <w:noProof/>
                <w:color w:val="000000"/>
              </w:rPr>
              <w:t>разработването и препоръчването на единен инструмент за анализ на риска, който да се използва на равнището на ЕС.</w:t>
            </w:r>
          </w:p>
        </w:tc>
      </w:tr>
    </w:tbl>
    <w:p w:rsidR="00FC2C90" w:rsidRDefault="00FC2C90">
      <w:pPr>
        <w:spacing w:after="0" w:line="240" w:lineRule="auto"/>
        <w:rPr>
          <w:rFonts w:ascii="Times New Roman" w:eastAsia="Times New Roman" w:hAnsi="Times New Roman"/>
          <w:i/>
          <w:noProof/>
          <w:sz w:val="16"/>
          <w:szCs w:val="16"/>
        </w:rPr>
      </w:pPr>
    </w:p>
    <w:p w:rsidR="00FC2C90" w:rsidRDefault="00FC2C90">
      <w:pPr>
        <w:pStyle w:val="Default"/>
        <w:jc w:val="both"/>
        <w:rPr>
          <w:rFonts w:ascii="Times New Roman" w:hAnsi="Times New Roman" w:cs="Times New Roman"/>
          <w:noProof/>
        </w:rPr>
      </w:pP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Комисията разгледа целесъобразността на всяка една от препоръките и счита, че допълнително проучване заслужават следните предложения</w:t>
      </w:r>
      <w:bookmarkStart w:id="39" w:name="_5.1_Recommendations_and"/>
      <w:bookmarkEnd w:id="39"/>
      <w:r>
        <w:rPr>
          <w:rFonts w:ascii="Times New Roman" w:hAnsi="Times New Roman"/>
          <w:noProof/>
        </w:rPr>
        <w:t>:</w:t>
      </w:r>
    </w:p>
    <w:p w:rsidR="00FC2C90" w:rsidRDefault="00FC2C90">
      <w:pPr>
        <w:pStyle w:val="Default"/>
        <w:jc w:val="both"/>
        <w:rPr>
          <w:rFonts w:ascii="Times New Roman" w:hAnsi="Times New Roman" w:cs="Times New Roman"/>
          <w:noProof/>
        </w:rPr>
      </w:pPr>
    </w:p>
    <w:p w:rsidR="00FC2C90" w:rsidRDefault="00DB129A">
      <w:pPr>
        <w:pStyle w:val="ListBullet"/>
        <w:numPr>
          <w:ilvl w:val="0"/>
          <w:numId w:val="4"/>
        </w:numPr>
        <w:rPr>
          <w:noProof/>
        </w:rPr>
      </w:pPr>
      <w:r>
        <w:rPr>
          <w:noProof/>
        </w:rPr>
        <w:t xml:space="preserve">В </w:t>
      </w:r>
      <w:r>
        <w:rPr>
          <w:noProof/>
        </w:rPr>
        <w:t>препоръки 4, 6, 10 и 12 се предлага да се изработят по-точни определения, за да се намали правната несигурност и да се избегнат възприемането на различни подходи в отделните държави членки и нарушения на вътрешния пазар. Изпълнението на тези препоръки ще о</w:t>
      </w:r>
      <w:r>
        <w:rPr>
          <w:noProof/>
        </w:rPr>
        <w:t>каже въздействие върху работните параметри на други препоръки и би могло да се разглежда като приоритет.</w:t>
      </w:r>
    </w:p>
    <w:p w:rsidR="00FC2C90" w:rsidRDefault="00DB129A">
      <w:pPr>
        <w:pStyle w:val="ListBullet"/>
        <w:numPr>
          <w:ilvl w:val="0"/>
          <w:numId w:val="4"/>
        </w:numPr>
        <w:rPr>
          <w:noProof/>
        </w:rPr>
      </w:pPr>
      <w:r>
        <w:rPr>
          <w:noProof/>
        </w:rPr>
        <w:t xml:space="preserve">Целта на препоръки 3 и 9 е да се опрости настоящата структура чрез внасяне на корекции в категориите или определенията на изделия от обработен тютюн в </w:t>
      </w:r>
      <w:r>
        <w:rPr>
          <w:noProof/>
        </w:rPr>
        <w:t>рамките на акцизното законодателство, за да се отчетат класирането за митнически цели и съответните Обяснителни бележки към КН.</w:t>
      </w:r>
    </w:p>
    <w:p w:rsidR="00FC2C90" w:rsidRDefault="00DB129A">
      <w:pPr>
        <w:pStyle w:val="ListBullet"/>
        <w:rPr>
          <w:noProof/>
        </w:rPr>
      </w:pPr>
      <w:r>
        <w:rPr>
          <w:noProof/>
        </w:rPr>
        <w:t>Препоръки 1, 2, 5 и 8 се отнасят до евентуално въвеждане на нови категории продукти, за да се улесни подходящо, равно данъчно тр</w:t>
      </w:r>
      <w:r>
        <w:rPr>
          <w:noProof/>
        </w:rPr>
        <w:t>етиране на (нови) продукти в рамките на вътрешния пазар и да се даде възможност на държавите членки да упражняват достатъчен мониторинг и контрол.</w:t>
      </w:r>
    </w:p>
    <w:p w:rsidR="00FC2C90" w:rsidRDefault="00DB129A">
      <w:pPr>
        <w:pStyle w:val="ListBullet"/>
        <w:rPr>
          <w:noProof/>
        </w:rPr>
      </w:pPr>
      <w:r>
        <w:rPr>
          <w:noProof/>
        </w:rPr>
        <w:t>Препоръка 11 има за цел да намали заобикалянето на плащането на по-високия акциз. Във връзка с това следва да</w:t>
      </w:r>
      <w:r>
        <w:rPr>
          <w:noProof/>
        </w:rPr>
        <w:t xml:space="preserve"> се има предвид, че срокът на дерогациите от определението на пури и пурети, предоставени на Германия и Унгария, изтече на 31 декември 2014 г.</w:t>
      </w:r>
      <w:r>
        <w:rPr>
          <w:rStyle w:val="FootnoteReference"/>
          <w:noProof/>
        </w:rPr>
        <w:footnoteReference w:id="28"/>
      </w:r>
      <w:r>
        <w:rPr>
          <w:noProof/>
        </w:rPr>
        <w:t>. Освен това настоящата Директива дава възможност на държавите членки да вземат мерки за противодействие на заоби</w:t>
      </w:r>
      <w:r>
        <w:rPr>
          <w:noProof/>
        </w:rPr>
        <w:t xml:space="preserve">калянето чрез увеличаване на акциза единствено върху пурите. </w:t>
      </w:r>
    </w:p>
    <w:p w:rsidR="00FC2C90" w:rsidRDefault="00DB129A">
      <w:pPr>
        <w:pStyle w:val="Default"/>
        <w:jc w:val="both"/>
        <w:rPr>
          <w:rFonts w:ascii="Times New Roman" w:hAnsi="Times New Roman" w:cs="Times New Roman"/>
          <w:noProof/>
        </w:rPr>
      </w:pPr>
      <w:r>
        <w:rPr>
          <w:rFonts w:ascii="Times New Roman" w:hAnsi="Times New Roman"/>
          <w:noProof/>
        </w:rPr>
        <w:t xml:space="preserve">Що се отнася до останалите препоръки, Комисията счита, че те попадат извън обхвата на евентуално преразглеждане на Директива 2011/64/ЕС на Съвета или са само непряко свързани с него. Става дума </w:t>
      </w:r>
      <w:r>
        <w:rPr>
          <w:rFonts w:ascii="Times New Roman" w:hAnsi="Times New Roman"/>
          <w:noProof/>
        </w:rPr>
        <w:t>за следните препоръки:</w:t>
      </w:r>
    </w:p>
    <w:p w:rsidR="00FC2C90" w:rsidRDefault="00FC2C90">
      <w:pPr>
        <w:pStyle w:val="ListBullet"/>
        <w:numPr>
          <w:ilvl w:val="0"/>
          <w:numId w:val="0"/>
        </w:numPr>
        <w:ind w:left="283"/>
        <w:rPr>
          <w:noProof/>
        </w:rPr>
      </w:pPr>
    </w:p>
    <w:p w:rsidR="00FC2C90" w:rsidRDefault="00DB129A">
      <w:pPr>
        <w:pStyle w:val="ListBullet"/>
        <w:numPr>
          <w:ilvl w:val="0"/>
          <w:numId w:val="5"/>
        </w:numPr>
        <w:rPr>
          <w:noProof/>
        </w:rPr>
      </w:pPr>
      <w:r>
        <w:rPr>
          <w:noProof/>
        </w:rPr>
        <w:t>Препоръка 7 и отчасти препоръки 6 и 9 се отнасят до тарифното класиране и съответните кодове по КН. КН се основава на номенклатурата на Хармонизираната система (ХС) с подраздели на Общността към тази номенклатура. Хармонизираната си</w:t>
      </w:r>
      <w:r>
        <w:rPr>
          <w:noProof/>
        </w:rPr>
        <w:t>стема се управлява от Световната митническа организация (СМО). Следователно тези препоръки не попадат в обхвата на Директива 2011/64/ЕС на Съвета. При все това би било възможно да се използва митническата класификационна система като пример за определеният</w:t>
      </w:r>
      <w:r>
        <w:rPr>
          <w:noProof/>
        </w:rPr>
        <w:t>а на изделия от обработен тютюн с цел намаляването на правната несигурност. По този начин биха могли да възникнат и потенциални взаимодействия, водещи до намаляване на разходите, което службите на Комисията ще оценят.</w:t>
      </w:r>
    </w:p>
    <w:p w:rsidR="00FC2C90" w:rsidRDefault="00DB129A">
      <w:pPr>
        <w:pStyle w:val="ListBullet"/>
        <w:numPr>
          <w:ilvl w:val="0"/>
          <w:numId w:val="7"/>
        </w:numPr>
        <w:rPr>
          <w:noProof/>
          <w:szCs w:val="24"/>
        </w:rPr>
      </w:pPr>
      <w:r>
        <w:rPr>
          <w:noProof/>
        </w:rPr>
        <w:t xml:space="preserve">Препоръки 13—16 съдържат корекции, насочени към подобряване на цялостната система за събиране на акциз в държавите членки. Следователно тези препоръки се отнасят в по-голяма степен до паралелната текуща оценка на </w:t>
      </w:r>
      <w:hyperlink r:id="rId19">
        <w:r>
          <w:rPr>
            <w:rStyle w:val="Hyperlink"/>
            <w:noProof/>
          </w:rPr>
          <w:t xml:space="preserve">Директива 2008/118/EО на Съвета </w:t>
        </w:r>
      </w:hyperlink>
      <w:r>
        <w:rPr>
          <w:rStyle w:val="FootnoteReference"/>
          <w:noProof/>
        </w:rPr>
        <w:t>от 16 декември 2008 г. относно общия режим на облагане с акциз и за отмяна на</w:t>
      </w:r>
      <w:r>
        <w:rPr>
          <w:noProof/>
        </w:rPr>
        <w:t xml:space="preserve"> </w:t>
      </w:r>
      <w:hyperlink r:id="rId20">
        <w:r>
          <w:rPr>
            <w:rStyle w:val="Hyperlink"/>
            <w:noProof/>
          </w:rPr>
          <w:t>Директива 92/12/ЕИО</w:t>
        </w:r>
      </w:hyperlink>
      <w:r>
        <w:rPr>
          <w:noProof/>
        </w:rPr>
        <w:t>. Процесът на оценка на тази директива започна през 2014 г. и се очаква да приключи до 2016 г.</w:t>
      </w:r>
    </w:p>
    <w:p w:rsidR="00FC2C90" w:rsidRDefault="00FC2C90">
      <w:pPr>
        <w:pStyle w:val="ListBullet"/>
        <w:numPr>
          <w:ilvl w:val="0"/>
          <w:numId w:val="0"/>
        </w:numPr>
        <w:ind w:left="283" w:hanging="283"/>
        <w:rPr>
          <w:noProof/>
          <w:szCs w:val="24"/>
        </w:rPr>
      </w:pPr>
    </w:p>
    <w:p w:rsidR="00FC2C90" w:rsidRDefault="00DB129A">
      <w:pPr>
        <w:pStyle w:val="Heading1"/>
        <w:rPr>
          <w:noProof/>
        </w:rPr>
      </w:pPr>
      <w:bookmarkStart w:id="40" w:name="_Toc433017706"/>
      <w:bookmarkStart w:id="41" w:name="_Toc438204739"/>
      <w:r>
        <w:rPr>
          <w:noProof/>
        </w:rPr>
        <w:t xml:space="preserve">6. </w:t>
      </w:r>
      <w:r>
        <w:rPr>
          <w:noProof/>
          <w:u w:val="single"/>
        </w:rPr>
        <w:t>Последващи действия и окончателни заключения</w:t>
      </w:r>
      <w:bookmarkEnd w:id="40"/>
      <w:bookmarkEnd w:id="41"/>
    </w:p>
    <w:p w:rsidR="00FC2C90" w:rsidRDefault="00DB129A">
      <w:pPr>
        <w:pStyle w:val="Default"/>
        <w:jc w:val="both"/>
        <w:rPr>
          <w:rFonts w:ascii="Times New Roman" w:hAnsi="Times New Roman" w:cs="Times New Roman"/>
          <w:noProof/>
        </w:rPr>
      </w:pPr>
      <w:r>
        <w:rPr>
          <w:rFonts w:ascii="Times New Roman" w:hAnsi="Times New Roman"/>
          <w:noProof/>
        </w:rPr>
        <w:t xml:space="preserve">Облагането с данъци на потреблението на продукти, като например акцизите върху </w:t>
      </w:r>
      <w:r>
        <w:rPr>
          <w:rFonts w:ascii="Times New Roman" w:hAnsi="Times New Roman"/>
          <w:noProof/>
        </w:rPr>
        <w:t>обработен тютюн, следва да не нарушава конкуренцията и да не възпрепятства възможността за свободно движение на стоките в рамките на ЕС в един правилно функциониращ вътрешен пазар. В рамките на програмата REFIT тази оценка разглежда по-специално въпросите,</w:t>
      </w:r>
      <w:r>
        <w:rPr>
          <w:rFonts w:ascii="Times New Roman" w:hAnsi="Times New Roman"/>
          <w:noProof/>
        </w:rPr>
        <w:t xml:space="preserve"> свързани с ефикасността, ефективността и административната тежест, произтичащи от Директива 2011/64/ЕС, с цел да се гарантира, че законодателството на ЕС в областта на акцизите върху обработен тютюн постига целите на своята политика при минимални разходи.</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noProof/>
        </w:rPr>
      </w:pPr>
      <w:r>
        <w:rPr>
          <w:rFonts w:ascii="Times New Roman" w:hAnsi="Times New Roman"/>
          <w:noProof/>
        </w:rPr>
        <w:t>Като цяло в оценката се констатира, че сегашната структура и равнище на ставките по принцип дават възможност за създаване на неутрални условия на конкуренция и за свободно определяне на цените на вътрешния пазар. Същевременно констатациите от оценката по</w:t>
      </w:r>
      <w:r>
        <w:rPr>
          <w:rFonts w:ascii="Times New Roman" w:hAnsi="Times New Roman"/>
          <w:noProof/>
        </w:rPr>
        <w:t>казват, че възникват някои нарушения във вътрешния пазар поради диференцираното прилагане на минималните акцизи</w:t>
      </w:r>
      <w:r>
        <w:rPr>
          <w:rFonts w:ascii="Times New Roman" w:hAnsi="Times New Roman"/>
          <w:noProof/>
          <w:vertAlign w:val="superscript"/>
        </w:rPr>
        <w:footnoteReference w:id="29"/>
      </w:r>
      <w:r>
        <w:rPr>
          <w:rFonts w:ascii="Times New Roman" w:hAnsi="Times New Roman"/>
          <w:noProof/>
        </w:rPr>
        <w:t>, несъгласуваното третиране на електронните цигари и някои изделия от обработен тютюн и свързаната с данъчното облагане замяна между и в рамките</w:t>
      </w:r>
      <w:r>
        <w:rPr>
          <w:rFonts w:ascii="Times New Roman" w:hAnsi="Times New Roman"/>
          <w:noProof/>
        </w:rPr>
        <w:t xml:space="preserve"> на групи продукти. </w:t>
      </w:r>
    </w:p>
    <w:p w:rsidR="00FC2C90" w:rsidRDefault="00FC2C90">
      <w:pPr>
        <w:pStyle w:val="Default"/>
        <w:jc w:val="both"/>
        <w:rPr>
          <w:rFonts w:ascii="Times New Roman" w:hAnsi="Times New Roman"/>
          <w:noProof/>
        </w:rPr>
      </w:pPr>
    </w:p>
    <w:p w:rsidR="00FC2C90" w:rsidRDefault="00DB129A">
      <w:pPr>
        <w:pStyle w:val="Default"/>
        <w:jc w:val="both"/>
        <w:rPr>
          <w:rFonts w:ascii="Times New Roman" w:hAnsi="Times New Roman"/>
          <w:noProof/>
        </w:rPr>
      </w:pPr>
      <w:r>
        <w:rPr>
          <w:rFonts w:ascii="Times New Roman" w:hAnsi="Times New Roman"/>
          <w:noProof/>
        </w:rPr>
        <w:t>По отношение на REFIT оценката констатира ненужни административни разходи и разходи за привеждане в съответствие за данъчните администрации и за икономическите оператори. Тези разходи се дължат на някои определения, които може да дове</w:t>
      </w:r>
      <w:r>
        <w:rPr>
          <w:rFonts w:ascii="Times New Roman" w:hAnsi="Times New Roman"/>
          <w:noProof/>
        </w:rPr>
        <w:t xml:space="preserve">дат до правна несигурност по отношение на третирането на отделни продукти. Освен това прилагането на различни определения на тютюневите изделия за целите на облагане с акцизи и за митнически цели се оказва проблематично, по-специално за малките и средните </w:t>
      </w:r>
      <w:r>
        <w:rPr>
          <w:rFonts w:ascii="Times New Roman" w:hAnsi="Times New Roman"/>
          <w:noProof/>
        </w:rPr>
        <w:t>предприятия, тъй като води до двойни вписвания и правна несигурност.</w:t>
      </w:r>
    </w:p>
    <w:p w:rsidR="00FC2C90" w:rsidRDefault="00FC2C90">
      <w:pPr>
        <w:pStyle w:val="Default"/>
        <w:jc w:val="both"/>
        <w:rPr>
          <w:rFonts w:ascii="Times New Roman" w:hAnsi="Times New Roman"/>
          <w:noProof/>
        </w:rPr>
      </w:pPr>
    </w:p>
    <w:p w:rsidR="00FC2C90" w:rsidRDefault="00DB129A">
      <w:pPr>
        <w:pStyle w:val="Default"/>
        <w:jc w:val="both"/>
        <w:rPr>
          <w:rFonts w:ascii="Times New Roman" w:hAnsi="Times New Roman"/>
          <w:noProof/>
        </w:rPr>
      </w:pPr>
      <w:r>
        <w:rPr>
          <w:rFonts w:ascii="Times New Roman" w:hAnsi="Times New Roman"/>
          <w:noProof/>
        </w:rPr>
        <w:t>С някои изключения, Директивата доказа своята ефективност и целесъобразност по принцип, тъй като дава възможност за адекватно събиране на акцизи за по-голямата част от изделията от обраб</w:t>
      </w:r>
      <w:r>
        <w:rPr>
          <w:rFonts w:ascii="Times New Roman" w:hAnsi="Times New Roman"/>
          <w:noProof/>
        </w:rPr>
        <w:t>отен тютюн.</w:t>
      </w:r>
    </w:p>
    <w:p w:rsidR="00FC2C90" w:rsidRDefault="00FC2C90">
      <w:pPr>
        <w:rPr>
          <w:rFonts w:ascii="Times New Roman" w:hAnsi="Times New Roman"/>
          <w:noProof/>
          <w:sz w:val="24"/>
          <w:szCs w:val="24"/>
        </w:rPr>
      </w:pPr>
    </w:p>
    <w:p w:rsidR="00FC2C90" w:rsidRDefault="00DB129A">
      <w:pPr>
        <w:spacing w:line="240" w:lineRule="auto"/>
        <w:rPr>
          <w:rFonts w:ascii="Times New Roman" w:hAnsi="Times New Roman"/>
          <w:noProof/>
          <w:sz w:val="24"/>
          <w:szCs w:val="24"/>
        </w:rPr>
      </w:pPr>
      <w:r>
        <w:rPr>
          <w:rFonts w:ascii="Times New Roman" w:hAnsi="Times New Roman" w:cs="Verdana"/>
          <w:noProof/>
          <w:color w:val="000000"/>
          <w:sz w:val="24"/>
          <w:szCs w:val="24"/>
        </w:rPr>
        <w:t>С оглед на констатациите на оценката Комисията ще обмисли следващите мерки при обсъжданията с експерти от държавите членки</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Тези мерки биха могли да включват и преразглеждане на Директивата. Такова преразглеждане би означавало провеждане на о</w:t>
      </w:r>
      <w:r>
        <w:rPr>
          <w:rFonts w:ascii="Times New Roman" w:hAnsi="Times New Roman"/>
          <w:noProof/>
          <w:sz w:val="24"/>
        </w:rPr>
        <w:t xml:space="preserve">бществена консултация и извършване на оценка на въздействието, за да се съберат допълнителни факти — в това число, където е възможно, количествени оценки относно въздействието и пропорционалността на възможните решения на установените проблеми.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Освен раз</w:t>
      </w:r>
      <w:r>
        <w:rPr>
          <w:rFonts w:ascii="Times New Roman" w:hAnsi="Times New Roman"/>
          <w:noProof/>
        </w:rPr>
        <w:t>глеждането на съдържащите се в оценката конкретни препоръки, с оглед на направените в оценката констатации Комисията ще проучи най-добрите начини за постигане на следните цели:</w:t>
      </w:r>
    </w:p>
    <w:p w:rsidR="00FC2C90" w:rsidRDefault="00FC2C90">
      <w:pPr>
        <w:pStyle w:val="Default"/>
        <w:jc w:val="both"/>
        <w:rPr>
          <w:rFonts w:ascii="Times New Roman" w:hAnsi="Times New Roman" w:cs="Times New Roman"/>
          <w:noProof/>
        </w:rPr>
      </w:pPr>
    </w:p>
    <w:p w:rsidR="00FC2C90" w:rsidRDefault="00DB129A">
      <w:pPr>
        <w:pStyle w:val="Default"/>
        <w:numPr>
          <w:ilvl w:val="0"/>
          <w:numId w:val="1"/>
        </w:numPr>
        <w:jc w:val="both"/>
        <w:rPr>
          <w:rFonts w:ascii="Times New Roman" w:hAnsi="Times New Roman" w:cs="Times New Roman"/>
          <w:noProof/>
        </w:rPr>
      </w:pPr>
      <w:r>
        <w:rPr>
          <w:rFonts w:ascii="Times New Roman" w:hAnsi="Times New Roman"/>
          <w:noProof/>
        </w:rPr>
        <w:t>единно разбиране за прилагането на минималните акцизи;</w:t>
      </w:r>
    </w:p>
    <w:p w:rsidR="00FC2C90" w:rsidRDefault="00FC2C90">
      <w:pPr>
        <w:pStyle w:val="Default"/>
        <w:jc w:val="both"/>
        <w:rPr>
          <w:rFonts w:ascii="Times New Roman" w:hAnsi="Times New Roman" w:cs="Times New Roman"/>
          <w:noProof/>
        </w:rPr>
      </w:pPr>
    </w:p>
    <w:p w:rsidR="00FC2C90" w:rsidRDefault="00DB129A">
      <w:pPr>
        <w:pStyle w:val="Default"/>
        <w:numPr>
          <w:ilvl w:val="0"/>
          <w:numId w:val="1"/>
        </w:numPr>
        <w:jc w:val="both"/>
        <w:rPr>
          <w:rFonts w:ascii="Times New Roman" w:hAnsi="Times New Roman" w:cs="Times New Roman"/>
          <w:noProof/>
        </w:rPr>
      </w:pPr>
      <w:r>
        <w:rPr>
          <w:rFonts w:ascii="Times New Roman" w:hAnsi="Times New Roman"/>
          <w:noProof/>
        </w:rPr>
        <w:t>ограничаване на породе</w:t>
      </w:r>
      <w:r>
        <w:rPr>
          <w:rFonts w:ascii="Times New Roman" w:hAnsi="Times New Roman"/>
          <w:noProof/>
        </w:rPr>
        <w:t>ната от данъка замяна в рамките на и между категории изделия, когато това е възможно;</w:t>
      </w:r>
      <w:r>
        <w:rPr>
          <w:rFonts w:ascii="Times New Roman" w:hAnsi="Times New Roman" w:cs="Times New Roman"/>
          <w:noProof/>
        </w:rPr>
        <w:br/>
      </w:r>
    </w:p>
    <w:p w:rsidR="00FC2C90" w:rsidRDefault="00DB129A">
      <w:pPr>
        <w:pStyle w:val="Default"/>
        <w:numPr>
          <w:ilvl w:val="0"/>
          <w:numId w:val="1"/>
        </w:numPr>
        <w:jc w:val="both"/>
        <w:rPr>
          <w:rFonts w:ascii="Times New Roman" w:hAnsi="Times New Roman" w:cs="Times New Roman"/>
          <w:noProof/>
        </w:rPr>
      </w:pPr>
      <w:r>
        <w:rPr>
          <w:rFonts w:ascii="Times New Roman" w:hAnsi="Times New Roman"/>
          <w:noProof/>
        </w:rPr>
        <w:t xml:space="preserve">внасяне на яснота по отношение на хармонизираните определения и третирането на нови продукти, с цел: </w:t>
      </w:r>
    </w:p>
    <w:p w:rsidR="00FC2C90" w:rsidRDefault="00DB129A">
      <w:pPr>
        <w:pStyle w:val="Default"/>
        <w:numPr>
          <w:ilvl w:val="1"/>
          <w:numId w:val="1"/>
        </w:numPr>
        <w:jc w:val="both"/>
        <w:rPr>
          <w:rFonts w:ascii="Times New Roman" w:hAnsi="Times New Roman" w:cs="Times New Roman"/>
          <w:noProof/>
        </w:rPr>
      </w:pPr>
      <w:r>
        <w:rPr>
          <w:rFonts w:ascii="Times New Roman" w:hAnsi="Times New Roman"/>
          <w:noProof/>
        </w:rPr>
        <w:t>да се подкрепят съгласуваното третиране и правната яснота относно к</w:t>
      </w:r>
      <w:r>
        <w:rPr>
          <w:rFonts w:ascii="Times New Roman" w:hAnsi="Times New Roman"/>
          <w:noProof/>
        </w:rPr>
        <w:t xml:space="preserve">ласирането на акцизни продукти в рамките на ЕС; </w:t>
      </w:r>
    </w:p>
    <w:p w:rsidR="00FC2C90" w:rsidRDefault="00DB129A">
      <w:pPr>
        <w:pStyle w:val="Default"/>
        <w:numPr>
          <w:ilvl w:val="1"/>
          <w:numId w:val="1"/>
        </w:numPr>
        <w:jc w:val="both"/>
        <w:rPr>
          <w:rFonts w:ascii="Times New Roman" w:hAnsi="Times New Roman" w:cs="Times New Roman"/>
          <w:noProof/>
        </w:rPr>
      </w:pPr>
      <w:r>
        <w:rPr>
          <w:rFonts w:ascii="Times New Roman" w:hAnsi="Times New Roman"/>
          <w:noProof/>
        </w:rPr>
        <w:t>да се даде възможност на държавите членки да упражняват ефективен контрол върху движението и производството; и</w:t>
      </w:r>
    </w:p>
    <w:p w:rsidR="00FC2C90" w:rsidRDefault="00DB129A">
      <w:pPr>
        <w:pStyle w:val="Default"/>
        <w:numPr>
          <w:ilvl w:val="1"/>
          <w:numId w:val="1"/>
        </w:numPr>
        <w:jc w:val="both"/>
        <w:rPr>
          <w:rFonts w:ascii="Times New Roman" w:hAnsi="Times New Roman" w:cs="Times New Roman"/>
          <w:noProof/>
        </w:rPr>
      </w:pPr>
      <w:r>
        <w:rPr>
          <w:rFonts w:ascii="Times New Roman" w:hAnsi="Times New Roman"/>
          <w:noProof/>
        </w:rPr>
        <w:t>да се избегнат ненужни административни разходи.</w:t>
      </w:r>
    </w:p>
    <w:p w:rsidR="00FC2C90" w:rsidRDefault="00FC2C90">
      <w:pPr>
        <w:pStyle w:val="Default"/>
        <w:ind w:left="1440"/>
        <w:jc w:val="both"/>
        <w:rPr>
          <w:rFonts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 xml:space="preserve">При вземането на решение относно следващите </w:t>
      </w:r>
      <w:r>
        <w:rPr>
          <w:rFonts w:ascii="Times New Roman" w:hAnsi="Times New Roman"/>
          <w:noProof/>
        </w:rPr>
        <w:t>стъпки Комисията ще вземе надлежно предвид всички съответни препоръки на Съвета или Европейския парламент.</w:t>
      </w:r>
    </w:p>
    <w:p w:rsidR="00FC2C90" w:rsidRDefault="00FC2C90">
      <w:pPr>
        <w:pStyle w:val="Default"/>
        <w:jc w:val="both"/>
        <w:rPr>
          <w:rFonts w:ascii="Times New Roman" w:hAnsi="Times New Roman" w:cs="Times New Roman"/>
          <w:noProof/>
        </w:rPr>
      </w:pPr>
    </w:p>
    <w:p w:rsidR="00FC2C90" w:rsidRDefault="00FC2C90">
      <w:pPr>
        <w:pStyle w:val="Default"/>
        <w:jc w:val="both"/>
        <w:rPr>
          <w:rFonts w:ascii="Times New Roman" w:hAnsi="Times New Roman" w:cs="Times New Roman"/>
          <w:noProof/>
        </w:rPr>
      </w:pPr>
    </w:p>
    <w:p w:rsidR="00FC2C90" w:rsidRDefault="00DB129A">
      <w:pPr>
        <w:pStyle w:val="Heading1"/>
        <w:rPr>
          <w:noProof/>
        </w:rPr>
      </w:pPr>
      <w:r>
        <w:rPr>
          <w:noProof/>
        </w:rPr>
        <w:br w:type="page"/>
      </w:r>
      <w:bookmarkStart w:id="42" w:name="_Toc433017707"/>
      <w:bookmarkStart w:id="43" w:name="_Toc438204740"/>
      <w:r>
        <w:rPr>
          <w:noProof/>
          <w:u w:val="single"/>
        </w:rPr>
        <w:t>Приложение I. Тенденции и статистически данни</w:t>
      </w:r>
      <w:bookmarkEnd w:id="42"/>
      <w:bookmarkEnd w:id="43"/>
      <w:r>
        <w:rPr>
          <w:noProof/>
        </w:rPr>
        <w:t xml:space="preserve"> </w:t>
      </w:r>
    </w:p>
    <w:p w:rsidR="00FC2C90" w:rsidRDefault="00DB129A">
      <w:pPr>
        <w:pStyle w:val="Default"/>
        <w:jc w:val="both"/>
        <w:rPr>
          <w:rFonts w:ascii="Times New Roman" w:hAnsi="Times New Roman" w:cs="Times New Roman"/>
          <w:noProof/>
        </w:rPr>
      </w:pPr>
      <w:r>
        <w:rPr>
          <w:rFonts w:ascii="Times New Roman" w:hAnsi="Times New Roman"/>
          <w:noProof/>
        </w:rPr>
        <w:t>След последния преглед на законодателството в областта на акциза върху тютюневите изделия през 2011</w:t>
      </w:r>
      <w:r>
        <w:rPr>
          <w:rFonts w:ascii="Times New Roman" w:hAnsi="Times New Roman"/>
          <w:noProof/>
        </w:rPr>
        <w:t xml:space="preserve"> г., акцизните ставки върху обработения тютюн бяха изменени. Изискваните минимални ставки бяха увеличени. Бяха включени и бъдещи постепенни увеличения на ставките за фино нарязан тютюн за пушене. На държавите членки беше дадена възможност за по-голяма гъвк</w:t>
      </w:r>
      <w:r>
        <w:rPr>
          <w:rFonts w:ascii="Times New Roman" w:hAnsi="Times New Roman"/>
          <w:noProof/>
        </w:rPr>
        <w:t>авост по отношение на прилагането на специфичния компонент на акциза върху цигарите, като възможните му граници бяха увеличени от 5—55 % на 7,5—76,5 % от общата данъчна тежест. В допълнение беше въведена и възможността за създаване на минимален данъчен пра</w:t>
      </w:r>
      <w:r>
        <w:rPr>
          <w:rFonts w:ascii="Times New Roman" w:hAnsi="Times New Roman"/>
          <w:noProof/>
        </w:rPr>
        <w:t xml:space="preserve">г за цигарите чрез събиране на минимален акциз.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В съответствие с член 19, параграф 3 от Директива 2011/64/ЕС и Решение за изпълнение 2011/480/ЕС на Комисията</w:t>
      </w:r>
      <w:r>
        <w:rPr>
          <w:rStyle w:val="FootnoteReference"/>
          <w:rFonts w:ascii="Times New Roman" w:hAnsi="Times New Roman"/>
          <w:noProof/>
        </w:rPr>
        <w:footnoteReference w:id="31"/>
      </w:r>
      <w:r>
        <w:rPr>
          <w:rFonts w:ascii="Times New Roman" w:hAnsi="Times New Roman"/>
          <w:noProof/>
        </w:rPr>
        <w:t xml:space="preserve"> от държавите членки се изисква ежегодно да предоставят информация на Комисията във връзка със:</w:t>
      </w:r>
    </w:p>
    <w:p w:rsidR="00FC2C90" w:rsidRDefault="00FC2C90">
      <w:pPr>
        <w:pStyle w:val="Default"/>
        <w:jc w:val="both"/>
        <w:rPr>
          <w:rFonts w:ascii="Times New Roman" w:hAnsi="Times New Roman" w:cs="Times New Roman"/>
          <w:noProof/>
        </w:rPr>
      </w:pPr>
    </w:p>
    <w:p w:rsidR="00FC2C90" w:rsidRDefault="00DB129A">
      <w:pPr>
        <w:pStyle w:val="Default"/>
        <w:numPr>
          <w:ilvl w:val="0"/>
          <w:numId w:val="6"/>
        </w:numPr>
        <w:jc w:val="both"/>
        <w:rPr>
          <w:rFonts w:ascii="Times New Roman" w:hAnsi="Times New Roman" w:cs="Times New Roman"/>
          <w:noProof/>
        </w:rPr>
      </w:pPr>
      <w:r>
        <w:rPr>
          <w:rFonts w:ascii="Times New Roman" w:hAnsi="Times New Roman"/>
          <w:noProof/>
        </w:rPr>
        <w:t>ставките на акцизите;</w:t>
      </w:r>
    </w:p>
    <w:p w:rsidR="00FC2C90" w:rsidRDefault="00DB129A">
      <w:pPr>
        <w:pStyle w:val="Default"/>
        <w:numPr>
          <w:ilvl w:val="0"/>
          <w:numId w:val="6"/>
        </w:numPr>
        <w:jc w:val="both"/>
        <w:rPr>
          <w:rFonts w:ascii="Times New Roman" w:hAnsi="Times New Roman" w:cs="Times New Roman"/>
          <w:noProof/>
        </w:rPr>
      </w:pPr>
      <w:r>
        <w:rPr>
          <w:rFonts w:ascii="Times New Roman" w:hAnsi="Times New Roman"/>
          <w:noProof/>
        </w:rPr>
        <w:t>среднопретеглената продажна цена на дребно (СПЦ);</w:t>
      </w:r>
    </w:p>
    <w:p w:rsidR="00FC2C90" w:rsidRDefault="00DB129A">
      <w:pPr>
        <w:pStyle w:val="Default"/>
        <w:numPr>
          <w:ilvl w:val="0"/>
          <w:numId w:val="6"/>
        </w:numPr>
        <w:jc w:val="both"/>
        <w:rPr>
          <w:rFonts w:ascii="Times New Roman" w:hAnsi="Times New Roman" w:cs="Times New Roman"/>
          <w:noProof/>
        </w:rPr>
      </w:pPr>
      <w:r>
        <w:rPr>
          <w:rFonts w:ascii="Times New Roman" w:hAnsi="Times New Roman"/>
          <w:noProof/>
        </w:rPr>
        <w:t>данъчните приходи; и</w:t>
      </w:r>
    </w:p>
    <w:p w:rsidR="00FC2C90" w:rsidRDefault="00DB129A">
      <w:pPr>
        <w:pStyle w:val="Default"/>
        <w:numPr>
          <w:ilvl w:val="0"/>
          <w:numId w:val="6"/>
        </w:numPr>
        <w:jc w:val="both"/>
        <w:rPr>
          <w:rFonts w:ascii="Times New Roman" w:hAnsi="Times New Roman" w:cs="Times New Roman"/>
          <w:noProof/>
        </w:rPr>
      </w:pPr>
      <w:r>
        <w:rPr>
          <w:rFonts w:ascii="Times New Roman" w:hAnsi="Times New Roman"/>
          <w:noProof/>
        </w:rPr>
        <w:t xml:space="preserve">освобождаванията за потребление на обработен тютюн. </w:t>
      </w:r>
    </w:p>
    <w:p w:rsidR="00FC2C90" w:rsidRDefault="00FC2C90">
      <w:pPr>
        <w:pStyle w:val="Default"/>
        <w:ind w:left="420"/>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Предоставената до момента от държавите членки информация в това отношение показва следното:</w:t>
      </w:r>
    </w:p>
    <w:p w:rsidR="00FC2C90" w:rsidRDefault="00DB129A">
      <w:pPr>
        <w:pStyle w:val="Default"/>
        <w:rPr>
          <w:rFonts w:ascii="Times New Roman" w:hAnsi="Times New Roman" w:cs="Times New Roman"/>
          <w:b/>
          <w:noProof/>
        </w:rPr>
      </w:pPr>
      <w:r>
        <w:rPr>
          <w:noProof/>
        </w:rPr>
        <w:br/>
      </w:r>
      <w:r>
        <w:rPr>
          <w:rFonts w:ascii="Times New Roman" w:hAnsi="Times New Roman"/>
          <w:b/>
          <w:noProof/>
        </w:rPr>
        <w:t>Среднопретеглен</w:t>
      </w:r>
      <w:r>
        <w:rPr>
          <w:rFonts w:ascii="Times New Roman" w:hAnsi="Times New Roman"/>
          <w:b/>
          <w:noProof/>
        </w:rPr>
        <w:t>а цена</w:t>
      </w:r>
    </w:p>
    <w:p w:rsidR="00FC2C90" w:rsidRDefault="00DB129A">
      <w:pPr>
        <w:pStyle w:val="Default"/>
        <w:jc w:val="both"/>
        <w:rPr>
          <w:rFonts w:ascii="Times New Roman" w:hAnsi="Times New Roman" w:cs="Times New Roman"/>
          <w:noProof/>
        </w:rPr>
      </w:pPr>
      <w:r>
        <w:rPr>
          <w:rFonts w:ascii="Times New Roman" w:hAnsi="Times New Roman"/>
          <w:noProof/>
        </w:rPr>
        <w:t xml:space="preserve">С влизането в сила на Директива 2011/64/ЕС най-търсената ценова категория (НТЦК) беше премахната и заменена от СПЦ. След въвеждането на СПЦ се промени и основата за изчисляване на минималните ставки на акцизите върху цигарите и фино нарязания тютюн </w:t>
      </w:r>
      <w:r>
        <w:rPr>
          <w:rFonts w:ascii="Times New Roman" w:hAnsi="Times New Roman"/>
          <w:noProof/>
        </w:rPr>
        <w:t xml:space="preserve">за пушене. Приложение I.I показва развитието на среднопретеглената цена на цигарите във всяка държава членка от 2012 г. до 2015 г. Следва да се отбележи, че среднопретеглената цена за 2012 г., например, се основава на средните цени на всички освободени за </w:t>
      </w:r>
      <w:r>
        <w:rPr>
          <w:rFonts w:ascii="Times New Roman" w:hAnsi="Times New Roman"/>
          <w:noProof/>
        </w:rPr>
        <w:t>потребление цигари през предходната година. Във всички държави членки, с изключение на Малта, средната цена на освободените за потребление цигари през 2014 г. се е увеличила в сравнение с 2011 г. Това увеличение може да се дължи на няколко причини, включит</w:t>
      </w:r>
      <w:r>
        <w:rPr>
          <w:rFonts w:ascii="Times New Roman" w:hAnsi="Times New Roman"/>
          <w:noProof/>
        </w:rPr>
        <w:t xml:space="preserve">елно увеличаване на данъците, което също може да влияе на цените. Причините за увеличаването на данъците също могат да се различават: данъците могат да се повишават с цел увеличаване на приходите, поради съображения, свързани със здравната политика или за </w:t>
      </w:r>
      <w:r>
        <w:rPr>
          <w:rFonts w:ascii="Times New Roman" w:hAnsi="Times New Roman"/>
          <w:noProof/>
        </w:rPr>
        <w:t>привеждане в съответствие с европейските минимални изисквания</w:t>
      </w:r>
      <w:r>
        <w:rPr>
          <w:rStyle w:val="FootnoteReference"/>
          <w:rFonts w:ascii="Times New Roman" w:hAnsi="Times New Roman"/>
          <w:noProof/>
        </w:rPr>
        <w:footnoteReference w:id="32"/>
      </w:r>
      <w:r>
        <w:rPr>
          <w:rFonts w:ascii="Times New Roman" w:hAnsi="Times New Roman"/>
          <w:noProof/>
        </w:rPr>
        <w:t>.</w:t>
      </w:r>
    </w:p>
    <w:p w:rsidR="00FC2C90" w:rsidRDefault="00FC2C90">
      <w:pPr>
        <w:pStyle w:val="Default"/>
        <w:jc w:val="both"/>
        <w:rPr>
          <w:rFonts w:ascii="Times New Roman" w:hAnsi="Times New Roman" w:cs="Times New Roman"/>
          <w:noProof/>
        </w:rPr>
      </w:pPr>
    </w:p>
    <w:p w:rsidR="00FC2C90" w:rsidRDefault="00DB129A">
      <w:pPr>
        <w:pStyle w:val="Default"/>
        <w:rPr>
          <w:rFonts w:ascii="Times New Roman" w:hAnsi="Times New Roman" w:cs="Times New Roman"/>
          <w:b/>
          <w:noProof/>
        </w:rPr>
      </w:pPr>
      <w:r>
        <w:rPr>
          <w:rFonts w:ascii="Times New Roman" w:hAnsi="Times New Roman"/>
          <w:b/>
          <w:noProof/>
        </w:rPr>
        <w:t xml:space="preserve">Данъчна тежест </w:t>
      </w:r>
    </w:p>
    <w:p w:rsidR="00FC2C90" w:rsidRDefault="00DB129A">
      <w:pPr>
        <w:pStyle w:val="Default"/>
        <w:jc w:val="both"/>
        <w:rPr>
          <w:rFonts w:ascii="Times New Roman" w:hAnsi="Times New Roman" w:cs="Times New Roman"/>
          <w:noProof/>
        </w:rPr>
      </w:pPr>
      <w:r>
        <w:rPr>
          <w:rFonts w:ascii="Times New Roman" w:hAnsi="Times New Roman"/>
          <w:noProof/>
        </w:rPr>
        <w:t>След въвеждането на СПЦ държавите членки трябва да докладват за своята данъчна тежест като процент от СПЦ (въз основа на средната цена на продуктите, освободени за потребление</w:t>
      </w:r>
      <w:r>
        <w:rPr>
          <w:rFonts w:ascii="Times New Roman" w:hAnsi="Times New Roman"/>
          <w:noProof/>
        </w:rPr>
        <w:t xml:space="preserve"> през предходната година). Както е видно от приложение I.II, данъчната тежест (включително ДДС) върху цигарите във всяка държава членка варира през отделните години. Ако СПЦ се увеличи, при непроменени ставки данъчната тежест намалява. Като цяло, данните п</w:t>
      </w:r>
      <w:r>
        <w:rPr>
          <w:rFonts w:ascii="Times New Roman" w:hAnsi="Times New Roman"/>
          <w:noProof/>
        </w:rPr>
        <w:t>оказват, че данъчната тежест върху цигарите в ЕС през 2015 г. варира от малко под 70 % в Люксембург и Латвия до 85 % в Обединеното кралство. Тези данни обаче не съдържат информация за размера на данъка</w:t>
      </w:r>
      <w:r>
        <w:rPr>
          <w:rStyle w:val="FootnoteReference"/>
          <w:rFonts w:ascii="Times New Roman" w:hAnsi="Times New Roman"/>
          <w:noProof/>
        </w:rPr>
        <w:footnoteReference w:id="33"/>
      </w:r>
      <w:r>
        <w:rPr>
          <w:rFonts w:ascii="Times New Roman" w:hAnsi="Times New Roman"/>
          <w:noProof/>
        </w:rPr>
        <w:t>, тъй като данъчната тежест се изразява в процент от С</w:t>
      </w:r>
      <w:r>
        <w:rPr>
          <w:rFonts w:ascii="Times New Roman" w:hAnsi="Times New Roman"/>
          <w:noProof/>
        </w:rPr>
        <w:t>ПЦ, която е различна във всяка държава членка</w:t>
      </w:r>
      <w:r>
        <w:rPr>
          <w:rStyle w:val="FootnoteReference"/>
          <w:rFonts w:ascii="Times New Roman" w:hAnsi="Times New Roman"/>
          <w:noProof/>
        </w:rPr>
        <w:footnoteReference w:id="34"/>
      </w:r>
      <w:r>
        <w:rPr>
          <w:rFonts w:ascii="Times New Roman" w:hAnsi="Times New Roman"/>
          <w:noProof/>
        </w:rPr>
        <w:t>.</w:t>
      </w:r>
    </w:p>
    <w:p w:rsidR="00FC2C90" w:rsidRDefault="00DB129A">
      <w:pPr>
        <w:pStyle w:val="Default"/>
        <w:rPr>
          <w:rFonts w:ascii="Times New Roman" w:hAnsi="Times New Roman" w:cs="Times New Roman"/>
          <w:b/>
          <w:noProof/>
        </w:rPr>
      </w:pPr>
      <w:r>
        <w:rPr>
          <w:rFonts w:ascii="Times New Roman" w:hAnsi="Times New Roman" w:cs="Times New Roman"/>
          <w:b/>
          <w:noProof/>
        </w:rPr>
        <w:br/>
      </w:r>
      <w:r>
        <w:rPr>
          <w:rFonts w:ascii="Times New Roman" w:hAnsi="Times New Roman"/>
          <w:b/>
          <w:noProof/>
        </w:rPr>
        <w:t xml:space="preserve">Освобождавания за потребление и данъчни приходи </w:t>
      </w:r>
    </w:p>
    <w:p w:rsidR="00FC2C90" w:rsidRDefault="00DB129A">
      <w:pPr>
        <w:pStyle w:val="Default"/>
        <w:jc w:val="both"/>
        <w:rPr>
          <w:rFonts w:ascii="Times New Roman" w:hAnsi="Times New Roman" w:cs="Times New Roman"/>
          <w:noProof/>
        </w:rPr>
      </w:pPr>
      <w:r>
        <w:rPr>
          <w:rFonts w:ascii="Times New Roman" w:hAnsi="Times New Roman"/>
          <w:noProof/>
        </w:rPr>
        <w:t>През периода 2011—2014 г. количеството на освободените за потребление цигари в повечето държави членки намаля, докато обемът на освободения за потребление фин</w:t>
      </w:r>
      <w:r>
        <w:rPr>
          <w:rFonts w:ascii="Times New Roman" w:hAnsi="Times New Roman"/>
          <w:noProof/>
        </w:rPr>
        <w:t>о нарязан тютюн претърпя колебания</w:t>
      </w:r>
      <w:r>
        <w:rPr>
          <w:rStyle w:val="FootnoteReference"/>
          <w:rFonts w:ascii="Times New Roman" w:hAnsi="Times New Roman"/>
          <w:noProof/>
        </w:rPr>
        <w:footnoteReference w:id="35"/>
      </w:r>
      <w:r>
        <w:rPr>
          <w:rFonts w:ascii="Times New Roman" w:hAnsi="Times New Roman"/>
          <w:noProof/>
        </w:rPr>
        <w:t>. Спадът при освободените за потребление цигари може да се дължи на редица причини, например, забрани за реклама, кампании против тютюнопушенето, забрана на тютюнопушенето на обществени места, данъци върху тютюна и потреб</w:t>
      </w:r>
      <w:r>
        <w:rPr>
          <w:rFonts w:ascii="Times New Roman" w:hAnsi="Times New Roman"/>
          <w:noProof/>
        </w:rPr>
        <w:t>лението на други тютюневи изделия или появата на алтернативни продукти на пазара, като електронните цигари или никотинозаместващата терапия. Приложения I.IV и I.VI показват пакетите цигари и грамовете фино нарязан тютюн, освободени за потребление спрямо на</w:t>
      </w:r>
      <w:r>
        <w:rPr>
          <w:rFonts w:ascii="Times New Roman" w:hAnsi="Times New Roman"/>
          <w:noProof/>
        </w:rPr>
        <w:t>селението във всяка държава членка. Това не е показателно за процента на пушачите в дадена държава членка, тъй като обработеният тютюн, освободен за потребление в една държава членка, може да бъде потребяван и от граждани на други държави членки</w:t>
      </w:r>
      <w:r>
        <w:rPr>
          <w:rStyle w:val="FootnoteReference"/>
          <w:rFonts w:ascii="Times New Roman" w:hAnsi="Times New Roman"/>
          <w:noProof/>
        </w:rPr>
        <w:footnoteReference w:id="36"/>
      </w:r>
      <w:r>
        <w:rPr>
          <w:rFonts w:ascii="Times New Roman" w:hAnsi="Times New Roman"/>
          <w:noProof/>
        </w:rPr>
        <w:t xml:space="preserve">. </w:t>
      </w:r>
    </w:p>
    <w:p w:rsidR="00FC2C90" w:rsidRDefault="00FC2C90">
      <w:pPr>
        <w:pStyle w:val="Default"/>
        <w:jc w:val="both"/>
        <w:rPr>
          <w:rFonts w:ascii="Times New Roman" w:hAnsi="Times New Roman" w:cs="Times New Roman"/>
          <w:noProof/>
        </w:rPr>
      </w:pPr>
    </w:p>
    <w:p w:rsidR="00FC2C90" w:rsidRDefault="00DB129A">
      <w:pPr>
        <w:pStyle w:val="Default"/>
        <w:jc w:val="both"/>
        <w:rPr>
          <w:rFonts w:ascii="Times New Roman" w:hAnsi="Times New Roman" w:cs="Times New Roman"/>
          <w:noProof/>
        </w:rPr>
      </w:pPr>
      <w:r>
        <w:rPr>
          <w:rFonts w:ascii="Times New Roman" w:hAnsi="Times New Roman"/>
          <w:noProof/>
        </w:rPr>
        <w:t>Най-го</w:t>
      </w:r>
      <w:r>
        <w:rPr>
          <w:rFonts w:ascii="Times New Roman" w:hAnsi="Times New Roman"/>
          <w:noProof/>
        </w:rPr>
        <w:t>лемият размер на приходите от акцизи се наблюдава в държавите членки с най-многобройно население</w:t>
      </w:r>
      <w:r>
        <w:rPr>
          <w:rStyle w:val="FootnoteReference"/>
          <w:rFonts w:ascii="Times New Roman" w:hAnsi="Times New Roman"/>
          <w:noProof/>
        </w:rPr>
        <w:footnoteReference w:id="37"/>
      </w:r>
      <w:r>
        <w:rPr>
          <w:rFonts w:ascii="Times New Roman" w:hAnsi="Times New Roman"/>
          <w:noProof/>
        </w:rPr>
        <w:t>. В отделните държави членки частта от общите данъчни приходи, съставена от приходите от акцизи върху обработен тютюн, се различава</w:t>
      </w:r>
      <w:r>
        <w:rPr>
          <w:rStyle w:val="FootnoteReference"/>
          <w:rFonts w:ascii="Times New Roman" w:hAnsi="Times New Roman"/>
          <w:noProof/>
        </w:rPr>
        <w:footnoteReference w:id="38"/>
      </w:r>
      <w:r>
        <w:rPr>
          <w:rFonts w:ascii="Times New Roman" w:hAnsi="Times New Roman"/>
          <w:noProof/>
        </w:rPr>
        <w:t>.</w:t>
      </w:r>
    </w:p>
    <w:p w:rsidR="00FC2C90" w:rsidRDefault="00FC2C90">
      <w:pPr>
        <w:rPr>
          <w:b/>
          <w:bCs/>
          <w:i/>
          <w:iCs/>
          <w:noProof/>
        </w:rPr>
        <w:sectPr w:rsidR="00FC2C9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pPr>
    </w:p>
    <w:p w:rsidR="00FC2C90" w:rsidRDefault="00DB129A">
      <w:pPr>
        <w:pStyle w:val="Heading2"/>
        <w:rPr>
          <w:rFonts w:ascii="Times New Roman" w:hAnsi="Times New Roman"/>
          <w:b w:val="0"/>
          <w:i w:val="0"/>
          <w:smallCaps/>
          <w:noProof/>
          <w:sz w:val="24"/>
          <w:szCs w:val="24"/>
        </w:rPr>
      </w:pPr>
      <w:bookmarkStart w:id="44" w:name="_Annex_i_-"/>
      <w:bookmarkStart w:id="45" w:name="_Toc433017708"/>
      <w:bookmarkStart w:id="46" w:name="_Toc438204741"/>
      <w:bookmarkEnd w:id="44"/>
      <w:r>
        <w:rPr>
          <w:b w:val="0"/>
          <w:noProof/>
        </w:rPr>
        <w:pict>
          <v:shape id="_x0000_s1031" type="#_x0000_t75" style="position:absolute;margin-left:.05pt;margin-top:14.8pt;width:706.5pt;height:461.5pt;z-index:-251657728;mso-position-horizontal-relative:margin">
            <v:imagedata r:id="rId27" o:title=""/>
            <w10:wrap anchorx="margin"/>
          </v:shape>
        </w:pict>
      </w:r>
      <w:r>
        <w:rPr>
          <w:rFonts w:ascii="Times New Roman" w:hAnsi="Times New Roman"/>
          <w:b w:val="0"/>
          <w:i w:val="0"/>
          <w:smallCaps/>
          <w:noProof/>
          <w:sz w:val="24"/>
        </w:rPr>
        <w:t>Приложение i.i – среднопретеглена цена на цигарите</w:t>
      </w:r>
      <w:bookmarkEnd w:id="45"/>
      <w:bookmarkEnd w:id="46"/>
      <w:r>
        <w:rPr>
          <w:rFonts w:ascii="Times New Roman" w:hAnsi="Times New Roman"/>
          <w:b w:val="0"/>
          <w:i w:val="0"/>
          <w:smallCaps/>
          <w:noProof/>
          <w:sz w:val="24"/>
        </w:rPr>
        <w:t xml:space="preserve"> </w:t>
      </w:r>
    </w:p>
    <w:p w:rsidR="00FC2C90" w:rsidRDefault="00DB129A">
      <w:pPr>
        <w:pStyle w:val="Heading2"/>
        <w:rPr>
          <w:rFonts w:ascii="Times New Roman Bold" w:hAnsi="Times New Roman Bold"/>
          <w:b w:val="0"/>
          <w:i w:val="0"/>
          <w:smallCaps/>
          <w:noProof/>
          <w:sz w:val="24"/>
          <w:szCs w:val="24"/>
        </w:rPr>
      </w:pPr>
      <w:bookmarkStart w:id="47" w:name="_Annex_ii_-"/>
      <w:bookmarkEnd w:id="47"/>
      <w:r>
        <w:rPr>
          <w:noProof/>
        </w:rPr>
        <w:br w:type="page"/>
      </w:r>
      <w:bookmarkStart w:id="48" w:name="_Toc433017709"/>
      <w:bookmarkStart w:id="49" w:name="_Toc438204742"/>
      <w:r>
        <w:rPr>
          <w:rFonts w:ascii="Times New Roman Bold" w:hAnsi="Times New Roman Bold"/>
          <w:b w:val="0"/>
          <w:i w:val="0"/>
          <w:smallCaps/>
          <w:noProof/>
          <w:sz w:val="24"/>
        </w:rPr>
        <w:t>Приложение i.ii — данъчна тежест върху цигарите</w:t>
      </w:r>
      <w:bookmarkEnd w:id="48"/>
      <w:bookmarkEnd w:id="49"/>
      <w:r>
        <w:rPr>
          <w:rFonts w:ascii="Times New Roman Bold" w:hAnsi="Times New Roman Bold"/>
          <w:b w:val="0"/>
          <w:i w:val="0"/>
          <w:smallCaps/>
          <w:noProof/>
          <w:sz w:val="24"/>
        </w:rPr>
        <w:t xml:space="preserve"> </w:t>
      </w:r>
    </w:p>
    <w:p w:rsidR="00FC2C90" w:rsidRDefault="00DB129A">
      <w:pPr>
        <w:pStyle w:val="Heading2"/>
        <w:rPr>
          <w:rFonts w:ascii="Times New Roman Bold" w:hAnsi="Times New Roman Bold"/>
          <w:i w:val="0"/>
          <w:smallCaps/>
          <w:noProof/>
          <w:sz w:val="24"/>
          <w:szCs w:val="24"/>
        </w:rPr>
      </w:pPr>
      <w:bookmarkStart w:id="50" w:name="_Toc421105018"/>
      <w:bookmarkStart w:id="51" w:name="_Toc421105081"/>
      <w:bookmarkStart w:id="52" w:name="_Toc421105111"/>
      <w:bookmarkStart w:id="53" w:name="_Toc421105145"/>
      <w:bookmarkStart w:id="54" w:name="_Toc421105345"/>
      <w:bookmarkStart w:id="55" w:name="_Toc421105388"/>
      <w:bookmarkStart w:id="56" w:name="_Toc421105418"/>
      <w:bookmarkStart w:id="57" w:name="_Toc421105448"/>
      <w:bookmarkStart w:id="58" w:name="_Toc421106437"/>
      <w:bookmarkStart w:id="59" w:name="_Toc421106544"/>
      <w:bookmarkStart w:id="60" w:name="_Toc421107038"/>
      <w:bookmarkStart w:id="61" w:name="_Toc422415812"/>
      <w:bookmarkStart w:id="62" w:name="_Toc422415842"/>
      <w:bookmarkStart w:id="63" w:name="_Toc425178786"/>
      <w:bookmarkStart w:id="64" w:name="_Toc425180615"/>
      <w:bookmarkStart w:id="65" w:name="_Toc425340050"/>
      <w:bookmarkStart w:id="66" w:name="_Toc425340464"/>
      <w:bookmarkStart w:id="67" w:name="_Toc425340833"/>
      <w:bookmarkStart w:id="68" w:name="_Toc425341870"/>
      <w:bookmarkStart w:id="69" w:name="_Toc425418478"/>
      <w:bookmarkStart w:id="70" w:name="_Toc425418658"/>
      <w:bookmarkStart w:id="71" w:name="_Toc425418897"/>
      <w:bookmarkStart w:id="72" w:name="_Toc429757745"/>
      <w:bookmarkStart w:id="73" w:name="_Toc430010781"/>
      <w:bookmarkStart w:id="74" w:name="_Toc430767857"/>
      <w:bookmarkStart w:id="75" w:name="_Toc430791817"/>
      <w:bookmarkStart w:id="76" w:name="_Toc430795749"/>
      <w:bookmarkStart w:id="77" w:name="_Toc430871302"/>
      <w:bookmarkStart w:id="78" w:name="_Toc430878515"/>
      <w:bookmarkStart w:id="79" w:name="_Toc431198052"/>
      <w:bookmarkStart w:id="80" w:name="_Toc431973487"/>
      <w:bookmarkStart w:id="81" w:name="_Toc432782049"/>
      <w:bookmarkStart w:id="82" w:name="_Toc433014254"/>
      <w:bookmarkStart w:id="83" w:name="_Toc433015285"/>
      <w:bookmarkStart w:id="84" w:name="_Toc433015378"/>
      <w:bookmarkStart w:id="85" w:name="_Toc433016189"/>
      <w:bookmarkStart w:id="86" w:name="_Toc433016509"/>
      <w:bookmarkStart w:id="87" w:name="_Toc433017710"/>
      <w:bookmarkStart w:id="88" w:name="_Toc438204743"/>
      <w:r>
        <w:rPr>
          <w:noProof/>
        </w:rPr>
        <w:pict>
          <v:shape id="_x0000_s1032" type="#_x0000_t75" style="position:absolute;margin-left:3.5pt;margin-top:-4.35pt;width:710.25pt;height:463.9pt;z-index:251659776;mso-position-horizontal-relative:margin">
            <v:imagedata r:id="rId28" o:title=""/>
            <w10:wrap anchorx="margin"/>
          </v:shape>
        </w:pic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FC2C90">
      <w:pPr>
        <w:pStyle w:val="Heading2"/>
        <w:rPr>
          <w:rFonts w:ascii="Times New Roman Bold" w:hAnsi="Times New Roman Bold"/>
          <w:i w:val="0"/>
          <w:smallCaps/>
          <w:noProof/>
          <w:sz w:val="24"/>
          <w:szCs w:val="24"/>
        </w:rPr>
      </w:pPr>
    </w:p>
    <w:p w:rsidR="00FC2C90" w:rsidRDefault="00DB129A">
      <w:pPr>
        <w:pStyle w:val="Heading2"/>
        <w:rPr>
          <w:rFonts w:ascii="Times New Roman Bold" w:hAnsi="Times New Roman Bold"/>
          <w:b w:val="0"/>
          <w:i w:val="0"/>
          <w:smallCaps/>
          <w:noProof/>
          <w:sz w:val="24"/>
          <w:szCs w:val="24"/>
        </w:rPr>
      </w:pPr>
      <w:bookmarkStart w:id="89" w:name="_Toc433017711"/>
      <w:bookmarkStart w:id="90" w:name="_Toc438204744"/>
      <w:r>
        <w:rPr>
          <w:noProof/>
          <w:lang w:val="en-GB" w:eastAsia="en-GB" w:bidi="ar-SA"/>
        </w:rPr>
        <w:drawing>
          <wp:anchor distT="0" distB="0" distL="114300" distR="114300" simplePos="0" relativeHeight="251672064" behindDoc="1" locked="0" layoutInCell="1" allowOverlap="1">
            <wp:simplePos x="0" y="0"/>
            <wp:positionH relativeFrom="column">
              <wp:posOffset>5715</wp:posOffset>
            </wp:positionH>
            <wp:positionV relativeFrom="line">
              <wp:posOffset>50165</wp:posOffset>
            </wp:positionV>
            <wp:extent cx="9309100" cy="6084570"/>
            <wp:effectExtent l="0" t="0" r="635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b w:val="0"/>
          <w:i w:val="0"/>
          <w:smallCaps/>
          <w:noProof/>
          <w:sz w:val="24"/>
        </w:rPr>
        <w:t>Приложение i.iii – освободени за потребление цигари</w:t>
      </w:r>
      <w:bookmarkEnd w:id="89"/>
      <w:bookmarkEnd w:id="90"/>
    </w:p>
    <w:p w:rsidR="00FC2C90" w:rsidRDefault="00FC2C90">
      <w:pPr>
        <w:rPr>
          <w:noProof/>
        </w:rPr>
      </w:pPr>
    </w:p>
    <w:p w:rsidR="00FC2C90" w:rsidRDefault="00DB129A">
      <w:pPr>
        <w:pStyle w:val="Heading2"/>
        <w:rPr>
          <w:rFonts w:ascii="Times New Roman Bold" w:hAnsi="Times New Roman Bold"/>
          <w:b w:val="0"/>
          <w:i w:val="0"/>
          <w:smallCaps/>
          <w:noProof/>
          <w:sz w:val="24"/>
          <w:szCs w:val="24"/>
        </w:rPr>
      </w:pPr>
      <w:r>
        <w:rPr>
          <w:noProof/>
        </w:rPr>
        <w:br w:type="page"/>
      </w:r>
      <w:bookmarkStart w:id="91" w:name="_Toc433017712"/>
      <w:bookmarkStart w:id="92" w:name="_Toc438204745"/>
      <w:r>
        <w:rPr>
          <w:noProof/>
          <w:lang w:val="en-GB" w:eastAsia="en-GB" w:bidi="ar-SA"/>
        </w:rPr>
        <w:drawing>
          <wp:anchor distT="0" distB="0" distL="114300" distR="114300" simplePos="0" relativeHeight="251671040" behindDoc="1" locked="0" layoutInCell="1" allowOverlap="1">
            <wp:simplePos x="0" y="0"/>
            <wp:positionH relativeFrom="column">
              <wp:posOffset>29210</wp:posOffset>
            </wp:positionH>
            <wp:positionV relativeFrom="line">
              <wp:posOffset>187960</wp:posOffset>
            </wp:positionV>
            <wp:extent cx="9309100" cy="6084570"/>
            <wp:effectExtent l="0" t="0" r="635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i w:val="0"/>
          <w:smallCaps/>
          <w:noProof/>
          <w:sz w:val="24"/>
        </w:rPr>
        <w:t xml:space="preserve"> </w:t>
      </w:r>
      <w:bookmarkStart w:id="93" w:name="_Annex_vi_-"/>
      <w:bookmarkEnd w:id="93"/>
      <w:r>
        <w:rPr>
          <w:rFonts w:ascii="Times New Roman Bold" w:hAnsi="Times New Roman Bold"/>
          <w:i w:val="0"/>
          <w:smallCaps/>
          <w:noProof/>
          <w:sz w:val="24"/>
        </w:rPr>
        <w:t xml:space="preserve">Приложение i.iv – пакети </w:t>
      </w:r>
      <w:r>
        <w:rPr>
          <w:rFonts w:ascii="Times New Roman Bold" w:hAnsi="Times New Roman Bold"/>
          <w:i w:val="0"/>
          <w:smallCaps/>
          <w:noProof/>
          <w:sz w:val="24"/>
        </w:rPr>
        <w:t>цигари на глава от пълнолетното население</w:t>
      </w:r>
      <w:bookmarkEnd w:id="91"/>
      <w:bookmarkEnd w:id="92"/>
    </w:p>
    <w:p w:rsidR="00FC2C90" w:rsidRDefault="00DB129A">
      <w:pPr>
        <w:pStyle w:val="Heading2"/>
        <w:rPr>
          <w:rFonts w:ascii="Times New Roman" w:hAnsi="Times New Roman"/>
          <w:b w:val="0"/>
          <w:i w:val="0"/>
          <w:smallCaps/>
          <w:noProof/>
          <w:sz w:val="24"/>
          <w:szCs w:val="24"/>
        </w:rPr>
      </w:pPr>
      <w:r>
        <w:rPr>
          <w:noProof/>
        </w:rPr>
        <w:br w:type="page"/>
      </w:r>
      <w:bookmarkStart w:id="94" w:name="_Toc433017713"/>
      <w:bookmarkStart w:id="95" w:name="_Toc438204746"/>
      <w:bookmarkStart w:id="96" w:name="_Toc425340056"/>
      <w:bookmarkStart w:id="97" w:name="_Toc425340470"/>
      <w:r>
        <w:rPr>
          <w:noProof/>
          <w:lang w:val="en-GB" w:eastAsia="en-GB" w:bidi="ar-SA"/>
        </w:rPr>
        <w:drawing>
          <wp:anchor distT="0" distB="0" distL="114300" distR="114300" simplePos="0" relativeHeight="251668992" behindDoc="1" locked="0" layoutInCell="1" allowOverlap="1">
            <wp:simplePos x="0" y="0"/>
            <wp:positionH relativeFrom="column">
              <wp:posOffset>5080</wp:posOffset>
            </wp:positionH>
            <wp:positionV relativeFrom="line">
              <wp:posOffset>270510</wp:posOffset>
            </wp:positionV>
            <wp:extent cx="9309100" cy="6084570"/>
            <wp:effectExtent l="0" t="0" r="635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b w:val="0"/>
          <w:i w:val="0"/>
          <w:smallCaps/>
          <w:noProof/>
          <w:sz w:val="24"/>
        </w:rPr>
        <w:t>Приложение i.v – освободен за потребление фино нарязан тютюн</w:t>
      </w:r>
      <w:bookmarkEnd w:id="94"/>
      <w:bookmarkEnd w:id="95"/>
    </w:p>
    <w:p w:rsidR="00FC2C90" w:rsidRDefault="00FC2C90">
      <w:pPr>
        <w:pStyle w:val="Heading2"/>
        <w:rPr>
          <w:rFonts w:ascii="Times New Roman Bold" w:hAnsi="Times New Roman Bold"/>
          <w:i w:val="0"/>
          <w:smallCaps/>
          <w:noProof/>
          <w:sz w:val="24"/>
          <w:szCs w:val="24"/>
        </w:rPr>
      </w:pPr>
    </w:p>
    <w:p w:rsidR="00FC2C90" w:rsidRDefault="00DB129A">
      <w:pPr>
        <w:pStyle w:val="Heading2"/>
        <w:rPr>
          <w:rFonts w:ascii="Times New Roman" w:hAnsi="Times New Roman"/>
          <w:b w:val="0"/>
          <w:i w:val="0"/>
          <w:smallCaps/>
          <w:noProof/>
          <w:sz w:val="24"/>
        </w:rPr>
      </w:pPr>
      <w:r>
        <w:rPr>
          <w:noProof/>
        </w:rPr>
        <w:br w:type="page"/>
      </w:r>
      <w:bookmarkStart w:id="98" w:name="_Toc433017714"/>
      <w:bookmarkStart w:id="99" w:name="_Toc438204747"/>
      <w:r>
        <w:rPr>
          <w:noProof/>
          <w:lang w:val="en-GB" w:eastAsia="en-GB" w:bidi="ar-SA"/>
        </w:rPr>
        <w:drawing>
          <wp:anchor distT="0" distB="0" distL="114300" distR="114300" simplePos="0" relativeHeight="251670016" behindDoc="1" locked="0" layoutInCell="1" allowOverlap="1">
            <wp:simplePos x="0" y="0"/>
            <wp:positionH relativeFrom="column">
              <wp:posOffset>5715</wp:posOffset>
            </wp:positionH>
            <wp:positionV relativeFrom="line">
              <wp:posOffset>282575</wp:posOffset>
            </wp:positionV>
            <wp:extent cx="9309100" cy="6084570"/>
            <wp:effectExtent l="0" t="0" r="635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val="0"/>
          <w:i w:val="0"/>
          <w:smallCaps/>
          <w:noProof/>
          <w:sz w:val="24"/>
        </w:rPr>
        <w:t>Приложение i.vi – фино нарязан тютюн на глава от пълнолетното население</w:t>
      </w:r>
      <w:bookmarkEnd w:id="98"/>
      <w:bookmarkEnd w:id="99"/>
    </w:p>
    <w:p w:rsidR="00FC2C90" w:rsidRDefault="00DB129A">
      <w:pPr>
        <w:pStyle w:val="Heading2"/>
        <w:rPr>
          <w:rFonts w:ascii="Times New Roman Bold" w:hAnsi="Times New Roman Bold"/>
          <w:b w:val="0"/>
          <w:i w:val="0"/>
          <w:smallCaps/>
          <w:noProof/>
          <w:sz w:val="24"/>
          <w:szCs w:val="24"/>
        </w:rPr>
      </w:pPr>
      <w:r>
        <w:rPr>
          <w:noProof/>
        </w:rPr>
        <w:br w:type="page"/>
      </w:r>
      <w:bookmarkStart w:id="100" w:name="_Toc433017715"/>
      <w:bookmarkStart w:id="101" w:name="_Toc438204748"/>
      <w:bookmarkEnd w:id="96"/>
      <w:bookmarkEnd w:id="97"/>
      <w:r>
        <w:rPr>
          <w:noProof/>
          <w:lang w:val="en-GB" w:eastAsia="en-GB" w:bidi="ar-SA"/>
        </w:rPr>
        <w:drawing>
          <wp:anchor distT="0" distB="0" distL="114300" distR="114300" simplePos="0" relativeHeight="251667968" behindDoc="1" locked="0" layoutInCell="1" allowOverlap="1">
            <wp:simplePos x="0" y="0"/>
            <wp:positionH relativeFrom="column">
              <wp:posOffset>5715</wp:posOffset>
            </wp:positionH>
            <wp:positionV relativeFrom="line">
              <wp:posOffset>269108</wp:posOffset>
            </wp:positionV>
            <wp:extent cx="9309100" cy="6084570"/>
            <wp:effectExtent l="0" t="0" r="635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b w:val="0"/>
          <w:i w:val="0"/>
          <w:smallCaps/>
          <w:noProof/>
          <w:sz w:val="24"/>
        </w:rPr>
        <w:t>Приложение i.vii – данъчни приходи</w:t>
      </w:r>
      <w:bookmarkEnd w:id="100"/>
      <w:bookmarkEnd w:id="101"/>
      <w:r>
        <w:rPr>
          <w:rFonts w:ascii="Times New Roman Bold" w:hAnsi="Times New Roman Bold"/>
          <w:b w:val="0"/>
          <w:i w:val="0"/>
          <w:smallCaps/>
          <w:noProof/>
          <w:sz w:val="24"/>
        </w:rPr>
        <w:t xml:space="preserve"> </w:t>
      </w:r>
    </w:p>
    <w:p w:rsidR="00FC2C90" w:rsidRDefault="00FC2C90">
      <w:pPr>
        <w:pStyle w:val="Heading2"/>
        <w:rPr>
          <w:rFonts w:ascii="Times New Roman Bold" w:hAnsi="Times New Roman Bold"/>
          <w:i w:val="0"/>
          <w:smallCaps/>
          <w:noProof/>
          <w:sz w:val="24"/>
          <w:szCs w:val="24"/>
        </w:rPr>
      </w:pPr>
    </w:p>
    <w:p w:rsidR="00FC2C90" w:rsidRDefault="00DB129A">
      <w:pPr>
        <w:pStyle w:val="Heading2"/>
        <w:rPr>
          <w:noProof/>
        </w:rPr>
      </w:pPr>
      <w:r>
        <w:rPr>
          <w:noProof/>
        </w:rPr>
        <w:br w:type="page"/>
      </w:r>
      <w:bookmarkStart w:id="102" w:name="_Toc433017716"/>
      <w:bookmarkStart w:id="103" w:name="_Toc438204749"/>
      <w:r>
        <w:rPr>
          <w:noProof/>
          <w:lang w:val="en-GB" w:eastAsia="en-GB" w:bidi="ar-SA"/>
        </w:rPr>
        <w:drawing>
          <wp:anchor distT="0" distB="0" distL="114300" distR="114300" simplePos="0" relativeHeight="251673088" behindDoc="1" locked="0" layoutInCell="1" allowOverlap="1">
            <wp:simplePos x="0" y="0"/>
            <wp:positionH relativeFrom="column">
              <wp:posOffset>10160</wp:posOffset>
            </wp:positionH>
            <wp:positionV relativeFrom="line">
              <wp:posOffset>278765</wp:posOffset>
            </wp:positionV>
            <wp:extent cx="9339580" cy="5865495"/>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9580" cy="58654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b w:val="0"/>
          <w:i w:val="0"/>
          <w:smallCaps/>
          <w:noProof/>
          <w:sz w:val="24"/>
        </w:rPr>
        <w:t>Приложение i.viii – данъчни приходи</w:t>
      </w:r>
      <w:r>
        <w:rPr>
          <w:rFonts w:ascii="Times New Roman Bold" w:hAnsi="Times New Roman Bold"/>
          <w:b w:val="0"/>
          <w:i w:val="0"/>
          <w:smallCaps/>
          <w:noProof/>
          <w:sz w:val="24"/>
        </w:rPr>
        <w:t xml:space="preserve"> от обработен тютюн като процент от общите данъчни приходиs</w:t>
      </w:r>
      <w:bookmarkEnd w:id="102"/>
      <w:bookmarkEnd w:id="103"/>
    </w:p>
    <w:p w:rsidR="00FC2C90" w:rsidRDefault="00FC2C90">
      <w:pPr>
        <w:pStyle w:val="Heading2"/>
        <w:rPr>
          <w:noProof/>
        </w:rPr>
      </w:pPr>
    </w:p>
    <w:sectPr w:rsidR="00FC2C90">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90" w:rsidRDefault="00DB129A">
      <w:pPr>
        <w:spacing w:after="0" w:line="240" w:lineRule="auto"/>
      </w:pPr>
      <w:r>
        <w:separator/>
      </w:r>
    </w:p>
  </w:endnote>
  <w:endnote w:type="continuationSeparator" w:id="0">
    <w:p w:rsidR="00FC2C90" w:rsidRDefault="00DB129A">
      <w:pPr>
        <w:spacing w:after="0" w:line="240" w:lineRule="auto"/>
      </w:pPr>
      <w:r>
        <w:continuationSeparator/>
      </w:r>
    </w:p>
  </w:endnote>
  <w:endnote w:type="continuationNotice" w:id="1">
    <w:p w:rsidR="00FC2C90" w:rsidRDefault="00FC2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9A" w:rsidRDefault="00DB1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DB129A">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9A" w:rsidRDefault="00DB12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DB129A">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4</w:t>
    </w:r>
    <w:r>
      <w:rPr>
        <w:rFonts w:ascii="Times New Roman" w:hAnsi="Times New Roman"/>
        <w:noProof/>
      </w:rPr>
      <w:fldChar w:fldCharType="end"/>
    </w:r>
  </w:p>
  <w:p w:rsidR="00FC2C90" w:rsidRDefault="00FC2C90">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42129"/>
      <w:docPartObj>
        <w:docPartGallery w:val="Page Numbers (Bottom of Page)"/>
        <w:docPartUnique/>
      </w:docPartObj>
    </w:sdtPr>
    <w:sdtEndPr>
      <w:rPr>
        <w:noProof/>
      </w:rPr>
    </w:sdtEndPr>
    <w:sdtContent>
      <w:p w:rsidR="00DB129A" w:rsidRDefault="00DB129A">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rsidR="00FC2C90" w:rsidRDefault="00FC2C90">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90" w:rsidRDefault="00DB129A">
      <w:pPr>
        <w:spacing w:after="0" w:line="240" w:lineRule="auto"/>
      </w:pPr>
      <w:r>
        <w:separator/>
      </w:r>
    </w:p>
  </w:footnote>
  <w:footnote w:type="continuationSeparator" w:id="0">
    <w:p w:rsidR="00FC2C90" w:rsidRDefault="00DB129A">
      <w:pPr>
        <w:spacing w:after="0" w:line="240" w:lineRule="auto"/>
      </w:pPr>
      <w:r>
        <w:continuationSeparator/>
      </w:r>
    </w:p>
  </w:footnote>
  <w:footnote w:type="continuationNotice" w:id="1">
    <w:p w:rsidR="00FC2C90" w:rsidRDefault="00FC2C90">
      <w:pPr>
        <w:spacing w:after="0" w:line="240" w:lineRule="auto"/>
      </w:pPr>
    </w:p>
  </w:footnote>
  <w:footnote w:id="2">
    <w:p w:rsidR="00FC2C90" w:rsidRPr="00DB129A" w:rsidRDefault="00DB129A">
      <w:pPr>
        <w:pStyle w:val="FootnoteText"/>
        <w:rPr>
          <w:rFonts w:ascii="Times New Roman" w:hAnsi="Times New Roman"/>
          <w:lang w:val="ru-RU"/>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Директива 2011/64/ЕС на Съвета</w:t>
        </w:r>
      </w:hyperlink>
      <w:r>
        <w:t xml:space="preserve"> </w:t>
      </w:r>
      <w:r>
        <w:rPr>
          <w:rStyle w:val="FootnoteReference"/>
          <w:rFonts w:ascii="Times New Roman" w:hAnsi="Times New Roman"/>
        </w:rPr>
        <w:t>от 21 юни 2011 г.</w:t>
      </w:r>
      <w:r>
        <w:rPr>
          <w:rStyle w:val="FootnoteReference"/>
          <w:rFonts w:ascii="Times New Roman" w:hAnsi="Times New Roman"/>
        </w:rPr>
        <w:t xml:space="preserve"> относно структурата и ставките на акциза върху обработен тютюн.</w:t>
      </w:r>
    </w:p>
  </w:footnote>
  <w:footnote w:id="3">
    <w:p w:rsidR="00FC2C90" w:rsidRDefault="00DB129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p>
    <w:p w:rsidR="00FC2C90" w:rsidRDefault="00DB129A">
      <w:pPr>
        <w:pStyle w:val="FootnoteText"/>
        <w:spacing w:after="0" w:line="240" w:lineRule="auto"/>
        <w:rPr>
          <w:rFonts w:ascii="Times New Roman" w:hAnsi="Times New Roman"/>
        </w:rPr>
      </w:pPr>
      <w:r>
        <w:rPr>
          <w:rFonts w:ascii="Times New Roman" w:hAnsi="Times New Roman"/>
        </w:rPr>
        <w:t>COM (1995) 285</w:t>
      </w:r>
      <w:r>
        <w:rPr>
          <w:rFonts w:ascii="Times New Roman" w:hAnsi="Times New Roman"/>
        </w:rPr>
        <w:br/>
        <w:t>COM (1998) 320</w:t>
      </w:r>
      <w:r>
        <w:rPr>
          <w:rFonts w:ascii="Times New Roman" w:hAnsi="Times New Roman"/>
        </w:rPr>
        <w:br/>
        <w:t>COM (2001) 133</w:t>
      </w:r>
      <w:r>
        <w:rPr>
          <w:rFonts w:ascii="Times New Roman" w:hAnsi="Times New Roman"/>
        </w:rPr>
        <w:br/>
        <w:t xml:space="preserve">COM (2008) 460 </w:t>
      </w:r>
      <w:r>
        <w:rPr>
          <w:rFonts w:ascii="Times New Roman" w:hAnsi="Times New Roman"/>
        </w:rPr>
        <w:br/>
        <w:t>В резултат на последния доклад от 2008 г. беше приета Директива 2010/12/EС на Съвета от 16 февруари 2010 г. за изменение на дир</w:t>
      </w:r>
      <w:r>
        <w:rPr>
          <w:rFonts w:ascii="Times New Roman" w:hAnsi="Times New Roman"/>
        </w:rPr>
        <w:t>ективи 92/79/ЕИО, 92/80/ЕИО и 95/59/EО относно структурата и ставките на акцизите, прилагани към промишлено обработен тютюн, и на Директива 2008/118/ЕО.</w:t>
      </w:r>
    </w:p>
    <w:p w:rsidR="00FC2C90" w:rsidRDefault="00DB129A">
      <w:pPr>
        <w:pStyle w:val="FootnoteText"/>
        <w:spacing w:after="0" w:line="240" w:lineRule="auto"/>
        <w:rPr>
          <w:rFonts w:ascii="Times New Roman" w:hAnsi="Times New Roman"/>
        </w:rPr>
      </w:pPr>
      <w:r>
        <w:rPr>
          <w:rFonts w:ascii="Times New Roman" w:hAnsi="Times New Roman"/>
        </w:rPr>
        <w:t xml:space="preserve"> </w:t>
      </w:r>
    </w:p>
  </w:footnote>
  <w:footnote w:id="4">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REFIT е програма за преглед на цялото законодателство на ЕС с цел установяване на административни т</w:t>
      </w:r>
      <w:r>
        <w:rPr>
          <w:rFonts w:ascii="Times New Roman" w:hAnsi="Times New Roman"/>
        </w:rPr>
        <w:t xml:space="preserve">ежести, несъответствия, пропуски или неефективни мерки и формулиране на необходимите предложения за последващи действия във връзка с констатациите от прегледа. </w:t>
      </w:r>
    </w:p>
  </w:footnote>
  <w:footnote w:id="5">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Член 10 и член 14 от Директива 2011/64/ЕС.</w:t>
      </w:r>
    </w:p>
  </w:footnote>
  <w:footnote w:id="6">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Член 26, член 113 и член 168 от </w:t>
      </w:r>
      <w:hyperlink r:id="rId2">
        <w:r>
          <w:rPr>
            <w:rStyle w:val="Hyperlink"/>
            <w:rFonts w:ascii="Times New Roman" w:hAnsi="Times New Roman"/>
          </w:rPr>
          <w:t>Договора за функционирането на Европейския съюз.</w:t>
        </w:r>
      </w:hyperlink>
    </w:p>
  </w:footnote>
  <w:footnote w:id="7">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 изключение на ситуацията, описана в член 32 от Директива 2008/118/ЕО.</w:t>
      </w:r>
    </w:p>
  </w:footnote>
  <w:footnote w:id="8">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http://ec.europa.eu/smart-regulation/guidelines/</w:t>
      </w:r>
      <w:r>
        <w:rPr>
          <w:rFonts w:ascii="Times New Roman" w:hAnsi="Times New Roman"/>
        </w:rPr>
        <w:t>toc_guide_en.htm</w:t>
      </w:r>
    </w:p>
  </w:footnote>
  <w:footnote w:id="9">
    <w:p w:rsidR="00FC2C90" w:rsidRDefault="00DB129A">
      <w:pPr>
        <w:pStyle w:val="FootnoteText"/>
      </w:pPr>
      <w:r>
        <w:rPr>
          <w:rStyle w:val="FootnoteReference"/>
          <w:rFonts w:ascii="Times New Roman" w:hAnsi="Times New Roman"/>
        </w:rPr>
        <w:footnoteRef/>
      </w:r>
      <w:r>
        <w:rPr>
          <w:rFonts w:ascii="Times New Roman" w:hAnsi="Times New Roman"/>
        </w:rPr>
        <w:t xml:space="preserve"> Съгласно новите Насоки за по-добро законотворчество оценката трябва да се съсредоточава върху ефективността, ефикасността, целесъобразността, съгласуваността и добавената стойност за ЕС.</w:t>
      </w:r>
    </w:p>
  </w:footnote>
  <w:footnote w:id="10">
    <w:p w:rsidR="00FC2C90" w:rsidRDefault="00DB129A">
      <w:pPr>
        <w:pStyle w:val="FootnoteText"/>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3">
        <w:r>
          <w:rPr>
            <w:rStyle w:val="Hyperlink"/>
            <w:rFonts w:ascii="Times New Roman" w:hAnsi="Times New Roman"/>
          </w:rPr>
          <w:t>Директива 2011/64/ЕС на Съвета</w:t>
        </w:r>
      </w:hyperlink>
      <w:r>
        <w:t xml:space="preserve"> </w:t>
      </w:r>
      <w:r>
        <w:rPr>
          <w:rStyle w:val="FootnoteReference"/>
          <w:rFonts w:ascii="Times New Roman" w:hAnsi="Times New Roman"/>
        </w:rPr>
        <w:t>от 21 юни 2011 г. относно структурата и ставките на акциза върху обработен тютюн</w:t>
      </w:r>
      <w:r>
        <w:t>;</w:t>
      </w:r>
      <w:r>
        <w:rPr>
          <w:rStyle w:val="FootnoteReference"/>
          <w:rFonts w:ascii="Times New Roman" w:hAnsi="Times New Roman"/>
        </w:rPr>
        <w:t xml:space="preserve"> </w:t>
      </w:r>
      <w:hyperlink r:id="rId4">
        <w:r>
          <w:rPr>
            <w:rStyle w:val="Hyperlink"/>
            <w:rFonts w:ascii="Times New Roman" w:hAnsi="Times New Roman"/>
          </w:rPr>
          <w:t xml:space="preserve">Директива 2008/118/EО на Съвета </w:t>
        </w:r>
      </w:hyperlink>
      <w:r>
        <w:rPr>
          <w:rStyle w:val="FootnoteReference"/>
          <w:rFonts w:ascii="Times New Roman" w:hAnsi="Times New Roman"/>
        </w:rPr>
        <w:t xml:space="preserve"> от 16 декември 2008 г. относно общия режим на облагане с акциз и за отмяна на</w:t>
      </w:r>
      <w:hyperlink r:id="rId5">
        <w:r>
          <w:rPr>
            <w:rStyle w:val="Hyperlink"/>
            <w:rFonts w:ascii="Times New Roman" w:hAnsi="Times New Roman"/>
          </w:rPr>
          <w:t>Директива 92/12/ЕИО</w:t>
        </w:r>
      </w:hyperlink>
      <w:r>
        <w:rPr>
          <w:rFonts w:ascii="Times New Roman" w:hAnsi="Times New Roman"/>
        </w:rPr>
        <w:t>.</w:t>
      </w:r>
    </w:p>
  </w:footnote>
  <w:footnote w:id="11">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Член 10 и член 14 от Директива 2011/64/ЕС.</w:t>
      </w:r>
    </w:p>
  </w:footnote>
  <w:footnote w:id="12">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Германия, Дания, Финландия, Гърция, Полша, Румъния и Обединеното кралство.</w:t>
      </w:r>
    </w:p>
  </w:footnote>
  <w:footnote w:id="13">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Член 7, параграф 4 и член 8, параграф 6 от Директива 2011/64/ЕС.</w:t>
      </w:r>
    </w:p>
  </w:footnote>
  <w:footnote w:id="14">
    <w:p w:rsidR="00FC2C90" w:rsidRDefault="00DB129A">
      <w:pPr>
        <w:pStyle w:val="doc-ti"/>
        <w:rPr>
          <w:sz w:val="20"/>
          <w:szCs w:val="20"/>
        </w:rPr>
      </w:pPr>
      <w:r>
        <w:rPr>
          <w:rStyle w:val="FootnoteReference"/>
          <w:sz w:val="20"/>
        </w:rPr>
        <w:footnoteRef/>
      </w:r>
      <w:r>
        <w:rPr>
          <w:sz w:val="20"/>
        </w:rPr>
        <w:t xml:space="preserve"> </w:t>
      </w:r>
      <w:hyperlink r:id="rId6">
        <w:r>
          <w:rPr>
            <w:rStyle w:val="Hyperlink"/>
            <w:sz w:val="20"/>
          </w:rPr>
          <w:t xml:space="preserve">Директива 2014/40/ЕС </w:t>
        </w:r>
      </w:hyperlink>
      <w:r>
        <w:t xml:space="preserve">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w:t>
      </w:r>
      <w:r>
        <w:t xml:space="preserve">с тях изделия и за отмяна на </w:t>
      </w:r>
      <w:hyperlink r:id="rId7">
        <w:r>
          <w:rPr>
            <w:rStyle w:val="Hyperlink"/>
            <w:sz w:val="20"/>
          </w:rPr>
          <w:t>Директива 2001/37/ЕО</w:t>
        </w:r>
      </w:hyperlink>
      <w:r>
        <w:t>.</w:t>
      </w:r>
    </w:p>
    <w:p w:rsidR="00FC2C90" w:rsidRDefault="00FC2C90">
      <w:pPr>
        <w:pStyle w:val="FootnoteText"/>
        <w:rPr>
          <w:rFonts w:ascii="Times New Roman" w:hAnsi="Times New Roman"/>
        </w:rPr>
      </w:pPr>
    </w:p>
  </w:footnote>
  <w:footnote w:id="15">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Вж. също стр. 57 от</w:t>
      </w:r>
      <w:hyperlink r:id="rId8">
        <w:r>
          <w:rPr>
            <w:rStyle w:val="Hyperlink"/>
            <w:rFonts w:ascii="Times New Roman" w:hAnsi="Times New Roman"/>
          </w:rPr>
          <w:t xml:space="preserve"> оценката</w:t>
        </w:r>
      </w:hyperlink>
      <w:r>
        <w:t xml:space="preserve"> на данъчното облагане на тютюна.</w:t>
      </w:r>
    </w:p>
  </w:footnote>
  <w:footnote w:id="16">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Вж. също стр. 60 от</w:t>
      </w:r>
      <w:hyperlink r:id="rId9">
        <w:r>
          <w:rPr>
            <w:rStyle w:val="Hyperlink"/>
            <w:rFonts w:ascii="Times New Roman" w:hAnsi="Times New Roman"/>
          </w:rPr>
          <w:t xml:space="preserve"> оценката</w:t>
        </w:r>
      </w:hyperlink>
      <w:r>
        <w:t xml:space="preserve"> на данъчното облагане на тютюна.</w:t>
      </w:r>
    </w:p>
  </w:footnote>
  <w:footnote w:id="17">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Вж. също стр. 163 от</w:t>
      </w:r>
      <w:hyperlink r:id="rId10">
        <w:r>
          <w:rPr>
            <w:rStyle w:val="Hyperlink"/>
            <w:rFonts w:ascii="Times New Roman" w:hAnsi="Times New Roman"/>
          </w:rPr>
          <w:t xml:space="preserve"> оценката</w:t>
        </w:r>
      </w:hyperlink>
      <w:r>
        <w:t xml:space="preserve"> на данъчното облагане на тютюна.</w:t>
      </w:r>
    </w:p>
  </w:footnote>
  <w:footnote w:id="18">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Вж. също стр. 154 от</w:t>
      </w:r>
      <w:hyperlink r:id="rId11">
        <w:r>
          <w:rPr>
            <w:rStyle w:val="Hyperlink"/>
            <w:rFonts w:ascii="Times New Roman" w:hAnsi="Times New Roman"/>
          </w:rPr>
          <w:t xml:space="preserve"> оценката</w:t>
        </w:r>
      </w:hyperlink>
      <w:r>
        <w:t xml:space="preserve"> на данъчното облагане на тютюна.</w:t>
      </w:r>
    </w:p>
  </w:footnote>
  <w:footnote w:id="19">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Вж. също стр. 166 от</w:t>
      </w:r>
      <w:hyperlink r:id="rId12">
        <w:r>
          <w:rPr>
            <w:rStyle w:val="Hyperlink"/>
            <w:rFonts w:ascii="Times New Roman" w:hAnsi="Times New Roman"/>
          </w:rPr>
          <w:t xml:space="preserve"> оценката</w:t>
        </w:r>
      </w:hyperlink>
      <w:r>
        <w:t xml:space="preserve"> на данъчното облагане на тютюна.</w:t>
      </w:r>
    </w:p>
  </w:footnote>
  <w:footnote w:id="20">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Вж. таблица 12 от </w:t>
      </w:r>
      <w:hyperlink r:id="rId13">
        <w:r>
          <w:rPr>
            <w:rStyle w:val="Hyperlink"/>
            <w:rFonts w:ascii="Times New Roman" w:hAnsi="Times New Roman"/>
          </w:rPr>
          <w:t>оценката</w:t>
        </w:r>
      </w:hyperlink>
      <w:r>
        <w:t xml:space="preserve"> на </w:t>
      </w:r>
      <w:r>
        <w:t>данъчното облагане на тютюна.</w:t>
      </w:r>
    </w:p>
  </w:footnote>
  <w:footnote w:id="21">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Тези „изискващи загряване, а не изгаряне“ изделия не бяха обхванати от оценката. </w:t>
      </w:r>
      <w:r>
        <w:t xml:space="preserve">Първите обсъждания на данъчното третиране на тези изделия се проведоха в проектна </w:t>
      </w:r>
      <w:hyperlink r:id="rId14">
        <w:r>
          <w:rPr>
            <w:rStyle w:val="Hyperlink"/>
            <w:rFonts w:ascii="Times New Roman" w:hAnsi="Times New Roman"/>
          </w:rPr>
          <w:t xml:space="preserve">група „Тютюневи изделия“ в рамките на програмата „Фискалис“ (FPG 050) </w:t>
        </w:r>
      </w:hyperlink>
      <w:r>
        <w:t xml:space="preserve">и по време на срещите на </w:t>
      </w:r>
      <w:hyperlink r:id="rId15">
        <w:r>
          <w:rPr>
            <w:rStyle w:val="Hyperlink"/>
            <w:rFonts w:ascii="Times New Roman" w:hAnsi="Times New Roman"/>
          </w:rPr>
          <w:t>групата експерти по косвено облагане (ITEG).</w:t>
        </w:r>
      </w:hyperlink>
    </w:p>
  </w:footnote>
  <w:footnote w:id="22">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COM(2013) 324</w:t>
        </w:r>
      </w:hyperlink>
      <w:r>
        <w:t>, Съобщение на Комисията до Съвета и Европейския парламент „Засилване на борба</w:t>
      </w:r>
      <w:r>
        <w:t>та с контрабандата на цигари и други форми на незаконна търговия с тютюневи изделия — всеобхватна стратегия на ЕС“.</w:t>
      </w:r>
    </w:p>
  </w:footnote>
  <w:footnote w:id="23">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Според изчисленията на Европейската служба за борба с измамите (OLAF) незаконната търговия с цигари причинява годишни финансови загуби в р</w:t>
      </w:r>
      <w:r>
        <w:rPr>
          <w:rFonts w:ascii="Times New Roman" w:hAnsi="Times New Roman"/>
        </w:rPr>
        <w:t>азмер на над 10 млрд. евро за бюджетите на Европейския съюз и неговите държави членки, вж. също COM(2013) 324.</w:t>
      </w:r>
    </w:p>
  </w:footnote>
  <w:footnote w:id="24">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Вж. също стр. 46 от</w:t>
      </w:r>
      <w:hyperlink r:id="rId17">
        <w:r>
          <w:rPr>
            <w:rStyle w:val="Hyperlink"/>
            <w:rFonts w:ascii="Times New Roman" w:hAnsi="Times New Roman"/>
          </w:rPr>
          <w:t xml:space="preserve"> оценката</w:t>
        </w:r>
      </w:hyperlink>
      <w:r>
        <w:t xml:space="preserve"> на данъчното облагане на тютюна.</w:t>
      </w:r>
    </w:p>
  </w:footnote>
  <w:footnote w:id="25">
    <w:p w:rsidR="00FC2C90" w:rsidRDefault="00DB129A">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http://ec.europa.eu/smart-regulation/impact/key_docs/docs/standards_c2002_5267_final_en.pdf.</w:t>
        </w:r>
      </w:hyperlink>
      <w:r>
        <w:rPr>
          <w:rFonts w:ascii="Times New Roman" w:hAnsi="Times New Roman"/>
        </w:rPr>
        <w:t xml:space="preserve"> </w:t>
      </w:r>
    </w:p>
    <w:p w:rsidR="00FC2C90" w:rsidRDefault="00FC2C90">
      <w:pPr>
        <w:pStyle w:val="FootnoteText"/>
        <w:spacing w:line="240" w:lineRule="auto"/>
        <w:rPr>
          <w:rFonts w:ascii="Times New Roman" w:hAnsi="Times New Roman"/>
        </w:rPr>
      </w:pPr>
    </w:p>
  </w:footnote>
  <w:footnote w:id="26">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Следва се отбележи, че от държавите членки се изисква да въведат законовите, подзаконовите и администра</w:t>
      </w:r>
      <w:r>
        <w:rPr>
          <w:rFonts w:ascii="Times New Roman" w:hAnsi="Times New Roman"/>
        </w:rPr>
        <w:t>тивните разпоредби, необходими за привеждането в съответствие с настоящата директива, до 20 май 2016 г.</w:t>
      </w:r>
    </w:p>
  </w:footnote>
  <w:footnote w:id="27">
    <w:p w:rsidR="00FC2C90" w:rsidRDefault="00DB129A">
      <w:pPr>
        <w:spacing w:after="240" w:line="240" w:lineRule="auto"/>
        <w:rPr>
          <w:rFonts w:ascii="Times New Roman" w:eastAsia="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Източник: </w:t>
      </w:r>
      <w:hyperlink r:id="rId19">
        <w:r>
          <w:rPr>
            <w:rStyle w:val="Hyperlink"/>
            <w:rFonts w:ascii="Times New Roman" w:hAnsi="Times New Roman"/>
            <w:sz w:val="20"/>
          </w:rPr>
          <w:t>Окончателен доклад за оценка</w:t>
        </w:r>
      </w:hyperlink>
      <w:r>
        <w:t xml:space="preserve"> „Проучване относно измерването и намаляването на административните разходи за икономическите оператори и данъчните органи и същевременно постигане на по-висока степен на съответствие и сигурност при налагането</w:t>
      </w:r>
      <w:r>
        <w:t xml:space="preserve"> на акцизи върху тютюневи изделия“.</w:t>
      </w:r>
      <w:r>
        <w:rPr>
          <w:rFonts w:ascii="Times New Roman" w:hAnsi="Times New Roman"/>
          <w:sz w:val="20"/>
        </w:rPr>
        <w:t xml:space="preserve"> </w:t>
      </w:r>
    </w:p>
    <w:p w:rsidR="00FC2C90" w:rsidRDefault="00FC2C90">
      <w:pPr>
        <w:pStyle w:val="FootnoteText"/>
        <w:rPr>
          <w:rFonts w:ascii="Times New Roman" w:hAnsi="Times New Roman"/>
        </w:rPr>
      </w:pPr>
    </w:p>
  </w:footnote>
  <w:footnote w:id="28">
    <w:p w:rsidR="00FC2C90" w:rsidRDefault="00DB129A">
      <w:pPr>
        <w:pStyle w:val="FootnoteText"/>
        <w:spacing w:line="240" w:lineRule="auto"/>
        <w:rPr>
          <w:rFonts w:ascii="Times New Roman" w:hAnsi="Times New Roman"/>
        </w:rPr>
      </w:pPr>
      <w:r>
        <w:rPr>
          <w:rFonts w:ascii="Times New Roman" w:hAnsi="Times New Roman"/>
          <w:vertAlign w:val="superscript"/>
        </w:rPr>
        <w:t>25</w:t>
      </w:r>
      <w:r>
        <w:t xml:space="preserve"> Член 4, параграф 2 от Директива 2011/64/ЕС.</w:t>
      </w:r>
    </w:p>
  </w:footnote>
  <w:footnote w:id="29">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Член 7, параграф 4 и член 8, параграф 6 от Директива 2011/64/ЕС.</w:t>
      </w:r>
    </w:p>
  </w:footnote>
  <w:footnote w:id="30">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Като първа стъпка през 2015 г. Комисията обсъди препоръките в </w:t>
      </w:r>
      <w:hyperlink r:id="rId20">
        <w:r>
          <w:rPr>
            <w:rStyle w:val="Hyperlink"/>
            <w:rFonts w:ascii="Times New Roman" w:hAnsi="Times New Roman"/>
          </w:rPr>
          <w:t xml:space="preserve">проектна група „Тютюневи изделия“ в рамките на програмата „Фискалис“ (FPG 050) </w:t>
        </w:r>
      </w:hyperlink>
      <w:r>
        <w:t>и ще продължи обсъжданията през 2016 г. с цел да се вземат предвид мненията и опитът на експертит</w:t>
      </w:r>
      <w:r>
        <w:t>е от държавите членки.</w:t>
      </w:r>
      <w:r>
        <w:rPr>
          <w:rFonts w:ascii="Times New Roman" w:hAnsi="Times New Roman"/>
        </w:rPr>
        <w:t xml:space="preserve"> Особено внимание се отделя на препоръки 1 и 2 (включването на други продукти, като например суровия тютюн и електронните цигари, в обхвата на акцизните стоки). </w:t>
      </w:r>
    </w:p>
  </w:footnote>
  <w:footnote w:id="31">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за изпълнение на Комисията от 28 юли 2011 г. относно списъка с</w:t>
      </w:r>
      <w:r>
        <w:rPr>
          <w:rFonts w:ascii="Times New Roman" w:hAnsi="Times New Roman"/>
        </w:rPr>
        <w:t>ъс статистически данни за структурата и ставките на акциза върху обработения тютюн, които трябва да бъдат представени от държавите членки съгласно директиви 92/79/ЕИО и 92/80/ЕИО на Съвета (2011/480/ЕС).</w:t>
      </w:r>
    </w:p>
  </w:footnote>
  <w:footnote w:id="32">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Europe Economics анализира също и развитието на ср</w:t>
      </w:r>
      <w:r>
        <w:t xml:space="preserve">едните цени на цигарите в държавите членки въз основа на наличните данни на Euromonitor за периода 2007—2012 г. Резултатите са представени във фигура 35 от </w:t>
      </w:r>
      <w:hyperlink r:id="rId21">
        <w:r>
          <w:rPr>
            <w:rStyle w:val="Hyperlink"/>
            <w:rFonts w:ascii="Times New Roman" w:hAnsi="Times New Roman"/>
          </w:rPr>
          <w:t>оценката</w:t>
        </w:r>
      </w:hyperlink>
      <w:r>
        <w:t xml:space="preserve"> на данъчното облагане на тютюна.</w:t>
      </w:r>
    </w:p>
  </w:footnote>
  <w:footnote w:id="33">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Пълният списък на акцизните ставки във всяка държава членка е поместен в </w:t>
      </w:r>
      <w:hyperlink r:id="rId22">
        <w:r>
          <w:rPr>
            <w:rStyle w:val="Hyperlink"/>
            <w:rFonts w:ascii="Times New Roman" w:hAnsi="Times New Roman"/>
          </w:rPr>
          <w:t>Таблици с акцизите върху обработен тютюн</w:t>
        </w:r>
      </w:hyperlink>
      <w:r>
        <w:t>;</w:t>
      </w:r>
    </w:p>
  </w:footnote>
  <w:footnote w:id="34">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Анализът на размера на данъка за цигари (включително ДДС), извършен от Europe Economics, е представен във фигура 23 от </w:t>
      </w:r>
      <w:hyperlink r:id="rId23">
        <w:r>
          <w:rPr>
            <w:rStyle w:val="Hyperlink"/>
            <w:rFonts w:ascii="Times New Roman" w:hAnsi="Times New Roman"/>
          </w:rPr>
          <w:t>оценката</w:t>
        </w:r>
      </w:hyperlink>
      <w:r>
        <w:t xml:space="preserve"> на данъчното облагане на тютюна.</w:t>
      </w:r>
    </w:p>
  </w:footnote>
  <w:footnote w:id="35">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Вж. приложения І.ІІІ и І.V.</w:t>
      </w:r>
    </w:p>
  </w:footnote>
  <w:footnote w:id="36">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Акцизът в държавата членка на закупуване се дължи само ако са изпълнени изискванията на член 32 от Директива 2008/118/ЕО.</w:t>
      </w:r>
    </w:p>
  </w:footnote>
  <w:footnote w:id="37">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Вж. приложение І.VІІ.</w:t>
      </w:r>
    </w:p>
  </w:footnote>
  <w:footnote w:id="38">
    <w:p w:rsidR="00FC2C90" w:rsidRDefault="00DB129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Europe Economics анализира публикуваните от ГД „Данъчно облагане и митнически съюз“ данни за приходите от д</w:t>
      </w:r>
      <w:r>
        <w:rPr>
          <w:rFonts w:ascii="Times New Roman" w:hAnsi="Times New Roman"/>
        </w:rPr>
        <w:t xml:space="preserve">анъци върху потреблението на обработен тютюн през периода 2008—2012 г. </w:t>
      </w:r>
      <w:r>
        <w:t xml:space="preserve">Резултатите от този анализ са представени във фигури 3—11 от </w:t>
      </w:r>
      <w:hyperlink r:id="rId24">
        <w:r>
          <w:rPr>
            <w:rStyle w:val="Hyperlink"/>
            <w:rFonts w:ascii="Times New Roman" w:hAnsi="Times New Roman"/>
          </w:rPr>
          <w:t>оценката</w:t>
        </w:r>
      </w:hyperlink>
      <w:r>
        <w:t xml:space="preserve"> на данъчното облагане на тютюна.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9A" w:rsidRDefault="00DB1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9A" w:rsidRDefault="00DB12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9A" w:rsidRDefault="00DB12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0" w:rsidRDefault="00FC2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6A73991"/>
    <w:multiLevelType w:val="hybridMultilevel"/>
    <w:tmpl w:val="5312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C5E7441"/>
    <w:multiLevelType w:val="hybridMultilevel"/>
    <w:tmpl w:val="3D567CA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493BAE"/>
    <w:multiLevelType w:val="hybridMultilevel"/>
    <w:tmpl w:val="8526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8">
    <w:nsid w:val="6EB4326B"/>
    <w:multiLevelType w:val="hybridMultilevel"/>
    <w:tmpl w:val="D83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12"/>
    <w:lvlOverride w:ilvl="0">
      <w:startOverride w:val="1"/>
    </w:lvlOverride>
  </w:num>
  <w:num w:numId="5">
    <w:abstractNumId w:val="12"/>
    <w:lvlOverride w:ilvl="0">
      <w:startOverride w:val="1"/>
    </w:lvlOverride>
  </w:num>
  <w:num w:numId="6">
    <w:abstractNumId w:val="3"/>
  </w:num>
  <w:num w:numId="7">
    <w:abstractNumId w:val="12"/>
  </w:num>
  <w:num w:numId="8">
    <w:abstractNumId w:val="12"/>
  </w:num>
  <w:num w:numId="9">
    <w:abstractNumId w:val="7"/>
  </w:num>
  <w:num w:numId="10">
    <w:abstractNumId w:val="6"/>
  </w:num>
  <w:num w:numId="11">
    <w:abstractNumId w:val="2"/>
  </w:num>
  <w:num w:numId="12">
    <w:abstractNumId w:val="1"/>
  </w:num>
  <w:num w:numId="13">
    <w:abstractNumId w:val="13"/>
  </w:num>
  <w:num w:numId="14">
    <w:abstractNumId w:val="16"/>
  </w:num>
  <w:num w:numId="15">
    <w:abstractNumId w:val="14"/>
  </w:num>
  <w:num w:numId="16">
    <w:abstractNumId w:val="17"/>
  </w:num>
  <w:num w:numId="17">
    <w:abstractNumId w:val="5"/>
  </w:num>
  <w:num w:numId="18">
    <w:abstractNumId w:val="8"/>
  </w:num>
  <w:num w:numId="19">
    <w:abstractNumId w:val="10"/>
  </w:num>
  <w:num w:numId="20">
    <w:abstractNumId w:val="9"/>
  </w:num>
  <w:num w:numId="21">
    <w:abstractNumId w:val="0"/>
  </w:num>
  <w:num w:numId="22">
    <w:abstractNumId w:val="11"/>
  </w:num>
  <w:num w:numId="23">
    <w:abstractNumId w:val="12"/>
  </w:num>
  <w:num w:numId="24">
    <w:abstractNumId w:val="7"/>
  </w:num>
  <w:num w:numId="25">
    <w:abstractNumId w:val="6"/>
  </w:num>
  <w:num w:numId="26">
    <w:abstractNumId w:val="2"/>
  </w:num>
  <w:num w:numId="27">
    <w:abstractNumId w:val="1"/>
  </w:num>
  <w:num w:numId="28">
    <w:abstractNumId w:val="13"/>
  </w:num>
  <w:num w:numId="29">
    <w:abstractNumId w:val="16"/>
  </w:num>
  <w:num w:numId="30">
    <w:abstractNumId w:val="14"/>
  </w:num>
  <w:num w:numId="31">
    <w:abstractNumId w:val="17"/>
  </w:num>
  <w:num w:numId="32">
    <w:abstractNumId w:val="5"/>
  </w:num>
  <w:num w:numId="33">
    <w:abstractNumId w:val="8"/>
  </w:num>
  <w:num w:numId="34">
    <w:abstractNumId w:val="10"/>
  </w:num>
  <w:num w:numId="35">
    <w:abstractNumId w:val="9"/>
  </w:num>
  <w:num w:numId="36">
    <w:abstractNumId w:val="0"/>
  </w:num>
  <w:num w:numId="37">
    <w:abstractNumId w:val="11"/>
  </w:num>
  <w:num w:numId="38">
    <w:abstractNumId w:val="8"/>
  </w:num>
  <w:num w:numId="39">
    <w:abstractNumId w:val="10"/>
  </w:num>
  <w:num w:numId="40">
    <w:abstractNumId w:val="9"/>
  </w:num>
  <w:num w:numId="41">
    <w:abstractNumId w:val="0"/>
  </w:num>
  <w:num w:numId="42">
    <w:abstractNumId w:val="11"/>
  </w:num>
  <w:num w:numId="43">
    <w:abstractNumId w:val="8"/>
  </w:num>
  <w:num w:numId="44">
    <w:abstractNumId w:val="10"/>
  </w:num>
  <w:num w:numId="45">
    <w:abstractNumId w:val="9"/>
  </w:num>
  <w:num w:numId="46">
    <w:abstractNumId w:val="0"/>
  </w:num>
  <w:num w:numId="47">
    <w:abstractNumId w:val="11"/>
  </w:num>
  <w:num w:numId="48">
    <w:abstractNumId w:val="8"/>
  </w:num>
  <w:num w:numId="49">
    <w:abstractNumId w:val="10"/>
  </w:num>
  <w:num w:numId="50">
    <w:abstractNumId w:val="9"/>
  </w:num>
  <w:num w:numId="51">
    <w:abstractNumId w:val="0"/>
  </w:num>
  <w:num w:numId="52">
    <w:abstractNumId w:val="11"/>
  </w:num>
  <w:num w:numId="53">
    <w:abstractNumId w:val="12"/>
  </w:num>
  <w:num w:numId="54">
    <w:abstractNumId w:val="7"/>
  </w:num>
  <w:num w:numId="55">
    <w:abstractNumId w:val="6"/>
  </w:num>
  <w:num w:numId="56">
    <w:abstractNumId w:val="2"/>
  </w:num>
  <w:num w:numId="57">
    <w:abstractNumId w:val="1"/>
  </w:num>
  <w:num w:numId="58">
    <w:abstractNumId w:val="13"/>
  </w:num>
  <w:num w:numId="59">
    <w:abstractNumId w:val="16"/>
  </w:num>
  <w:num w:numId="60">
    <w:abstractNumId w:val="14"/>
  </w:num>
  <w:num w:numId="61">
    <w:abstractNumId w:val="17"/>
  </w:num>
  <w:num w:numId="62">
    <w:abstractNumId w:val="5"/>
  </w:num>
  <w:num w:numId="63">
    <w:abstractNumId w:val="8"/>
  </w:num>
  <w:num w:numId="64">
    <w:abstractNumId w:val="10"/>
  </w:num>
  <w:num w:numId="65">
    <w:abstractNumId w:val="9"/>
  </w:num>
  <w:num w:numId="66">
    <w:abstractNumId w:val="0"/>
  </w:num>
  <w:num w:numId="67">
    <w:abstractNumId w:val="11"/>
  </w:num>
  <w:num w:numId="68">
    <w:abstractNumId w:val="8"/>
  </w:num>
  <w:num w:numId="69">
    <w:abstractNumId w:val="10"/>
  </w:num>
  <w:num w:numId="70">
    <w:abstractNumId w:val="9"/>
  </w:num>
  <w:num w:numId="71">
    <w:abstractNumId w:val="0"/>
  </w:num>
  <w:num w:numId="72">
    <w:abstractNumId w:val="11"/>
  </w:num>
  <w:num w:numId="73">
    <w:abstractNumId w:val="8"/>
  </w:num>
  <w:num w:numId="74">
    <w:abstractNumId w:val="10"/>
  </w:num>
  <w:num w:numId="75">
    <w:abstractNumId w:val="9"/>
  </w:num>
  <w:num w:numId="76">
    <w:abstractNumId w:val="0"/>
  </w:num>
  <w:num w:numId="77">
    <w:abstractNumId w:val="11"/>
  </w:num>
  <w:num w:numId="78">
    <w:abstractNumId w:val="8"/>
  </w:num>
  <w:num w:numId="79">
    <w:abstractNumId w:val="10"/>
  </w:num>
  <w:num w:numId="80">
    <w:abstractNumId w:val="9"/>
  </w:num>
  <w:num w:numId="81">
    <w:abstractNumId w:val="0"/>
  </w:num>
  <w:num w:numId="82">
    <w:abstractNumId w:val="11"/>
  </w:num>
  <w:num w:numId="83">
    <w:abstractNumId w:val="12"/>
  </w:num>
  <w:num w:numId="84">
    <w:abstractNumId w:val="7"/>
  </w:num>
  <w:num w:numId="85">
    <w:abstractNumId w:val="6"/>
  </w:num>
  <w:num w:numId="86">
    <w:abstractNumId w:val="2"/>
  </w:num>
  <w:num w:numId="87">
    <w:abstractNumId w:val="1"/>
  </w:num>
  <w:num w:numId="88">
    <w:abstractNumId w:val="13"/>
  </w:num>
  <w:num w:numId="89">
    <w:abstractNumId w:val="16"/>
  </w:num>
  <w:num w:numId="90">
    <w:abstractNumId w:val="14"/>
  </w:num>
  <w:num w:numId="91">
    <w:abstractNumId w:val="17"/>
  </w:num>
  <w:num w:numId="92">
    <w:abstractNumId w:val="5"/>
  </w:num>
  <w:num w:numId="93">
    <w:abstractNumId w:val="8"/>
  </w:num>
  <w:num w:numId="94">
    <w:abstractNumId w:val="10"/>
  </w:num>
  <w:num w:numId="95">
    <w:abstractNumId w:val="9"/>
  </w:num>
  <w:num w:numId="96">
    <w:abstractNumId w:val="0"/>
  </w:num>
  <w:num w:numId="97">
    <w:abstractNumId w:val="11"/>
  </w:num>
  <w:num w:numId="98">
    <w:abstractNumId w:val="8"/>
  </w:num>
  <w:num w:numId="99">
    <w:abstractNumId w:val="10"/>
  </w:num>
  <w:num w:numId="100">
    <w:abstractNumId w:val="9"/>
  </w:num>
  <w:num w:numId="101">
    <w:abstractNumId w:val="0"/>
  </w:num>
  <w:num w:numId="102">
    <w:abstractNumId w:val="11"/>
  </w:num>
  <w:num w:numId="103">
    <w:abstractNumId w:val="8"/>
  </w:num>
  <w:num w:numId="104">
    <w:abstractNumId w:val="10"/>
  </w:num>
  <w:num w:numId="105">
    <w:abstractNumId w:val="9"/>
  </w:num>
  <w:num w:numId="106">
    <w:abstractNumId w:val="0"/>
  </w:num>
  <w:num w:numId="107">
    <w:abstractNumId w:val="11"/>
  </w:num>
  <w:num w:numId="108">
    <w:abstractNumId w:val="8"/>
  </w:num>
  <w:num w:numId="109">
    <w:abstractNumId w:val="10"/>
  </w:num>
  <w:num w:numId="110">
    <w:abstractNumId w:val="9"/>
  </w:num>
  <w:num w:numId="111">
    <w:abstractNumId w:val="0"/>
  </w:num>
  <w:num w:numId="112">
    <w:abstractNumId w:val="11"/>
  </w:num>
  <w:num w:numId="113">
    <w:abstractNumId w:val="12"/>
  </w:num>
  <w:num w:numId="114">
    <w:abstractNumId w:val="7"/>
  </w:num>
  <w:num w:numId="115">
    <w:abstractNumId w:val="6"/>
  </w:num>
  <w:num w:numId="116">
    <w:abstractNumId w:val="2"/>
  </w:num>
  <w:num w:numId="117">
    <w:abstractNumId w:val="1"/>
  </w:num>
  <w:num w:numId="118">
    <w:abstractNumId w:val="13"/>
  </w:num>
  <w:num w:numId="119">
    <w:abstractNumId w:val="16"/>
  </w:num>
  <w:num w:numId="120">
    <w:abstractNumId w:val="14"/>
  </w:num>
  <w:num w:numId="121">
    <w:abstractNumId w:val="17"/>
  </w:num>
  <w:num w:numId="122">
    <w:abstractNumId w:val="5"/>
  </w:num>
  <w:num w:numId="123">
    <w:abstractNumId w:val="8"/>
  </w:num>
  <w:num w:numId="124">
    <w:abstractNumId w:val="10"/>
  </w:num>
  <w:num w:numId="125">
    <w:abstractNumId w:val="9"/>
  </w:num>
  <w:num w:numId="126">
    <w:abstractNumId w:val="0"/>
  </w:num>
  <w:num w:numId="127">
    <w:abstractNumId w:val="11"/>
  </w:num>
  <w:num w:numId="128">
    <w:abstractNumId w:val="8"/>
  </w:num>
  <w:num w:numId="129">
    <w:abstractNumId w:val="10"/>
  </w:num>
  <w:num w:numId="130">
    <w:abstractNumId w:val="9"/>
  </w:num>
  <w:num w:numId="131">
    <w:abstractNumId w:val="0"/>
  </w:num>
  <w:num w:numId="132">
    <w:abstractNumId w:val="11"/>
  </w:num>
  <w:num w:numId="133">
    <w:abstractNumId w:val="8"/>
  </w:num>
  <w:num w:numId="134">
    <w:abstractNumId w:val="10"/>
  </w:num>
  <w:num w:numId="135">
    <w:abstractNumId w:val="9"/>
  </w:num>
  <w:num w:numId="136">
    <w:abstractNumId w:val="0"/>
  </w:num>
  <w:num w:numId="137">
    <w:abstractNumId w:val="11"/>
  </w:num>
  <w:num w:numId="138">
    <w:abstractNumId w:val="8"/>
  </w:num>
  <w:num w:numId="139">
    <w:abstractNumId w:val="10"/>
  </w:num>
  <w:num w:numId="140">
    <w:abstractNumId w:val="9"/>
  </w:num>
  <w:num w:numId="141">
    <w:abstractNumId w:val="0"/>
  </w:num>
  <w:num w:numId="142">
    <w:abstractNumId w:val="11"/>
  </w:num>
  <w:num w:numId="143">
    <w:abstractNumId w:val="12"/>
  </w:num>
  <w:num w:numId="144">
    <w:abstractNumId w:val="7"/>
  </w:num>
  <w:num w:numId="145">
    <w:abstractNumId w:val="6"/>
  </w:num>
  <w:num w:numId="146">
    <w:abstractNumId w:val="2"/>
  </w:num>
  <w:num w:numId="147">
    <w:abstractNumId w:val="1"/>
  </w:num>
  <w:num w:numId="148">
    <w:abstractNumId w:val="13"/>
  </w:num>
  <w:num w:numId="149">
    <w:abstractNumId w:val="16"/>
  </w:num>
  <w:num w:numId="150">
    <w:abstractNumId w:val="14"/>
  </w:num>
  <w:num w:numId="151">
    <w:abstractNumId w:val="17"/>
  </w:num>
  <w:num w:numId="152">
    <w:abstractNumId w:val="5"/>
  </w:num>
  <w:num w:numId="153">
    <w:abstractNumId w:val="8"/>
  </w:num>
  <w:num w:numId="154">
    <w:abstractNumId w:val="10"/>
  </w:num>
  <w:num w:numId="155">
    <w:abstractNumId w:val="9"/>
  </w:num>
  <w:num w:numId="156">
    <w:abstractNumId w:val="0"/>
  </w:num>
  <w:num w:numId="157">
    <w:abstractNumId w:val="11"/>
  </w:num>
  <w:num w:numId="158">
    <w:abstractNumId w:val="8"/>
  </w:num>
  <w:num w:numId="159">
    <w:abstractNumId w:val="10"/>
  </w:num>
  <w:num w:numId="160">
    <w:abstractNumId w:val="9"/>
  </w:num>
  <w:num w:numId="161">
    <w:abstractNumId w:val="0"/>
  </w:num>
  <w:num w:numId="162">
    <w:abstractNumId w:val="11"/>
  </w:num>
  <w:num w:numId="163">
    <w:abstractNumId w:val="8"/>
  </w:num>
  <w:num w:numId="164">
    <w:abstractNumId w:val="10"/>
  </w:num>
  <w:num w:numId="165">
    <w:abstractNumId w:val="9"/>
  </w:num>
  <w:num w:numId="166">
    <w:abstractNumId w:val="0"/>
  </w:num>
  <w:num w:numId="167">
    <w:abstractNumId w:val="11"/>
  </w:num>
  <w:num w:numId="168">
    <w:abstractNumId w:val="8"/>
  </w:num>
  <w:num w:numId="169">
    <w:abstractNumId w:val="10"/>
  </w:num>
  <w:num w:numId="170">
    <w:abstractNumId w:val="9"/>
  </w:num>
  <w:num w:numId="171">
    <w:abstractNumId w:val="0"/>
  </w:num>
  <w:num w:numId="172">
    <w:abstractNumId w:val="11"/>
  </w:num>
  <w:num w:numId="173">
    <w:abstractNumId w:val="12"/>
  </w:num>
  <w:num w:numId="174">
    <w:abstractNumId w:val="7"/>
  </w:num>
  <w:num w:numId="175">
    <w:abstractNumId w:val="6"/>
  </w:num>
  <w:num w:numId="176">
    <w:abstractNumId w:val="2"/>
  </w:num>
  <w:num w:numId="177">
    <w:abstractNumId w:val="1"/>
  </w:num>
  <w:num w:numId="178">
    <w:abstractNumId w:val="13"/>
  </w:num>
  <w:num w:numId="179">
    <w:abstractNumId w:val="16"/>
  </w:num>
  <w:num w:numId="180">
    <w:abstractNumId w:val="14"/>
  </w:num>
  <w:num w:numId="181">
    <w:abstractNumId w:val="17"/>
  </w:num>
  <w:num w:numId="182">
    <w:abstractNumId w:val="5"/>
  </w:num>
  <w:num w:numId="183">
    <w:abstractNumId w:val="8"/>
  </w:num>
  <w:num w:numId="184">
    <w:abstractNumId w:val="10"/>
  </w:num>
  <w:num w:numId="185">
    <w:abstractNumId w:val="9"/>
  </w:num>
  <w:num w:numId="186">
    <w:abstractNumId w:val="0"/>
  </w:num>
  <w:num w:numId="187">
    <w:abstractNumId w:val="11"/>
  </w:num>
  <w:num w:numId="188">
    <w:abstractNumId w:val="8"/>
  </w:num>
  <w:num w:numId="189">
    <w:abstractNumId w:val="10"/>
  </w:num>
  <w:num w:numId="190">
    <w:abstractNumId w:val="9"/>
  </w:num>
  <w:num w:numId="191">
    <w:abstractNumId w:val="0"/>
  </w:num>
  <w:num w:numId="192">
    <w:abstractNumId w:val="11"/>
  </w:num>
  <w:num w:numId="193">
    <w:abstractNumId w:val="8"/>
  </w:num>
  <w:num w:numId="194">
    <w:abstractNumId w:val="10"/>
  </w:num>
  <w:num w:numId="195">
    <w:abstractNumId w:val="9"/>
  </w:num>
  <w:num w:numId="196">
    <w:abstractNumId w:val="0"/>
  </w:num>
  <w:num w:numId="197">
    <w:abstractNumId w:val="11"/>
  </w:num>
  <w:num w:numId="198">
    <w:abstractNumId w:val="8"/>
  </w:num>
  <w:num w:numId="199">
    <w:abstractNumId w:val="10"/>
  </w:num>
  <w:num w:numId="200">
    <w:abstractNumId w:val="9"/>
  </w:num>
  <w:num w:numId="201">
    <w:abstractNumId w:val="0"/>
  </w:num>
  <w:num w:numId="202">
    <w:abstractNumId w:val="1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doNotTrackMoves/>
  <w:defaultTabStop w:val="720"/>
  <w:hyphenationZone w:val="425"/>
  <w:characterSpacingControl w:val="doNotCompress"/>
  <w:hdrShapeDefaults>
    <o:shapedefaults v:ext="edit" spidmax="14337" style="mso-position-vertical-relative:line" fill="f" fillcolor="white" stroke="f">
      <v:fill color="white" on="f"/>
      <v:stroke on="f"/>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097365125968400781D987252DD762A7"/>
    <w:docVar w:name="LW_CROSSREFERENCE" w:val="&lt;UNUSED&gt;"/>
    <w:docVar w:name="LW_DocType" w:val="NORMAL"/>
    <w:docVar w:name="LW_EMISSION" w:val="21.12.2015"/>
    <w:docVar w:name="LW_EMISSION_ISODATE" w:val="2015-12-21"/>
    <w:docVar w:name="LW_EMISSION_LOCATION" w:val="BRX"/>
    <w:docVar w:name="LW_EMISSION_PREFIX" w:val="Брюксел, "/>
    <w:docVar w:name="LW_EMISSION_SUFFIX" w:val=" \u1075?."/>
    <w:docVar w:name="LW_ID_DOCTYPE_NONLW" w:val="CP-00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21"/>
    <w:docVar w:name="LW_REF.INTERNE" w:val="&lt;UNUSED&gt;"/>
    <w:docVar w:name="LW_SOUS.TITRE.OBJ.CP" w:val="&lt;UNUSED&gt;"/>
    <w:docVar w:name="LW_SUPERTITRE" w:val="&lt;UNUSED&gt;"/>
    <w:docVar w:name="LW_TITRE.OBJ.CP" w:val="\u1086?\u1090?\u1085?\u1086?\u1089?\u1085?\u1086? \u1086?\u1094?\u1077?\u1085?\u1082?\u1072?\u1090?\u1072? \u1087?\u1086? REFIT \u1085?\u1072? \u1044?\u1080?\u1088?\u1077?\u1082?\u1090?\u1080?\u1074?\u1072? 2011/64/E\u1057? \u1080? \u1086?\u1090?\u1085?\u1086?\u1089?\u1085?\u1086? \u1089?\u1090?\u1088?\u1091?\u1082?\u1090?\u1091?\u1088?\u1072?\u1090?\u1072? \u1080? \u1089?\u1090?\u1072?\u1074?\u1082?\u1080?\u1090?\u1077? \u1085?\u1072? \u1072?\u1082?\u1094?\u1080?\u1079?\u1072? \u1074?\u1098?\u1088?\u1093?\u1091? \u1086?\u1073?\u1088?\u1072?\u1073?\u1086?\u1090?\u1077?\u1085? \u1090?\u1102?\u1090?\u1102?\u1085? "/>
    <w:docVar w:name="LW_TYPE.DOC.CP" w:val="\u1044?\u1054?\u1050?\u1051?\u1040?\u1044? \u1053?\u1040? \u1050?\u1054?\u1052?\u1048?\u1057?\u1048?\u1071?\u1058?\u1040? \u1044?\u1054? \u1057?\u1066?\u1042?\u1045?\u1058?\u1040?"/>
  </w:docVars>
  <w:rsids>
    <w:rsidRoot w:val="00FC2C90"/>
    <w:rsid w:val="00DB129A"/>
    <w:rsid w:val="00FC2C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bg-BG"/>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bg-BG"/>
    </w:rPr>
  </w:style>
  <w:style w:type="character" w:customStyle="1" w:styleId="Heading2Char">
    <w:name w:val="Heading 2 Char"/>
    <w:link w:val="Heading2"/>
    <w:uiPriority w:val="9"/>
    <w:rPr>
      <w:rFonts w:ascii="Cambria" w:eastAsia="Times New Roman" w:hAnsi="Cambria"/>
      <w:b/>
      <w:bCs/>
      <w:i/>
      <w:iCs/>
      <w:sz w:val="28"/>
      <w:szCs w:val="28"/>
      <w:lang w:eastAsia="bg-BG"/>
    </w:rPr>
  </w:style>
  <w:style w:type="character" w:customStyle="1" w:styleId="Heading3Char">
    <w:name w:val="Heading 3 Char"/>
    <w:link w:val="Heading3"/>
    <w:uiPriority w:val="9"/>
    <w:rPr>
      <w:rFonts w:ascii="Cambria" w:eastAsia="Times New Roman" w:hAnsi="Cambria" w:cs="Times New Roman"/>
      <w:b/>
      <w:bCs/>
      <w:sz w:val="26"/>
      <w:szCs w:val="26"/>
      <w:lang w:eastAsia="bg-BG"/>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bg-BG"/>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bg-BG"/>
    </w:rPr>
  </w:style>
  <w:style w:type="character" w:customStyle="1" w:styleId="Heading2Char">
    <w:name w:val="Heading 2 Char"/>
    <w:link w:val="Heading2"/>
    <w:uiPriority w:val="9"/>
    <w:rPr>
      <w:rFonts w:ascii="Cambria" w:eastAsia="Times New Roman" w:hAnsi="Cambria"/>
      <w:b/>
      <w:bCs/>
      <w:i/>
      <w:iCs/>
      <w:sz w:val="28"/>
      <w:szCs w:val="28"/>
      <w:lang w:eastAsia="bg-BG"/>
    </w:rPr>
  </w:style>
  <w:style w:type="character" w:customStyle="1" w:styleId="Heading3Char">
    <w:name w:val="Heading 3 Char"/>
    <w:link w:val="Heading3"/>
    <w:uiPriority w:val="9"/>
    <w:rPr>
      <w:rFonts w:ascii="Cambria" w:eastAsia="Times New Roman" w:hAnsi="Cambria" w:cs="Times New Roman"/>
      <w:b/>
      <w:bCs/>
      <w:sz w:val="26"/>
      <w:szCs w:val="26"/>
      <w:lang w:eastAsia="bg-BG"/>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6968">
      <w:bodyDiv w:val="1"/>
      <w:marLeft w:val="0"/>
      <w:marRight w:val="0"/>
      <w:marTop w:val="0"/>
      <w:marBottom w:val="0"/>
      <w:divBdr>
        <w:top w:val="none" w:sz="0" w:space="0" w:color="auto"/>
        <w:left w:val="none" w:sz="0" w:space="0" w:color="auto"/>
        <w:bottom w:val="none" w:sz="0" w:space="0" w:color="auto"/>
        <w:right w:val="none" w:sz="0" w:space="0" w:color="auto"/>
      </w:divBdr>
    </w:div>
    <w:div w:id="1029142626">
      <w:bodyDiv w:val="1"/>
      <w:marLeft w:val="0"/>
      <w:marRight w:val="0"/>
      <w:marTop w:val="0"/>
      <w:marBottom w:val="0"/>
      <w:divBdr>
        <w:top w:val="none" w:sz="0" w:space="0" w:color="auto"/>
        <w:left w:val="none" w:sz="0" w:space="0" w:color="auto"/>
        <w:bottom w:val="none" w:sz="0" w:space="0" w:color="auto"/>
        <w:right w:val="none" w:sz="0" w:space="0" w:color="auto"/>
      </w:divBdr>
    </w:div>
    <w:div w:id="1085111313">
      <w:bodyDiv w:val="1"/>
      <w:marLeft w:val="0"/>
      <w:marRight w:val="0"/>
      <w:marTop w:val="0"/>
      <w:marBottom w:val="0"/>
      <w:divBdr>
        <w:top w:val="none" w:sz="0" w:space="0" w:color="auto"/>
        <w:left w:val="none" w:sz="0" w:space="0" w:color="auto"/>
        <w:bottom w:val="none" w:sz="0" w:space="0" w:color="auto"/>
        <w:right w:val="none" w:sz="0" w:space="0" w:color="auto"/>
      </w:divBdr>
    </w:div>
    <w:div w:id="1461417378">
      <w:bodyDiv w:val="1"/>
      <w:marLeft w:val="0"/>
      <w:marRight w:val="0"/>
      <w:marTop w:val="0"/>
      <w:marBottom w:val="0"/>
      <w:divBdr>
        <w:top w:val="none" w:sz="0" w:space="0" w:color="auto"/>
        <w:left w:val="none" w:sz="0" w:space="0" w:color="auto"/>
        <w:bottom w:val="none" w:sz="0" w:space="0" w:color="auto"/>
        <w:right w:val="none" w:sz="0" w:space="0" w:color="auto"/>
      </w:divBdr>
    </w:div>
    <w:div w:id="1517425768">
      <w:bodyDiv w:val="1"/>
      <w:marLeft w:val="0"/>
      <w:marRight w:val="0"/>
      <w:marTop w:val="0"/>
      <w:marBottom w:val="0"/>
      <w:divBdr>
        <w:top w:val="none" w:sz="0" w:space="0" w:color="auto"/>
        <w:left w:val="none" w:sz="0" w:space="0" w:color="auto"/>
        <w:bottom w:val="none" w:sz="0" w:space="0" w:color="auto"/>
        <w:right w:val="none" w:sz="0" w:space="0" w:color="auto"/>
      </w:divBdr>
    </w:div>
    <w:div w:id="1727871621">
      <w:bodyDiv w:val="1"/>
      <w:marLeft w:val="0"/>
      <w:marRight w:val="0"/>
      <w:marTop w:val="0"/>
      <w:marBottom w:val="0"/>
      <w:divBdr>
        <w:top w:val="none" w:sz="0" w:space="0" w:color="auto"/>
        <w:left w:val="none" w:sz="0" w:space="0" w:color="auto"/>
        <w:bottom w:val="none" w:sz="0" w:space="0" w:color="auto"/>
        <w:right w:val="none" w:sz="0" w:space="0" w:color="auto"/>
      </w:divBdr>
    </w:div>
    <w:div w:id="1869945758">
      <w:bodyDiv w:val="1"/>
      <w:marLeft w:val="0"/>
      <w:marRight w:val="0"/>
      <w:marTop w:val="0"/>
      <w:marBottom w:val="0"/>
      <w:divBdr>
        <w:top w:val="none" w:sz="0" w:space="0" w:color="auto"/>
        <w:left w:val="none" w:sz="0" w:space="0" w:color="auto"/>
        <w:bottom w:val="none" w:sz="0" w:space="0" w:color="auto"/>
        <w:right w:val="none" w:sz="0" w:space="0" w:color="auto"/>
      </w:divBdr>
    </w:div>
    <w:div w:id="19834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ho.int/fctc/protocol/Protocol_summary_en.pdf?ua=1" TargetMode="External"/><Relationship Id="rId26" Type="http://schemas.openxmlformats.org/officeDocument/2006/relationships/footer" Target="footer6.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health/tobacco/docs/dir_201440_en.pdf" TargetMode="External"/><Relationship Id="rId25" Type="http://schemas.openxmlformats.org/officeDocument/2006/relationships/header" Target="header6.xml"/><Relationship Id="rId33" Type="http://schemas.openxmlformats.org/officeDocument/2006/relationships/image" Target="media/image8.png"/><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ur-lex.europa.eu/LexUriServ/LexUriServ.do?uri=OJ:L:2011:176:0024:0036:EN:PDF" TargetMode="External"/><Relationship Id="rId20" Type="http://schemas.openxmlformats.org/officeDocument/2006/relationships/hyperlink" Target="http://eur-lex.europa.eu/LexUriServ/LexUriServ.do?uri=CELEX:31992L0012:en:HTML" TargetMode="Externa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7.png"/><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3.png"/><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eur-lex.europa.eu/LexUriServ/LexUriServ.do?uri=OJ:L:2009:009:0012:0030:EN:PDF"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resources/documents/taxation/excise_duties/tobacco_products/studies_reports/ramboll-tobacco-study.pdf" TargetMode="External"/><Relationship Id="rId13" Type="http://schemas.openxmlformats.org/officeDocument/2006/relationships/hyperlink" Target="http://ec.europa.eu/taxation_customs/resources/documents/taxation/excise_duties/tobacco_products/studies_reports/ramboll-tobacco-study.pdf" TargetMode="External"/><Relationship Id="rId18" Type="http://schemas.openxmlformats.org/officeDocument/2006/relationships/hyperlink" Target="http://ec.europa.eu/smart-regulation/impact/key_docs/docs/standards_c2002_5267_final_en.pdf" TargetMode="External"/><Relationship Id="rId3" Type="http://schemas.openxmlformats.org/officeDocument/2006/relationships/hyperlink" Target="http://eur-lex.europa.eu/LexUriServ/LexUriServ.do?uri=OJ:L:2011:176:0024:0036:EN:PDF" TargetMode="External"/><Relationship Id="rId21" Type="http://schemas.openxmlformats.org/officeDocument/2006/relationships/hyperlink" Target="http://ec.europa.eu/taxation_customs/resources/documents/taxation/excise_duties/tobacco_products/studies_reports/ramboll-tobacco-study.pdf" TargetMode="External"/><Relationship Id="rId7" Type="http://schemas.openxmlformats.org/officeDocument/2006/relationships/hyperlink" Target="http://eur-lex.europa.eu/resource.html?uri=cellar:248aee57-abdf-4df2-929e-30c2fa7f22e0.0004.02/DOC_1&amp;format=PDF" TargetMode="External"/><Relationship Id="rId12" Type="http://schemas.openxmlformats.org/officeDocument/2006/relationships/hyperlink" Target="http://ec.europa.eu/taxation_customs/resources/documents/taxation/excise_duties/tobacco_products/studies_reports/ramboll-tobacco-study.pdf" TargetMode="External"/><Relationship Id="rId17" Type="http://schemas.openxmlformats.org/officeDocument/2006/relationships/hyperlink" Target="http://ec.europa.eu/taxation_customs/resources/documents/taxation/excise_duties/tobacco_products/studies_reports/ramboll-tobacco-study.pdf" TargetMode="External"/><Relationship Id="rId2" Type="http://schemas.openxmlformats.org/officeDocument/2006/relationships/hyperlink" Target="http://eur-lex.europa.eu/legal-content/EN/TXT/PDF/?uri=CELEX:12012E/TXT&amp;from=EN" TargetMode="External"/><Relationship Id="rId16" Type="http://schemas.openxmlformats.org/officeDocument/2006/relationships/hyperlink" Target="http://ec.europa.eu/anti_fraud/documents/2013-cigarette-communication/communication_en.pdf" TargetMode="External"/><Relationship Id="rId20" Type="http://schemas.openxmlformats.org/officeDocument/2006/relationships/hyperlink" Target="http://ec.europa.eu/transparency/regexpert/index.cfm?do=groupDetail.groupDetail&amp;groupID=3296&amp;Lang=EN" TargetMode="External"/><Relationship Id="rId1" Type="http://schemas.openxmlformats.org/officeDocument/2006/relationships/hyperlink" Target="http://eur-lex.europa.eu/LexUriServ/LexUriServ.do?uri=OJ:L:2011:176:0024:0036:EN:PDF" TargetMode="External"/><Relationship Id="rId6" Type="http://schemas.openxmlformats.org/officeDocument/2006/relationships/hyperlink" Target="http://ec.europa.eu/health/tobacco/docs/dir_201440_en.pdf" TargetMode="External"/><Relationship Id="rId11" Type="http://schemas.openxmlformats.org/officeDocument/2006/relationships/hyperlink" Target="http://ec.europa.eu/taxation_customs/resources/documents/taxation/excise_duties/tobacco_products/studies_reports/ramboll-tobacco-study.pdf" TargetMode="External"/><Relationship Id="rId24" Type="http://schemas.openxmlformats.org/officeDocument/2006/relationships/hyperlink" Target="http://ec.europa.eu/taxation_customs/resources/documents/taxation/excise_duties/tobacco_products/studies_reports/ramboll-tobacco-study.pdf" TargetMode="External"/><Relationship Id="rId5" Type="http://schemas.openxmlformats.org/officeDocument/2006/relationships/hyperlink" Target="http://eur-lex.europa.eu/LexUriServ/LexUriServ.do?uri=CELEX:31992L0012:en:HTML" TargetMode="External"/><Relationship Id="rId15" Type="http://schemas.openxmlformats.org/officeDocument/2006/relationships/hyperlink" Target="http://ec.europa.eu/transparency/regexpert/index.cfm?do=groupDetail.groupDetail&amp;groupID=956" TargetMode="External"/><Relationship Id="rId23" Type="http://schemas.openxmlformats.org/officeDocument/2006/relationships/hyperlink" Target="http://ec.europa.eu/taxation_customs/resources/documents/taxation/excise_duties/tobacco_products/studies_reports/ramboll-tobacco-study.pdf" TargetMode="External"/><Relationship Id="rId10" Type="http://schemas.openxmlformats.org/officeDocument/2006/relationships/hyperlink" Target="http://ec.europa.eu/taxation_customs/resources/documents/taxation/excise_duties/tobacco_products/studies_reports/ramboll-tobacco-study.pdf" TargetMode="External"/><Relationship Id="rId19" Type="http://schemas.openxmlformats.org/officeDocument/2006/relationships/hyperlink" Target="http://ec.europa.eu/taxation_customs/resources/documents/taxation/excise_duties/tobacco_products/studies_reports/ramboll-tobacco-study.pdf" TargetMode="External"/><Relationship Id="rId4" Type="http://schemas.openxmlformats.org/officeDocument/2006/relationships/hyperlink" Target="http://eur-lex.europa.eu/LexUriServ/LexUriServ.do?uri=OJ:L:2009:009:0012:0030:EN:PDF" TargetMode="External"/><Relationship Id="rId9" Type="http://schemas.openxmlformats.org/officeDocument/2006/relationships/hyperlink" Target="http://ec.europa.eu/taxation_customs/resources/documents/taxation/excise_duties/tobacco_products/studies_reports/ramboll-tobacco-study.pdf" TargetMode="External"/><Relationship Id="rId14" Type="http://schemas.openxmlformats.org/officeDocument/2006/relationships/hyperlink" Target="http://ec.europa.eu/transparency/regexpert/index.cfm?do=groupDetail.groupDetail&amp;groupID=3296&amp;news=1" TargetMode="External"/><Relationship Id="rId22" Type="http://schemas.openxmlformats.org/officeDocument/2006/relationships/hyperlink" Target="http://ec.europa.eu/taxation_customs/resources/documents/taxation/excise_duties/tobacco_products/rates/excise_duties_tobacco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AB211-464F-4E9F-AD51-91C6B94F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5942</Words>
  <Characters>33872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39735</CharactersWithSpaces>
  <SharedDoc>false</SharedDoc>
  <HLinks>
    <vt:vector size="126" baseType="variant">
      <vt:variant>
        <vt:i4>5242891</vt:i4>
      </vt:variant>
      <vt:variant>
        <vt:i4>105</vt:i4>
      </vt:variant>
      <vt:variant>
        <vt:i4>0</vt:i4>
      </vt:variant>
      <vt:variant>
        <vt:i4>5</vt:i4>
      </vt:variant>
      <vt:variant>
        <vt:lpwstr>http://ec.europa.eu/taxation_customs/common/publications/studies/index_en.htm</vt:lpwstr>
      </vt:variant>
      <vt:variant>
        <vt:lpwstr/>
      </vt:variant>
      <vt:variant>
        <vt:i4>8192096</vt:i4>
      </vt:variant>
      <vt:variant>
        <vt:i4>96</vt:i4>
      </vt:variant>
      <vt:variant>
        <vt:i4>0</vt:i4>
      </vt:variant>
      <vt:variant>
        <vt:i4>5</vt:i4>
      </vt:variant>
      <vt:variant>
        <vt:lpwstr>http://ec.europa.eu/transparency/regexpert/index.cfm?do=groupDetail.groupDetail&amp;groupID=3296&amp;news=1</vt:lpwstr>
      </vt:variant>
      <vt:variant>
        <vt:lpwstr/>
      </vt:variant>
      <vt:variant>
        <vt:i4>7340053</vt:i4>
      </vt:variant>
      <vt:variant>
        <vt:i4>93</vt:i4>
      </vt:variant>
      <vt:variant>
        <vt:i4>0</vt:i4>
      </vt:variant>
      <vt:variant>
        <vt:i4>5</vt:i4>
      </vt:variant>
      <vt:variant>
        <vt:lpwstr/>
      </vt:variant>
      <vt:variant>
        <vt:lpwstr>_4.2_Absence_of</vt:lpwstr>
      </vt:variant>
      <vt:variant>
        <vt:i4>1310832</vt:i4>
      </vt:variant>
      <vt:variant>
        <vt:i4>90</vt:i4>
      </vt:variant>
      <vt:variant>
        <vt:i4>0</vt:i4>
      </vt:variant>
      <vt:variant>
        <vt:i4>5</vt:i4>
      </vt:variant>
      <vt:variant>
        <vt:lpwstr/>
      </vt:variant>
      <vt:variant>
        <vt:lpwstr>_5.1_Recommendations_and</vt:lpwstr>
      </vt:variant>
      <vt:variant>
        <vt:i4>3080250</vt:i4>
      </vt:variant>
      <vt:variant>
        <vt:i4>87</vt:i4>
      </vt:variant>
      <vt:variant>
        <vt:i4>0</vt:i4>
      </vt:variant>
      <vt:variant>
        <vt:i4>5</vt:i4>
      </vt:variant>
      <vt:variant>
        <vt:lpwstr>http://ec.europa.eu/health/tobacco/docs/dir_201440_en.pdf</vt:lpwstr>
      </vt:variant>
      <vt:variant>
        <vt:lpwstr/>
      </vt:variant>
      <vt:variant>
        <vt:i4>6815850</vt:i4>
      </vt:variant>
      <vt:variant>
        <vt:i4>84</vt:i4>
      </vt:variant>
      <vt:variant>
        <vt:i4>0</vt:i4>
      </vt:variant>
      <vt:variant>
        <vt:i4>5</vt:i4>
      </vt:variant>
      <vt:variant>
        <vt:lpwstr>http://ec.europa.eu/taxation_customs/resources/documents/taxation/excise_duties/tobacco_products/studies_reports/ramboll-tobacco-study.pdfKS</vt:lpwstr>
      </vt:variant>
      <vt:variant>
        <vt:lpwstr/>
      </vt:variant>
      <vt:variant>
        <vt:i4>3801141</vt:i4>
      </vt:variant>
      <vt:variant>
        <vt:i4>42</vt:i4>
      </vt:variant>
      <vt:variant>
        <vt:i4>0</vt:i4>
      </vt:variant>
      <vt:variant>
        <vt:i4>5</vt:i4>
      </vt:variant>
      <vt:variant>
        <vt:lpwstr>http://eur-lex.europa.eu/legal-content/EN/TXT/PDF/?uri=CELEX:32011L0064&amp;from=EN</vt:lpwstr>
      </vt:variant>
      <vt:variant>
        <vt:lpwstr/>
      </vt:variant>
      <vt:variant>
        <vt:i4>8192110</vt:i4>
      </vt:variant>
      <vt:variant>
        <vt:i4>39</vt:i4>
      </vt:variant>
      <vt:variant>
        <vt:i4>0</vt:i4>
      </vt:variant>
      <vt:variant>
        <vt:i4>5</vt:i4>
      </vt:variant>
      <vt:variant>
        <vt:lpwstr>http://eur-lex.europa.eu/legal-content/EN/TXT/?uri=CELEX:12012E/TXT</vt:lpwstr>
      </vt:variant>
      <vt:variant>
        <vt:lpwstr/>
      </vt:variant>
      <vt:variant>
        <vt:i4>1769473</vt:i4>
      </vt:variant>
      <vt:variant>
        <vt:i4>36</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33</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30</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27</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24</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21</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18</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15</vt:i4>
      </vt:variant>
      <vt:variant>
        <vt:i4>0</vt:i4>
      </vt:variant>
      <vt:variant>
        <vt:i4>5</vt:i4>
      </vt:variant>
      <vt:variant>
        <vt:lpwstr>http://ec.europa.eu/taxation_customs/resources/documents/taxation/excise_duties/tobacco_products/studies_reports/ramboll-tobacco-study.pdf1</vt:lpwstr>
      </vt:variant>
      <vt:variant>
        <vt:lpwstr/>
      </vt:variant>
      <vt:variant>
        <vt:i4>4915233</vt:i4>
      </vt:variant>
      <vt:variant>
        <vt:i4>12</vt:i4>
      </vt:variant>
      <vt:variant>
        <vt:i4>0</vt:i4>
      </vt:variant>
      <vt:variant>
        <vt:i4>5</vt:i4>
      </vt:variant>
      <vt:variant>
        <vt:lpwstr>http://ec.europa.eu/smart-regulation/evaluation/docs/standards_c_2002_5267_final_en.pdf</vt:lpwstr>
      </vt:variant>
      <vt:variant>
        <vt:lpwstr/>
      </vt:variant>
      <vt:variant>
        <vt:i4>1769473</vt:i4>
      </vt:variant>
      <vt:variant>
        <vt:i4>9</vt:i4>
      </vt:variant>
      <vt:variant>
        <vt:i4>0</vt:i4>
      </vt:variant>
      <vt:variant>
        <vt:i4>5</vt:i4>
      </vt:variant>
      <vt:variant>
        <vt:lpwstr>http://ec.europa.eu/taxation_customs/resources/documents/taxation/excise_duties/tobacco_products/studies_reports/ramboll-tobacco-study.pdf1</vt:lpwstr>
      </vt:variant>
      <vt:variant>
        <vt:lpwstr/>
      </vt:variant>
      <vt:variant>
        <vt:i4>3735652</vt:i4>
      </vt:variant>
      <vt:variant>
        <vt:i4>6</vt:i4>
      </vt:variant>
      <vt:variant>
        <vt:i4>0</vt:i4>
      </vt:variant>
      <vt:variant>
        <vt:i4>5</vt:i4>
      </vt:variant>
      <vt:variant>
        <vt:lpwstr>http://eur-lex.europa.eu/LexUriServ/LexUriServ.do?uri=CELEX:31992L0012:en:HTML</vt:lpwstr>
      </vt:variant>
      <vt:variant>
        <vt:lpwstr/>
      </vt:variant>
      <vt:variant>
        <vt:i4>5570580</vt:i4>
      </vt:variant>
      <vt:variant>
        <vt:i4>3</vt:i4>
      </vt:variant>
      <vt:variant>
        <vt:i4>0</vt:i4>
      </vt:variant>
      <vt:variant>
        <vt:i4>5</vt:i4>
      </vt:variant>
      <vt:variant>
        <vt:lpwstr>http://eur-lex.europa.eu/LexUriServ/LexUriServ.do?uri=OJ:L:2009:009:0012:0030:EN:PDF</vt:lpwstr>
      </vt:variant>
      <vt:variant>
        <vt:lpwstr/>
      </vt:variant>
      <vt:variant>
        <vt:i4>5570583</vt:i4>
      </vt:variant>
      <vt:variant>
        <vt:i4>0</vt:i4>
      </vt:variant>
      <vt:variant>
        <vt:i4>0</vt:i4>
      </vt:variant>
      <vt:variant>
        <vt:i4>5</vt:i4>
      </vt:variant>
      <vt:variant>
        <vt:lpwstr>http://eur-lex.europa.eu/LexUriServ/LexUriServ.do?uri=OJ:L:2011:176:0024:0036:EN:PDF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2015-12-10T16:01:00Z</dcterms:created>
  <dcterms:modified xsi:type="dcterms:W3CDTF">2015-12-18T11:53:00Z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