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FF895F970E46A2B1E59AE4F0C151AB"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4"/>
        </w:rPr>
      </w:pPr>
      <w:r>
        <w:rPr>
          <w:noProof/>
        </w:rPr>
        <w:t>Споразумението между Европейския съюз и Русия за обратно приемане влезе в сила на 1 юни 2007 г. Съгласно член 19, параграф 1, буква б) от Споразумението Съвместният комитет за обратно приемане има задачата „да взема решения относно договорености, необходими за еднаквото изпълнение на Споразумение[то]“. Съгласно член 6, параграф 3 от Прoцедурния правилник на Комитета, приет с негово Решение № 1/2007 от 25 юли 2007 г., Комитетът може да приема препоръки.</w:t>
      </w:r>
    </w:p>
    <w:p>
      <w:pPr>
        <w:spacing w:before="0"/>
        <w:rPr>
          <w:rFonts w:eastAsia="Times New Roman"/>
          <w:noProof/>
          <w:szCs w:val="24"/>
        </w:rPr>
      </w:pPr>
      <w:r>
        <w:rPr>
          <w:noProof/>
        </w:rPr>
        <w:t>На 2 юни 2009 г. Съвместният комитет за обратно приемане прие първа препоръка по отношение на молбите за обратно приемане, изискващи организирането на интервюта. Оказа се, че тази препоръка следва да се изясни допълнително чрез втора препоръка, която да предостави насоки относно пренасрочването на интервюта, когато сроковете за организирането на интервютата не могат да бъдат спазени.</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highlight w:val="yellow"/>
        </w:rPr>
      </w:pPr>
      <w:r>
        <w:rPr>
          <w:noProof/>
        </w:rPr>
        <w:t>Проектът за препоръка, приложен към настоящото предложение за решение на Съвета, беше обсъден и договорен с руската страна по време на 12-то, 13-то и 14-то заседание на Комитета и бе изготвен в тясно сътрудничество с държавите членки, които също бяха представени по време на обсъжданията на Комитета по този въпрос. При липсата на планирано заседание на работната група „Интеграция, миграция и експулсиране“, на 20 октомври 2014 г. Комисията се консултира със съветниците по правосъдие и вътрешни работи относно посочения проект на препоръка, като не бяха направени забележки.</w:t>
      </w:r>
    </w:p>
    <w:p>
      <w:pPr>
        <w:rPr>
          <w:b/>
          <w:smallCaps/>
          <w:noProof/>
        </w:rPr>
      </w:pPr>
    </w:p>
    <w:p>
      <w:pPr>
        <w:pStyle w:val="ManualHeading1"/>
        <w:rPr>
          <w:noProof/>
        </w:rPr>
      </w:pPr>
      <w:r>
        <w:rPr>
          <w:noProof/>
        </w:rPr>
        <w:t xml:space="preserve">3. </w:t>
      </w:r>
      <w:r>
        <w:rPr>
          <w:noProof/>
        </w:rPr>
        <w:tab/>
        <w:t>ФИНАСОВО ОТРАЖЕНИЕ И ОТРАЖЕНИЕ ВЪРХУ БЮДЖЕТА</w:t>
      </w:r>
    </w:p>
    <w:p>
      <w:pPr>
        <w:rPr>
          <w:noProof/>
        </w:rPr>
      </w:pPr>
      <w:r>
        <w:rPr>
          <w:noProof/>
        </w:rPr>
        <w:t>Настоящото предложение няма отражение върху бюджета на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2015/0305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на ЕС за препоръка на Съвместния комитет за обратно приемане, създаден съгласно Споразумението за обратно приемане между Европейската общност и Руската федерация, по отношение на молбите за обратно приемане, изискващи организирането на интервюта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79, параграф 3 във връзка с член 218, параграф 9</w:t>
      </w:r>
      <w:r>
        <w:t xml:space="preserve"> </w:t>
      </w:r>
      <w:r>
        <w:rPr>
          <w:noProof/>
        </w:rPr>
        <w:t>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от 25 май 2006 г.</w:t>
      </w:r>
      <w:r>
        <w:rPr>
          <w:rStyle w:val="FootnoteReference"/>
          <w:noProof/>
        </w:rPr>
        <w:footnoteReference w:id="1"/>
      </w:r>
      <w:r>
        <w:rPr>
          <w:noProof/>
        </w:rPr>
        <w:t xml:space="preserve"> между Европейската общност и Руската федерация за обратно приемане (наричано по-долу „Споразумението за обратно приемане“) влезе в сила на 1 юни 2007 г.</w:t>
      </w:r>
    </w:p>
    <w:p>
      <w:pPr>
        <w:pStyle w:val="ManualConsidrant"/>
        <w:rPr>
          <w:noProof/>
        </w:rPr>
      </w:pPr>
      <w:r>
        <w:t>(2)</w:t>
      </w:r>
      <w:r>
        <w:tab/>
      </w:r>
      <w:r>
        <w:rPr>
          <w:noProof/>
        </w:rPr>
        <w:t>С член 19 от Споразумението за обратно приемане се създава Съвместен комитет за обратно приемане, който отговаря за задачите, посочени в този член.</w:t>
      </w:r>
    </w:p>
    <w:p>
      <w:pPr>
        <w:pStyle w:val="ManualConsidrant"/>
        <w:rPr>
          <w:noProof/>
        </w:rPr>
      </w:pPr>
      <w:r>
        <w:t>(3)</w:t>
      </w:r>
      <w:r>
        <w:tab/>
      </w:r>
      <w:r>
        <w:rPr>
          <w:noProof/>
        </w:rPr>
        <w:t>Съгласно член 19, параграф 1, буква б) от Споразумението за обратно приемане Съвместният комитет за обратно приемане трябва да взема решения относно договорености, необходими за еднаквото изпълнение на Споразумението.</w:t>
      </w:r>
    </w:p>
    <w:p>
      <w:pPr>
        <w:pStyle w:val="ManualConsidrant"/>
        <w:rPr>
          <w:noProof/>
        </w:rPr>
      </w:pPr>
      <w:r>
        <w:t>(4)</w:t>
      </w:r>
      <w:r>
        <w:tab/>
      </w:r>
      <w:r>
        <w:rPr>
          <w:noProof/>
        </w:rPr>
        <w:t>Интервюто е един от елементите на процедурата за обратно приемане, предвидена в Споразумението, и съгласно член 9, параграф 4 следва да се организира, когато нито един от документите, изброени в приложения 2 и 3 към Споразумението, не може да бъде приложен от молещата страна към молбата за обратно приемане.</w:t>
      </w:r>
    </w:p>
    <w:p>
      <w:pPr>
        <w:pStyle w:val="ManualConsidrant"/>
        <w:rPr>
          <w:noProof/>
        </w:rPr>
      </w:pPr>
      <w:r>
        <w:t>(5)</w:t>
      </w:r>
      <w:r>
        <w:tab/>
      </w:r>
      <w:r>
        <w:rPr>
          <w:noProof/>
        </w:rPr>
        <w:t xml:space="preserve">На 2 юни 2009 г. Съвместният комитет за обратно приемане прие първа препоръка по отношение на молбите за обратно приемане, изискващи организирането на интервюта. Оказа се, че тази препоръка следва да се изясни допълнително чрез втора препоръка, която да предостави насоки относно пренасрочването на интервюта, когато сроковете за организиране на интервюта не могат да бъдат спазени. </w:t>
      </w:r>
    </w:p>
    <w:p>
      <w:pPr>
        <w:pStyle w:val="ManualConsidrant"/>
        <w:rPr>
          <w:noProof/>
        </w:rPr>
      </w:pPr>
      <w:r>
        <w:t>(6)</w:t>
      </w:r>
      <w:r>
        <w:tab/>
      </w:r>
      <w:r>
        <w:rPr>
          <w:noProof/>
        </w:rPr>
        <w:t>Поради това е целесъобразно да се определи позицията на Съюза по отношение на препоръката относно молбите за обратно приемане, изискващи организирането на интервюта, която да бъде приета от Комитета,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 Позицията, която да бъде възприета от Европейския съюз в рамките на Съвместния комитет за обратно приемане, създаден с член 19 от Споразумението между Европейската общност и Руската федерация за обратно приемане, относно приемането на препоръката по отношение на молбите за обратно приемане, изискващи организирането на интервюта, се основава на проекта на препоръка на Съвместния комитет за обратно приемане, приложен към настоящото решение.</w:t>
      </w:r>
    </w:p>
    <w:p>
      <w:pPr>
        <w:rPr>
          <w:noProof/>
        </w:rPr>
      </w:pPr>
      <w:r>
        <w:rPr>
          <w:noProof/>
        </w:rPr>
        <w:t>2. Внасянето на незначителни технически поправки в проекта на препоръка на Съвместния комитет за обратно приемане може да бъде одобрено от представителите на Съюза в Съвместния комитет, без да е необходимо допълнително решение на Съвета.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129 от 17 май 2007 г., стр.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880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489E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8A4C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35C9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94A4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FE94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19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980D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8 10:39: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BFF895F970E46A2B1E59AE4F0C151AB"/>
    <w:docVar w:name="LW_CROSSREFERENCE" w:val="&lt;UNUSED&gt;"/>
    <w:docVar w:name="LW_DocType" w:val="COM"/>
    <w:docVar w:name="LW_EMISSION" w:val="18.12.2015"/>
    <w:docVar w:name="LW_EMISSION_ISODATE" w:val="2015-1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5"/>
    <w:docVar w:name="LW_REF.II.NEW.CP_YEAR" w:val="2015"/>
    <w:docVar w:name="LW_REF.INST.NEW" w:val="COM"/>
    <w:docVar w:name="LW_REF.INST.NEW_ADOPTED" w:val="final"/>
    <w:docVar w:name="LW_REF.INST.NEW_TEXT" w:val="(2015) 666"/>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5?\u1072? \u1045?\u1057? \u1079?\u1072? \u1087?\u1088?\u1077?\u1087?\u1086?\u1088?\u1098?\u1082?\u1072? \u1085?\u1072? \u1057?\u1098?\u1074?\u1084?\u1077?\u1089?\u1090?\u1085?\u1080?\u1103? \u1082?\u1086?\u1084?\u1080?\u1090?\u1077?\u1090? \u1079?\u1072? \u1086?\u1073?\u1088?\u1072?\u1090?\u1085?\u1086? \u1087?\u1088?\u1080?\u1077?\u1084?\u1072?\u1085?\u1077?, \u1089?\u1098?\u1079?\u1076?\u1072?\u1076?\u1077?\u1085? \u1089?\u1098?\u1075?\u1083?\u1072?\u1089?\u1085?\u1086? \u1057?\u1087?\u1086?\u1088?\u1072?\u1079?\u1091?\u1084?\u1077?\u1085?\u1080?\u1077?\u1090?\u1086? \u1079?\u1072? \u1086?\u1073?\u1088?\u1072?\u1090?\u1085?\u1086? \u1087?\u1088?\u1080?\u1077?\u1084?\u1072?\u1085?\u1077? \u1084?\u1077?\u1078?\u1076?\u1091? \u1045?\u1074?\u1088?\u1086?\u1087?\u1077?\u1081?\u1089?\u1082?\u1072?\u1090?\u1072? \u1086?\u1073?\u1097?\u1085?\u1086?\u1089?\u1090? \u1080? \u1056?\u1091?\u1089?\u1082?\u1072?\u1090?\u1072? \u1092?\u1077?\u1076?\u1077?\u1088?\u1072?\u1094?\u1080?\u1103?, \u1087?\u1086? \u1086?\u1090?\u1085?\u1086?\u1096?\u1077?\u1085?\u1080?\u1077? \u1085?\u1072? \u1084?\u1086?\u1083?\u1073?\u1080?\u1090?\u1077? \u1079?\u1072? \u1086?\u1073?\u1088?\u1072?\u1090?\u1085?\u1086? \u1087?\u1088?\u1080?\u1077?\u1084?\u1072?\u1085?\u1077?, \u1080?\u1079?\u1080?\u1089?\u1082?\u1074?\u1072?\u1097?\u1080? \u1086?\u1088?\u1075?\u1072?\u1085?\u1080?\u1079?\u1080?\u1088?\u1072?\u1085?\u1077?\u1090?\u1086? \u1085?\u1072? \u1080?\u1085?\u1090?\u1077?\u1088?\u1074?\u1102?\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unhideWhenUsed/>
    <w:pPr>
      <w:numPr>
        <w:numId w:val="6"/>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rpsdutexte">
    <w:name w:val="Corps du texte_"/>
    <w:link w:val="Corpsdutexte0"/>
    <w:uiPriority w:val="99"/>
    <w:rPr>
      <w:sz w:val="26"/>
      <w:szCs w:val="26"/>
      <w:shd w:val="clear" w:color="auto" w:fill="FFFFFF"/>
    </w:rPr>
  </w:style>
  <w:style w:type="paragraph" w:customStyle="1" w:styleId="Corpsdutexte0">
    <w:name w:val="Corps du texte"/>
    <w:basedOn w:val="Normal"/>
    <w:link w:val="Corpsdutexte"/>
    <w:uiPriority w:val="99"/>
    <w:pPr>
      <w:widowControl w:val="0"/>
      <w:shd w:val="clear" w:color="auto" w:fill="FFFFFF"/>
      <w:spacing w:before="300" w:after="540" w:line="240" w:lineRule="atLeast"/>
    </w:pPr>
    <w:rPr>
      <w:rFonts w:ascii="Calibri" w:hAnsi="Calibri"/>
      <w:sz w:val="26"/>
      <w:szCs w:val="2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D04D-CE42-407F-BC24-20463F6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663</Words>
  <Characters>3828</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2015-04-24T10:48:00Z</cp:lastPrinted>
  <dcterms:created xsi:type="dcterms:W3CDTF">2015-11-17T12:57:00Z</dcterms:created>
  <dcterms:modified xsi:type="dcterms:W3CDTF">2015-12-18T09:39:00Z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