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5A4BF021E911407DBDE245AFC1F6DD66" style="width:450.8pt;height:461.4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jc w:val="center"/>
        <w:rPr>
          <w:noProof/>
        </w:rPr>
      </w:pPr>
      <w:bookmarkStart w:id="1" w:name="_Toc424032363"/>
      <w:bookmarkStart w:id="2" w:name="_Toc433203762"/>
      <w:bookmarkStart w:id="3" w:name="_Toc434340518"/>
      <w:bookmarkStart w:id="4" w:name="_GoBack"/>
      <w:bookmarkEnd w:id="4"/>
      <w:r>
        <w:rPr>
          <w:rFonts w:ascii="Times New Roman" w:eastAsia="Times New Roman" w:hAnsi="Times New Roman" w:cs="Times New Roman"/>
          <w:b/>
          <w:bCs/>
          <w:smallCaps/>
          <w:noProof/>
          <w:sz w:val="24"/>
          <w:szCs w:val="28"/>
          <w:lang w:val="fr-BE" w:eastAsia="x-none"/>
        </w:rPr>
        <w:lastRenderedPageBreak/>
        <w:t>Table of contents</w:t>
      </w:r>
    </w:p>
    <w:p>
      <w:pPr>
        <w:pStyle w:val="TOC1"/>
        <w:rPr>
          <w:rFonts w:eastAsiaTheme="minorEastAsia"/>
          <w:noProof/>
          <w:lang w:eastAsia="en-GB"/>
        </w:rPr>
      </w:pPr>
      <w:r>
        <w:rPr>
          <w:rFonts w:ascii="Times New Roman" w:eastAsia="Times New Roman" w:hAnsi="Times New Roman" w:cs="Times New Roman"/>
          <w:b/>
          <w:bCs/>
          <w:smallCaps/>
          <w:noProof/>
          <w:sz w:val="24"/>
          <w:szCs w:val="28"/>
          <w:lang w:val="fr-BE" w:eastAsia="x-none"/>
        </w:rPr>
        <w:fldChar w:fldCharType="begin"/>
      </w:r>
      <w:r>
        <w:rPr>
          <w:rFonts w:ascii="Times New Roman" w:eastAsia="Times New Roman" w:hAnsi="Times New Roman" w:cs="Times New Roman"/>
          <w:b/>
          <w:bCs/>
          <w:smallCaps/>
          <w:noProof/>
          <w:sz w:val="24"/>
          <w:szCs w:val="28"/>
          <w:lang w:val="fr-BE" w:eastAsia="x-none"/>
        </w:rPr>
        <w:instrText xml:space="preserve"> TOC \o "1-5" \h \z \u </w:instrText>
      </w:r>
      <w:r>
        <w:rPr>
          <w:rFonts w:ascii="Times New Roman" w:eastAsia="Times New Roman" w:hAnsi="Times New Roman" w:cs="Times New Roman"/>
          <w:b/>
          <w:bCs/>
          <w:smallCaps/>
          <w:noProof/>
          <w:sz w:val="24"/>
          <w:szCs w:val="28"/>
          <w:lang w:val="fr-BE" w:eastAsia="x-none"/>
        </w:rPr>
        <w:fldChar w:fldCharType="separate"/>
      </w:r>
      <w:hyperlink w:anchor="_Toc434395308" w:history="1">
        <w:r>
          <w:rPr>
            <w:rStyle w:val="Hyperlink"/>
            <w:noProof/>
            <w:lang w:val="fr-BE"/>
          </w:rPr>
          <w:t>1.</w:t>
        </w:r>
        <w:r>
          <w:rPr>
            <w:rFonts w:eastAsiaTheme="minorEastAsia"/>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_Toc434395308 \h </w:instrText>
        </w:r>
        <w:r>
          <w:rPr>
            <w:noProof/>
            <w:webHidden/>
          </w:rPr>
        </w:r>
        <w:r>
          <w:rPr>
            <w:noProof/>
            <w:webHidden/>
          </w:rPr>
          <w:fldChar w:fldCharType="separate"/>
        </w:r>
        <w:r>
          <w:rPr>
            <w:noProof/>
            <w:webHidden/>
          </w:rPr>
          <w:t>4</w:t>
        </w:r>
        <w:r>
          <w:rPr>
            <w:noProof/>
            <w:webHidden/>
          </w:rPr>
          <w:fldChar w:fldCharType="end"/>
        </w:r>
      </w:hyperlink>
    </w:p>
    <w:p>
      <w:pPr>
        <w:pStyle w:val="TOC1"/>
        <w:rPr>
          <w:rFonts w:eastAsiaTheme="minorEastAsia"/>
          <w:noProof/>
          <w:lang w:eastAsia="en-GB"/>
        </w:rPr>
      </w:pPr>
      <w:hyperlink w:anchor="_Toc434395309" w:history="1">
        <w:r>
          <w:rPr>
            <w:rStyle w:val="Hyperlink"/>
            <w:noProof/>
          </w:rPr>
          <w:t>2.</w:t>
        </w:r>
        <w:r>
          <w:rPr>
            <w:rFonts w:eastAsiaTheme="minorEastAsia"/>
            <w:noProof/>
            <w:lang w:eastAsia="en-GB"/>
          </w:rPr>
          <w:tab/>
        </w:r>
        <w:r>
          <w:rPr>
            <w:rStyle w:val="Hyperlink"/>
            <w:noProof/>
          </w:rPr>
          <w:t>Current progress</w:t>
        </w:r>
        <w:r>
          <w:rPr>
            <w:noProof/>
            <w:webHidden/>
          </w:rPr>
          <w:tab/>
        </w:r>
        <w:r>
          <w:rPr>
            <w:noProof/>
            <w:webHidden/>
          </w:rPr>
          <w:fldChar w:fldCharType="begin"/>
        </w:r>
        <w:r>
          <w:rPr>
            <w:noProof/>
            <w:webHidden/>
          </w:rPr>
          <w:instrText xml:space="preserve"> PAGEREF _Toc434395309 \h </w:instrText>
        </w:r>
        <w:r>
          <w:rPr>
            <w:noProof/>
            <w:webHidden/>
          </w:rPr>
        </w:r>
        <w:r>
          <w:rPr>
            <w:noProof/>
            <w:webHidden/>
          </w:rPr>
          <w:fldChar w:fldCharType="separate"/>
        </w:r>
        <w:r>
          <w:rPr>
            <w:noProof/>
            <w:webHidden/>
          </w:rPr>
          <w:t>4</w:t>
        </w:r>
        <w:r>
          <w:rPr>
            <w:noProof/>
            <w:webHidden/>
          </w:rPr>
          <w:fldChar w:fldCharType="end"/>
        </w:r>
      </w:hyperlink>
    </w:p>
    <w:p>
      <w:pPr>
        <w:pStyle w:val="TOC1"/>
        <w:rPr>
          <w:rFonts w:eastAsiaTheme="minorEastAsia"/>
          <w:noProof/>
          <w:lang w:eastAsia="en-GB"/>
        </w:rPr>
      </w:pPr>
      <w:hyperlink w:anchor="_Toc434395310" w:history="1">
        <w:r>
          <w:rPr>
            <w:rStyle w:val="Hyperlink"/>
            <w:noProof/>
          </w:rPr>
          <w:t>3.</w:t>
        </w:r>
        <w:r>
          <w:rPr>
            <w:rFonts w:eastAsiaTheme="minorEastAsia"/>
            <w:noProof/>
            <w:lang w:eastAsia="en-GB"/>
          </w:rPr>
          <w:tab/>
        </w:r>
        <w:r>
          <w:rPr>
            <w:rStyle w:val="Hyperlink"/>
            <w:noProof/>
          </w:rPr>
          <w:t>National targets</w:t>
        </w:r>
        <w:r>
          <w:rPr>
            <w:noProof/>
            <w:webHidden/>
          </w:rPr>
          <w:tab/>
        </w:r>
        <w:r>
          <w:rPr>
            <w:noProof/>
            <w:webHidden/>
          </w:rPr>
          <w:fldChar w:fldCharType="begin"/>
        </w:r>
        <w:r>
          <w:rPr>
            <w:noProof/>
            <w:webHidden/>
          </w:rPr>
          <w:instrText xml:space="preserve"> PAGEREF _Toc434395310 \h </w:instrText>
        </w:r>
        <w:r>
          <w:rPr>
            <w:noProof/>
            <w:webHidden/>
          </w:rPr>
        </w:r>
        <w:r>
          <w:rPr>
            <w:noProof/>
            <w:webHidden/>
          </w:rPr>
          <w:fldChar w:fldCharType="separate"/>
        </w:r>
        <w:r>
          <w:rPr>
            <w:noProof/>
            <w:webHidden/>
          </w:rPr>
          <w:t>7</w:t>
        </w:r>
        <w:r>
          <w:rPr>
            <w:noProof/>
            <w:webHidden/>
          </w:rPr>
          <w:fldChar w:fldCharType="end"/>
        </w:r>
      </w:hyperlink>
    </w:p>
    <w:p>
      <w:pPr>
        <w:pStyle w:val="TOC1"/>
        <w:rPr>
          <w:rFonts w:eastAsiaTheme="minorEastAsia"/>
          <w:noProof/>
          <w:lang w:eastAsia="en-GB"/>
        </w:rPr>
      </w:pPr>
      <w:hyperlink w:anchor="_Toc434395311" w:history="1">
        <w:r>
          <w:rPr>
            <w:rStyle w:val="Hyperlink"/>
            <w:noProof/>
          </w:rPr>
          <w:t>4.</w:t>
        </w:r>
        <w:r>
          <w:rPr>
            <w:rFonts w:eastAsiaTheme="minorEastAsia"/>
            <w:noProof/>
            <w:lang w:eastAsia="en-GB"/>
          </w:rPr>
          <w:tab/>
        </w:r>
        <w:r>
          <w:rPr>
            <w:rStyle w:val="Hyperlink"/>
            <w:noProof/>
          </w:rPr>
          <w:t>Energy consumption trends</w:t>
        </w:r>
        <w:r>
          <w:rPr>
            <w:noProof/>
            <w:webHidden/>
          </w:rPr>
          <w:tab/>
        </w:r>
        <w:r>
          <w:rPr>
            <w:noProof/>
            <w:webHidden/>
          </w:rPr>
          <w:fldChar w:fldCharType="begin"/>
        </w:r>
        <w:r>
          <w:rPr>
            <w:noProof/>
            <w:webHidden/>
          </w:rPr>
          <w:instrText xml:space="preserve"> PAGEREF _Toc434395311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880"/>
          <w:tab w:val="right" w:leader="dot" w:pos="9062"/>
        </w:tabs>
        <w:rPr>
          <w:rFonts w:eastAsiaTheme="minorEastAsia"/>
          <w:noProof/>
          <w:lang w:eastAsia="en-GB"/>
        </w:rPr>
      </w:pPr>
      <w:hyperlink w:anchor="_Toc434395312" w:history="1">
        <w:r>
          <w:rPr>
            <w:rStyle w:val="Hyperlink"/>
            <w:rFonts w:eastAsia="Calibri"/>
            <w:noProof/>
          </w:rPr>
          <w:t>4.1.</w:t>
        </w:r>
        <w:r>
          <w:rPr>
            <w:rFonts w:eastAsiaTheme="minorEastAsia"/>
            <w:noProof/>
            <w:lang w:eastAsia="en-GB"/>
          </w:rPr>
          <w:tab/>
        </w:r>
        <w:r>
          <w:rPr>
            <w:rStyle w:val="Hyperlink"/>
            <w:rFonts w:eastAsia="Calibri"/>
            <w:noProof/>
          </w:rPr>
          <w:t>Industry</w:t>
        </w:r>
        <w:r>
          <w:rPr>
            <w:noProof/>
            <w:webHidden/>
          </w:rPr>
          <w:tab/>
        </w:r>
        <w:r>
          <w:rPr>
            <w:noProof/>
            <w:webHidden/>
          </w:rPr>
          <w:fldChar w:fldCharType="begin"/>
        </w:r>
        <w:r>
          <w:rPr>
            <w:noProof/>
            <w:webHidden/>
          </w:rPr>
          <w:instrText xml:space="preserve"> PAGEREF _Toc434395312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80"/>
          <w:tab w:val="right" w:leader="dot" w:pos="9062"/>
        </w:tabs>
        <w:rPr>
          <w:rFonts w:eastAsiaTheme="minorEastAsia"/>
          <w:noProof/>
          <w:lang w:eastAsia="en-GB"/>
        </w:rPr>
      </w:pPr>
      <w:hyperlink w:anchor="_Toc434395313" w:history="1">
        <w:r>
          <w:rPr>
            <w:rStyle w:val="Hyperlink"/>
            <w:noProof/>
          </w:rPr>
          <w:t>4.2.</w:t>
        </w:r>
        <w:r>
          <w:rPr>
            <w:rFonts w:eastAsiaTheme="minorEastAsia"/>
            <w:noProof/>
            <w:lang w:eastAsia="en-GB"/>
          </w:rPr>
          <w:tab/>
        </w:r>
        <w:r>
          <w:rPr>
            <w:rStyle w:val="Hyperlink"/>
            <w:noProof/>
          </w:rPr>
          <w:t>Residential sector</w:t>
        </w:r>
        <w:r>
          <w:rPr>
            <w:noProof/>
            <w:webHidden/>
          </w:rPr>
          <w:tab/>
        </w:r>
        <w:r>
          <w:rPr>
            <w:noProof/>
            <w:webHidden/>
          </w:rPr>
          <w:fldChar w:fldCharType="begin"/>
        </w:r>
        <w:r>
          <w:rPr>
            <w:noProof/>
            <w:webHidden/>
          </w:rPr>
          <w:instrText xml:space="preserve"> PAGEREF _Toc434395313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62"/>
        </w:tabs>
        <w:rPr>
          <w:rFonts w:eastAsiaTheme="minorEastAsia"/>
          <w:noProof/>
          <w:lang w:eastAsia="en-GB"/>
        </w:rPr>
      </w:pPr>
      <w:hyperlink w:anchor="_Toc434395314" w:history="1">
        <w:r>
          <w:rPr>
            <w:rStyle w:val="Hyperlink"/>
            <w:noProof/>
          </w:rPr>
          <w:t>4.3.</w:t>
        </w:r>
        <w:r>
          <w:rPr>
            <w:rFonts w:eastAsiaTheme="minorEastAsia"/>
            <w:noProof/>
            <w:lang w:eastAsia="en-GB"/>
          </w:rPr>
          <w:tab/>
        </w:r>
        <w:r>
          <w:rPr>
            <w:rStyle w:val="Hyperlink"/>
            <w:noProof/>
          </w:rPr>
          <w:t>Service sector</w:t>
        </w:r>
        <w:r>
          <w:rPr>
            <w:noProof/>
            <w:webHidden/>
          </w:rPr>
          <w:tab/>
        </w:r>
        <w:r>
          <w:rPr>
            <w:noProof/>
            <w:webHidden/>
          </w:rPr>
          <w:fldChar w:fldCharType="begin"/>
        </w:r>
        <w:r>
          <w:rPr>
            <w:noProof/>
            <w:webHidden/>
          </w:rPr>
          <w:instrText xml:space="preserve"> PAGEREF _Toc434395314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880"/>
          <w:tab w:val="right" w:leader="dot" w:pos="9062"/>
        </w:tabs>
        <w:rPr>
          <w:rFonts w:eastAsiaTheme="minorEastAsia"/>
          <w:noProof/>
          <w:lang w:eastAsia="en-GB"/>
        </w:rPr>
      </w:pPr>
      <w:hyperlink w:anchor="_Toc434395315" w:history="1">
        <w:r>
          <w:rPr>
            <w:rStyle w:val="Hyperlink"/>
            <w:noProof/>
          </w:rPr>
          <w:t>4.4.</w:t>
        </w:r>
        <w:r>
          <w:rPr>
            <w:rFonts w:eastAsiaTheme="minorEastAsia"/>
            <w:noProof/>
            <w:lang w:eastAsia="en-GB"/>
          </w:rPr>
          <w:tab/>
        </w:r>
        <w:r>
          <w:rPr>
            <w:rStyle w:val="Hyperlink"/>
            <w:noProof/>
          </w:rPr>
          <w:t>Transport sector</w:t>
        </w:r>
        <w:r>
          <w:rPr>
            <w:noProof/>
            <w:webHidden/>
          </w:rPr>
          <w:tab/>
        </w:r>
        <w:r>
          <w:rPr>
            <w:noProof/>
            <w:webHidden/>
          </w:rPr>
          <w:fldChar w:fldCharType="begin"/>
        </w:r>
        <w:r>
          <w:rPr>
            <w:noProof/>
            <w:webHidden/>
          </w:rPr>
          <w:instrText xml:space="preserve"> PAGEREF _Toc434395315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880"/>
          <w:tab w:val="right" w:leader="dot" w:pos="9062"/>
        </w:tabs>
        <w:rPr>
          <w:rFonts w:eastAsiaTheme="minorEastAsia"/>
          <w:noProof/>
          <w:lang w:eastAsia="en-GB"/>
        </w:rPr>
      </w:pPr>
      <w:hyperlink w:anchor="_Toc434395316" w:history="1">
        <w:r>
          <w:rPr>
            <w:rStyle w:val="Hyperlink"/>
            <w:rFonts w:eastAsia="Calibri"/>
            <w:noProof/>
          </w:rPr>
          <w:t>4.5.</w:t>
        </w:r>
        <w:r>
          <w:rPr>
            <w:rFonts w:eastAsiaTheme="minorEastAsia"/>
            <w:noProof/>
            <w:lang w:eastAsia="en-GB"/>
          </w:rPr>
          <w:tab/>
        </w:r>
        <w:r>
          <w:rPr>
            <w:rStyle w:val="Hyperlink"/>
            <w:noProof/>
          </w:rPr>
          <w:t>Generation sector</w:t>
        </w:r>
        <w:r>
          <w:rPr>
            <w:noProof/>
            <w:webHidden/>
          </w:rPr>
          <w:tab/>
        </w:r>
        <w:r>
          <w:rPr>
            <w:noProof/>
            <w:webHidden/>
          </w:rPr>
          <w:fldChar w:fldCharType="begin"/>
        </w:r>
        <w:r>
          <w:rPr>
            <w:noProof/>
            <w:webHidden/>
          </w:rPr>
          <w:instrText xml:space="preserve"> PAGEREF _Toc434395316 \h </w:instrText>
        </w:r>
        <w:r>
          <w:rPr>
            <w:noProof/>
            <w:webHidden/>
          </w:rPr>
        </w:r>
        <w:r>
          <w:rPr>
            <w:noProof/>
            <w:webHidden/>
          </w:rPr>
          <w:fldChar w:fldCharType="separate"/>
        </w:r>
        <w:r>
          <w:rPr>
            <w:noProof/>
            <w:webHidden/>
          </w:rPr>
          <w:t>23</w:t>
        </w:r>
        <w:r>
          <w:rPr>
            <w:noProof/>
            <w:webHidden/>
          </w:rPr>
          <w:fldChar w:fldCharType="end"/>
        </w:r>
      </w:hyperlink>
    </w:p>
    <w:p>
      <w:pPr>
        <w:pStyle w:val="TOC1"/>
        <w:rPr>
          <w:rFonts w:eastAsiaTheme="minorEastAsia"/>
          <w:noProof/>
          <w:lang w:eastAsia="en-GB"/>
        </w:rPr>
      </w:pPr>
      <w:hyperlink w:anchor="_Toc434395317" w:history="1">
        <w:r>
          <w:rPr>
            <w:rStyle w:val="Hyperlink"/>
            <w:noProof/>
          </w:rPr>
          <w:t>5.</w:t>
        </w:r>
        <w:r>
          <w:rPr>
            <w:rFonts w:eastAsiaTheme="minorEastAsia"/>
            <w:noProof/>
            <w:lang w:eastAsia="en-GB"/>
          </w:rPr>
          <w:tab/>
        </w:r>
        <w:r>
          <w:rPr>
            <w:rStyle w:val="Hyperlink"/>
            <w:noProof/>
          </w:rPr>
          <w:t>Final energy savings in 2016 required by the Energy Services Directive 2006/32/EC</w:t>
        </w:r>
        <w:r>
          <w:rPr>
            <w:noProof/>
            <w:webHidden/>
          </w:rPr>
          <w:tab/>
        </w:r>
        <w:r>
          <w:rPr>
            <w:noProof/>
            <w:webHidden/>
          </w:rPr>
          <w:fldChar w:fldCharType="begin"/>
        </w:r>
        <w:r>
          <w:rPr>
            <w:noProof/>
            <w:webHidden/>
          </w:rPr>
          <w:instrText xml:space="preserve"> PAGEREF _Toc434395317 \h </w:instrText>
        </w:r>
        <w:r>
          <w:rPr>
            <w:noProof/>
            <w:webHidden/>
          </w:rPr>
        </w:r>
        <w:r>
          <w:rPr>
            <w:noProof/>
            <w:webHidden/>
          </w:rPr>
          <w:fldChar w:fldCharType="separate"/>
        </w:r>
        <w:r>
          <w:rPr>
            <w:noProof/>
            <w:webHidden/>
          </w:rPr>
          <w:t>27</w:t>
        </w:r>
        <w:r>
          <w:rPr>
            <w:noProof/>
            <w:webHidden/>
          </w:rPr>
          <w:fldChar w:fldCharType="end"/>
        </w:r>
      </w:hyperlink>
    </w:p>
    <w:p>
      <w:pPr>
        <w:pStyle w:val="TOC1"/>
        <w:rPr>
          <w:rFonts w:eastAsiaTheme="minorEastAsia"/>
          <w:noProof/>
          <w:lang w:eastAsia="en-GB"/>
        </w:rPr>
      </w:pPr>
      <w:hyperlink w:anchor="_Toc434395318" w:history="1">
        <w:r>
          <w:rPr>
            <w:rStyle w:val="Hyperlink"/>
            <w:noProof/>
          </w:rPr>
          <w:t>6.</w:t>
        </w:r>
        <w:r>
          <w:rPr>
            <w:rFonts w:eastAsiaTheme="minorEastAsia"/>
            <w:noProof/>
            <w:lang w:eastAsia="en-GB"/>
          </w:rPr>
          <w:tab/>
        </w:r>
        <w:r>
          <w:rPr>
            <w:rStyle w:val="Hyperlink"/>
            <w:noProof/>
          </w:rPr>
          <w:t>Overview</w:t>
        </w:r>
        <w:r>
          <w:rPr>
            <w:noProof/>
            <w:webHidden/>
          </w:rPr>
          <w:tab/>
        </w:r>
        <w:r>
          <w:rPr>
            <w:noProof/>
            <w:webHidden/>
          </w:rPr>
          <w:fldChar w:fldCharType="begin"/>
        </w:r>
        <w:r>
          <w:rPr>
            <w:noProof/>
            <w:webHidden/>
          </w:rPr>
          <w:instrText xml:space="preserve"> PAGEREF _Toc434395318 \h </w:instrText>
        </w:r>
        <w:r>
          <w:rPr>
            <w:noProof/>
            <w:webHidden/>
          </w:rPr>
        </w:r>
        <w:r>
          <w:rPr>
            <w:noProof/>
            <w:webHidden/>
          </w:rPr>
          <w:fldChar w:fldCharType="separate"/>
        </w:r>
        <w:r>
          <w:rPr>
            <w:noProof/>
            <w:webHidden/>
          </w:rPr>
          <w:t>29</w:t>
        </w:r>
        <w:r>
          <w:rPr>
            <w:noProof/>
            <w:webHidden/>
          </w:rPr>
          <w:fldChar w:fldCharType="end"/>
        </w:r>
      </w:hyperlink>
    </w:p>
    <w:p>
      <w:pPr>
        <w:pStyle w:val="TOC1"/>
        <w:rPr>
          <w:rFonts w:eastAsiaTheme="minorEastAsia"/>
          <w:noProof/>
          <w:lang w:eastAsia="en-GB"/>
        </w:rPr>
      </w:pPr>
      <w:hyperlink w:anchor="_Toc434395319" w:history="1">
        <w:r>
          <w:rPr>
            <w:rStyle w:val="Hyperlink"/>
            <w:noProof/>
          </w:rPr>
          <w:t>Annex I – Indicative national energy efficiency targets 2020</w:t>
        </w:r>
        <w:r>
          <w:rPr>
            <w:noProof/>
            <w:webHidden/>
          </w:rPr>
          <w:tab/>
        </w:r>
        <w:r>
          <w:rPr>
            <w:noProof/>
            <w:webHidden/>
          </w:rPr>
          <w:fldChar w:fldCharType="begin"/>
        </w:r>
        <w:r>
          <w:rPr>
            <w:noProof/>
            <w:webHidden/>
          </w:rPr>
          <w:instrText xml:space="preserve"> PAGEREF _Toc434395319 \h </w:instrText>
        </w:r>
        <w:r>
          <w:rPr>
            <w:noProof/>
            <w:webHidden/>
          </w:rPr>
        </w:r>
        <w:r>
          <w:rPr>
            <w:noProof/>
            <w:webHidden/>
          </w:rPr>
          <w:fldChar w:fldCharType="separate"/>
        </w:r>
        <w:r>
          <w:rPr>
            <w:noProof/>
            <w:webHidden/>
          </w:rPr>
          <w:t>31</w:t>
        </w:r>
        <w:r>
          <w:rPr>
            <w:noProof/>
            <w:webHidden/>
          </w:rPr>
          <w:fldChar w:fldCharType="end"/>
        </w:r>
      </w:hyperlink>
    </w:p>
    <w:p>
      <w:pPr>
        <w:pStyle w:val="TOC1"/>
        <w:rPr>
          <w:rFonts w:eastAsiaTheme="minorEastAsia"/>
          <w:noProof/>
          <w:lang w:eastAsia="en-GB"/>
        </w:rPr>
      </w:pPr>
      <w:hyperlink w:anchor="_Toc434395320" w:history="1">
        <w:r>
          <w:rPr>
            <w:rStyle w:val="Hyperlink"/>
            <w:noProof/>
          </w:rPr>
          <w:t xml:space="preserve">Annex II – </w:t>
        </w:r>
        <w:r>
          <w:rPr>
            <w:rStyle w:val="Hyperlink"/>
            <w:noProof/>
            <w:lang w:eastAsia="en-GB"/>
          </w:rPr>
          <w:t>Indicators of the Annual Reports</w:t>
        </w:r>
        <w:r>
          <w:rPr>
            <w:noProof/>
            <w:webHidden/>
          </w:rPr>
          <w:tab/>
        </w:r>
        <w:r>
          <w:rPr>
            <w:noProof/>
            <w:webHidden/>
          </w:rPr>
          <w:fldChar w:fldCharType="begin"/>
        </w:r>
        <w:r>
          <w:rPr>
            <w:noProof/>
            <w:webHidden/>
          </w:rPr>
          <w:instrText xml:space="preserve"> PAGEREF _Toc434395320 \h </w:instrText>
        </w:r>
        <w:r>
          <w:rPr>
            <w:noProof/>
            <w:webHidden/>
          </w:rPr>
        </w:r>
        <w:r>
          <w:rPr>
            <w:noProof/>
            <w:webHidden/>
          </w:rPr>
          <w:fldChar w:fldCharType="separate"/>
        </w:r>
        <w:r>
          <w:rPr>
            <w:noProof/>
            <w:webHidden/>
          </w:rPr>
          <w:t>32</w:t>
        </w:r>
        <w:r>
          <w:rPr>
            <w:noProof/>
            <w:webHidden/>
          </w:rPr>
          <w:fldChar w:fldCharType="end"/>
        </w:r>
      </w:hyperlink>
    </w:p>
    <w:p>
      <w:pPr>
        <w:pStyle w:val="TOC5"/>
        <w:tabs>
          <w:tab w:val="left" w:pos="1320"/>
          <w:tab w:val="right" w:leader="dot" w:pos="9062"/>
        </w:tabs>
        <w:rPr>
          <w:noProof/>
        </w:rPr>
      </w:pPr>
      <w:hyperlink w:anchor="_Toc434395321" w:history="1">
        <w:r>
          <w:rPr>
            <w:rStyle w:val="Hyperlink"/>
            <w:rFonts w:cs="Times New Roman"/>
            <w:noProof/>
          </w:rPr>
          <w:t>1.</w:t>
        </w:r>
        <w:r>
          <w:rPr>
            <w:noProof/>
          </w:rPr>
          <w:tab/>
        </w:r>
        <w:r>
          <w:rPr>
            <w:rStyle w:val="Hyperlink"/>
            <w:rFonts w:cs="Times New Roman"/>
            <w:noProof/>
          </w:rPr>
          <w:t>Austria</w:t>
        </w:r>
        <w:r>
          <w:rPr>
            <w:noProof/>
            <w:webHidden/>
          </w:rPr>
          <w:tab/>
        </w:r>
        <w:r>
          <w:rPr>
            <w:noProof/>
            <w:webHidden/>
          </w:rPr>
          <w:fldChar w:fldCharType="begin"/>
        </w:r>
        <w:r>
          <w:rPr>
            <w:noProof/>
            <w:webHidden/>
          </w:rPr>
          <w:instrText xml:space="preserve"> PAGEREF _Toc434395321 \h </w:instrText>
        </w:r>
        <w:r>
          <w:rPr>
            <w:noProof/>
            <w:webHidden/>
          </w:rPr>
        </w:r>
        <w:r>
          <w:rPr>
            <w:noProof/>
            <w:webHidden/>
          </w:rPr>
          <w:fldChar w:fldCharType="separate"/>
        </w:r>
        <w:r>
          <w:rPr>
            <w:noProof/>
            <w:webHidden/>
          </w:rPr>
          <w:t>33</w:t>
        </w:r>
        <w:r>
          <w:rPr>
            <w:noProof/>
            <w:webHidden/>
          </w:rPr>
          <w:fldChar w:fldCharType="end"/>
        </w:r>
      </w:hyperlink>
    </w:p>
    <w:p>
      <w:pPr>
        <w:pStyle w:val="TOC5"/>
        <w:tabs>
          <w:tab w:val="left" w:pos="1320"/>
          <w:tab w:val="right" w:leader="dot" w:pos="9062"/>
        </w:tabs>
        <w:rPr>
          <w:noProof/>
        </w:rPr>
      </w:pPr>
      <w:hyperlink w:anchor="_Toc434395322" w:history="1">
        <w:r>
          <w:rPr>
            <w:rStyle w:val="Hyperlink"/>
            <w:rFonts w:cs="Times New Roman"/>
            <w:noProof/>
          </w:rPr>
          <w:t>2.</w:t>
        </w:r>
        <w:r>
          <w:rPr>
            <w:noProof/>
          </w:rPr>
          <w:tab/>
        </w:r>
        <w:r>
          <w:rPr>
            <w:rStyle w:val="Hyperlink"/>
            <w:rFonts w:cs="Times New Roman"/>
            <w:noProof/>
          </w:rPr>
          <w:t>Belgium</w:t>
        </w:r>
        <w:r>
          <w:rPr>
            <w:noProof/>
            <w:webHidden/>
          </w:rPr>
          <w:tab/>
        </w:r>
        <w:r>
          <w:rPr>
            <w:noProof/>
            <w:webHidden/>
          </w:rPr>
          <w:fldChar w:fldCharType="begin"/>
        </w:r>
        <w:r>
          <w:rPr>
            <w:noProof/>
            <w:webHidden/>
          </w:rPr>
          <w:instrText xml:space="preserve"> PAGEREF _Toc434395322 \h </w:instrText>
        </w:r>
        <w:r>
          <w:rPr>
            <w:noProof/>
            <w:webHidden/>
          </w:rPr>
        </w:r>
        <w:r>
          <w:rPr>
            <w:noProof/>
            <w:webHidden/>
          </w:rPr>
          <w:fldChar w:fldCharType="separate"/>
        </w:r>
        <w:r>
          <w:rPr>
            <w:noProof/>
            <w:webHidden/>
          </w:rPr>
          <w:t>35</w:t>
        </w:r>
        <w:r>
          <w:rPr>
            <w:noProof/>
            <w:webHidden/>
          </w:rPr>
          <w:fldChar w:fldCharType="end"/>
        </w:r>
      </w:hyperlink>
    </w:p>
    <w:p>
      <w:pPr>
        <w:pStyle w:val="TOC5"/>
        <w:tabs>
          <w:tab w:val="left" w:pos="1320"/>
          <w:tab w:val="right" w:leader="dot" w:pos="9062"/>
        </w:tabs>
        <w:rPr>
          <w:noProof/>
        </w:rPr>
      </w:pPr>
      <w:hyperlink w:anchor="_Toc434395323" w:history="1">
        <w:r>
          <w:rPr>
            <w:rStyle w:val="Hyperlink"/>
            <w:rFonts w:cs="Times New Roman"/>
            <w:noProof/>
          </w:rPr>
          <w:t>3.</w:t>
        </w:r>
        <w:r>
          <w:rPr>
            <w:noProof/>
          </w:rPr>
          <w:tab/>
        </w:r>
        <w:r>
          <w:rPr>
            <w:rStyle w:val="Hyperlink"/>
            <w:rFonts w:cs="Times New Roman"/>
            <w:noProof/>
          </w:rPr>
          <w:t>Bulgaria</w:t>
        </w:r>
        <w:r>
          <w:rPr>
            <w:noProof/>
            <w:webHidden/>
          </w:rPr>
          <w:tab/>
        </w:r>
        <w:r>
          <w:rPr>
            <w:noProof/>
            <w:webHidden/>
          </w:rPr>
          <w:fldChar w:fldCharType="begin"/>
        </w:r>
        <w:r>
          <w:rPr>
            <w:noProof/>
            <w:webHidden/>
          </w:rPr>
          <w:instrText xml:space="preserve"> PAGEREF _Toc434395323 \h </w:instrText>
        </w:r>
        <w:r>
          <w:rPr>
            <w:noProof/>
            <w:webHidden/>
          </w:rPr>
        </w:r>
        <w:r>
          <w:rPr>
            <w:noProof/>
            <w:webHidden/>
          </w:rPr>
          <w:fldChar w:fldCharType="separate"/>
        </w:r>
        <w:r>
          <w:rPr>
            <w:noProof/>
            <w:webHidden/>
          </w:rPr>
          <w:t>37</w:t>
        </w:r>
        <w:r>
          <w:rPr>
            <w:noProof/>
            <w:webHidden/>
          </w:rPr>
          <w:fldChar w:fldCharType="end"/>
        </w:r>
      </w:hyperlink>
    </w:p>
    <w:p>
      <w:pPr>
        <w:pStyle w:val="TOC5"/>
        <w:tabs>
          <w:tab w:val="left" w:pos="1320"/>
          <w:tab w:val="right" w:leader="dot" w:pos="9062"/>
        </w:tabs>
        <w:rPr>
          <w:noProof/>
        </w:rPr>
      </w:pPr>
      <w:hyperlink w:anchor="_Toc434395324" w:history="1">
        <w:r>
          <w:rPr>
            <w:rStyle w:val="Hyperlink"/>
            <w:rFonts w:cs="Times New Roman"/>
            <w:noProof/>
          </w:rPr>
          <w:t>4.</w:t>
        </w:r>
        <w:r>
          <w:rPr>
            <w:noProof/>
          </w:rPr>
          <w:tab/>
        </w:r>
        <w:r>
          <w:rPr>
            <w:rStyle w:val="Hyperlink"/>
            <w:rFonts w:cs="Times New Roman"/>
            <w:noProof/>
          </w:rPr>
          <w:t>Czech Republic</w:t>
        </w:r>
        <w:r>
          <w:rPr>
            <w:noProof/>
            <w:webHidden/>
          </w:rPr>
          <w:tab/>
        </w:r>
        <w:r>
          <w:rPr>
            <w:noProof/>
            <w:webHidden/>
          </w:rPr>
          <w:fldChar w:fldCharType="begin"/>
        </w:r>
        <w:r>
          <w:rPr>
            <w:noProof/>
            <w:webHidden/>
          </w:rPr>
          <w:instrText xml:space="preserve"> PAGEREF _Toc434395324 \h </w:instrText>
        </w:r>
        <w:r>
          <w:rPr>
            <w:noProof/>
            <w:webHidden/>
          </w:rPr>
        </w:r>
        <w:r>
          <w:rPr>
            <w:noProof/>
            <w:webHidden/>
          </w:rPr>
          <w:fldChar w:fldCharType="separate"/>
        </w:r>
        <w:r>
          <w:rPr>
            <w:noProof/>
            <w:webHidden/>
          </w:rPr>
          <w:t>39</w:t>
        </w:r>
        <w:r>
          <w:rPr>
            <w:noProof/>
            <w:webHidden/>
          </w:rPr>
          <w:fldChar w:fldCharType="end"/>
        </w:r>
      </w:hyperlink>
    </w:p>
    <w:p>
      <w:pPr>
        <w:pStyle w:val="TOC5"/>
        <w:tabs>
          <w:tab w:val="left" w:pos="1320"/>
          <w:tab w:val="right" w:leader="dot" w:pos="9062"/>
        </w:tabs>
        <w:rPr>
          <w:noProof/>
        </w:rPr>
      </w:pPr>
      <w:hyperlink w:anchor="_Toc434395325" w:history="1">
        <w:r>
          <w:rPr>
            <w:rStyle w:val="Hyperlink"/>
            <w:rFonts w:cs="Times New Roman"/>
            <w:noProof/>
          </w:rPr>
          <w:t>5.</w:t>
        </w:r>
        <w:r>
          <w:rPr>
            <w:noProof/>
          </w:rPr>
          <w:tab/>
        </w:r>
        <w:r>
          <w:rPr>
            <w:rStyle w:val="Hyperlink"/>
            <w:rFonts w:cs="Times New Roman"/>
            <w:noProof/>
          </w:rPr>
          <w:t>Croatia</w:t>
        </w:r>
        <w:r>
          <w:rPr>
            <w:noProof/>
            <w:webHidden/>
          </w:rPr>
          <w:tab/>
        </w:r>
        <w:r>
          <w:rPr>
            <w:noProof/>
            <w:webHidden/>
          </w:rPr>
          <w:fldChar w:fldCharType="begin"/>
        </w:r>
        <w:r>
          <w:rPr>
            <w:noProof/>
            <w:webHidden/>
          </w:rPr>
          <w:instrText xml:space="preserve"> PAGEREF _Toc434395325 \h </w:instrText>
        </w:r>
        <w:r>
          <w:rPr>
            <w:noProof/>
            <w:webHidden/>
          </w:rPr>
        </w:r>
        <w:r>
          <w:rPr>
            <w:noProof/>
            <w:webHidden/>
          </w:rPr>
          <w:fldChar w:fldCharType="separate"/>
        </w:r>
        <w:r>
          <w:rPr>
            <w:noProof/>
            <w:webHidden/>
          </w:rPr>
          <w:t>41</w:t>
        </w:r>
        <w:r>
          <w:rPr>
            <w:noProof/>
            <w:webHidden/>
          </w:rPr>
          <w:fldChar w:fldCharType="end"/>
        </w:r>
      </w:hyperlink>
    </w:p>
    <w:p>
      <w:pPr>
        <w:pStyle w:val="TOC5"/>
        <w:tabs>
          <w:tab w:val="left" w:pos="1320"/>
          <w:tab w:val="right" w:leader="dot" w:pos="9062"/>
        </w:tabs>
        <w:rPr>
          <w:noProof/>
        </w:rPr>
      </w:pPr>
      <w:hyperlink w:anchor="_Toc434395326" w:history="1">
        <w:r>
          <w:rPr>
            <w:rStyle w:val="Hyperlink"/>
            <w:rFonts w:cs="Times New Roman"/>
            <w:noProof/>
          </w:rPr>
          <w:t>6.</w:t>
        </w:r>
        <w:r>
          <w:rPr>
            <w:noProof/>
          </w:rPr>
          <w:tab/>
        </w:r>
        <w:r>
          <w:rPr>
            <w:rStyle w:val="Hyperlink"/>
            <w:rFonts w:cs="Times New Roman"/>
            <w:noProof/>
          </w:rPr>
          <w:t>Cyprus</w:t>
        </w:r>
        <w:r>
          <w:rPr>
            <w:noProof/>
            <w:webHidden/>
          </w:rPr>
          <w:tab/>
        </w:r>
        <w:r>
          <w:rPr>
            <w:noProof/>
            <w:webHidden/>
          </w:rPr>
          <w:fldChar w:fldCharType="begin"/>
        </w:r>
        <w:r>
          <w:rPr>
            <w:noProof/>
            <w:webHidden/>
          </w:rPr>
          <w:instrText xml:space="preserve"> PAGEREF _Toc434395326 \h </w:instrText>
        </w:r>
        <w:r>
          <w:rPr>
            <w:noProof/>
            <w:webHidden/>
          </w:rPr>
        </w:r>
        <w:r>
          <w:rPr>
            <w:noProof/>
            <w:webHidden/>
          </w:rPr>
          <w:fldChar w:fldCharType="separate"/>
        </w:r>
        <w:r>
          <w:rPr>
            <w:noProof/>
            <w:webHidden/>
          </w:rPr>
          <w:t>43</w:t>
        </w:r>
        <w:r>
          <w:rPr>
            <w:noProof/>
            <w:webHidden/>
          </w:rPr>
          <w:fldChar w:fldCharType="end"/>
        </w:r>
      </w:hyperlink>
    </w:p>
    <w:p>
      <w:pPr>
        <w:pStyle w:val="TOC5"/>
        <w:tabs>
          <w:tab w:val="left" w:pos="1320"/>
          <w:tab w:val="right" w:leader="dot" w:pos="9062"/>
        </w:tabs>
        <w:rPr>
          <w:noProof/>
        </w:rPr>
      </w:pPr>
      <w:hyperlink w:anchor="_Toc434395327" w:history="1">
        <w:r>
          <w:rPr>
            <w:rStyle w:val="Hyperlink"/>
            <w:rFonts w:cs="Times New Roman"/>
            <w:noProof/>
          </w:rPr>
          <w:t>7.</w:t>
        </w:r>
        <w:r>
          <w:rPr>
            <w:noProof/>
          </w:rPr>
          <w:tab/>
        </w:r>
        <w:r>
          <w:rPr>
            <w:rStyle w:val="Hyperlink"/>
            <w:rFonts w:cs="Times New Roman"/>
            <w:noProof/>
          </w:rPr>
          <w:t>Denmark</w:t>
        </w:r>
        <w:r>
          <w:rPr>
            <w:noProof/>
            <w:webHidden/>
          </w:rPr>
          <w:tab/>
        </w:r>
        <w:r>
          <w:rPr>
            <w:noProof/>
            <w:webHidden/>
          </w:rPr>
          <w:fldChar w:fldCharType="begin"/>
        </w:r>
        <w:r>
          <w:rPr>
            <w:noProof/>
            <w:webHidden/>
          </w:rPr>
          <w:instrText xml:space="preserve"> PAGEREF _Toc434395327 \h </w:instrText>
        </w:r>
        <w:r>
          <w:rPr>
            <w:noProof/>
            <w:webHidden/>
          </w:rPr>
        </w:r>
        <w:r>
          <w:rPr>
            <w:noProof/>
            <w:webHidden/>
          </w:rPr>
          <w:fldChar w:fldCharType="separate"/>
        </w:r>
        <w:r>
          <w:rPr>
            <w:noProof/>
            <w:webHidden/>
          </w:rPr>
          <w:t>45</w:t>
        </w:r>
        <w:r>
          <w:rPr>
            <w:noProof/>
            <w:webHidden/>
          </w:rPr>
          <w:fldChar w:fldCharType="end"/>
        </w:r>
      </w:hyperlink>
    </w:p>
    <w:p>
      <w:pPr>
        <w:pStyle w:val="TOC5"/>
        <w:tabs>
          <w:tab w:val="left" w:pos="1320"/>
          <w:tab w:val="right" w:leader="dot" w:pos="9062"/>
        </w:tabs>
        <w:rPr>
          <w:noProof/>
        </w:rPr>
      </w:pPr>
      <w:hyperlink w:anchor="_Toc434395328" w:history="1">
        <w:r>
          <w:rPr>
            <w:rStyle w:val="Hyperlink"/>
            <w:rFonts w:cs="Times New Roman"/>
            <w:noProof/>
          </w:rPr>
          <w:t>8.</w:t>
        </w:r>
        <w:r>
          <w:rPr>
            <w:noProof/>
          </w:rPr>
          <w:tab/>
        </w:r>
        <w:r>
          <w:rPr>
            <w:rStyle w:val="Hyperlink"/>
            <w:rFonts w:cs="Times New Roman"/>
            <w:noProof/>
          </w:rPr>
          <w:t>Estonia</w:t>
        </w:r>
        <w:r>
          <w:rPr>
            <w:noProof/>
            <w:webHidden/>
          </w:rPr>
          <w:tab/>
        </w:r>
      </w:hyperlink>
      <w:r>
        <w:rPr>
          <w:noProof/>
        </w:rPr>
        <w:t>47</w:t>
      </w:r>
    </w:p>
    <w:p>
      <w:pPr>
        <w:pStyle w:val="TOC5"/>
        <w:tabs>
          <w:tab w:val="left" w:pos="1320"/>
          <w:tab w:val="right" w:leader="dot" w:pos="9062"/>
        </w:tabs>
        <w:rPr>
          <w:noProof/>
        </w:rPr>
      </w:pPr>
      <w:hyperlink w:anchor="_Toc434395329" w:history="1">
        <w:r>
          <w:rPr>
            <w:rStyle w:val="Hyperlink"/>
            <w:rFonts w:cs="Times New Roman"/>
            <w:noProof/>
          </w:rPr>
          <w:t>9.</w:t>
        </w:r>
        <w:r>
          <w:rPr>
            <w:noProof/>
          </w:rPr>
          <w:tab/>
        </w:r>
        <w:r>
          <w:rPr>
            <w:rStyle w:val="Hyperlink"/>
            <w:rFonts w:cs="Times New Roman"/>
            <w:noProof/>
          </w:rPr>
          <w:t>Finland</w:t>
        </w:r>
        <w:r>
          <w:rPr>
            <w:noProof/>
            <w:webHidden/>
          </w:rPr>
          <w:tab/>
        </w:r>
      </w:hyperlink>
      <w:r>
        <w:rPr>
          <w:noProof/>
        </w:rPr>
        <w:t>49</w:t>
      </w:r>
    </w:p>
    <w:p>
      <w:pPr>
        <w:pStyle w:val="TOC5"/>
        <w:tabs>
          <w:tab w:val="left" w:pos="1540"/>
          <w:tab w:val="right" w:leader="dot" w:pos="9062"/>
        </w:tabs>
        <w:rPr>
          <w:noProof/>
        </w:rPr>
      </w:pPr>
      <w:hyperlink w:anchor="_Toc434395330" w:history="1">
        <w:r>
          <w:rPr>
            <w:rStyle w:val="Hyperlink"/>
            <w:rFonts w:cs="Times New Roman"/>
            <w:noProof/>
          </w:rPr>
          <w:t>10.</w:t>
        </w:r>
        <w:r>
          <w:rPr>
            <w:noProof/>
          </w:rPr>
          <w:tab/>
        </w:r>
        <w:r>
          <w:rPr>
            <w:rStyle w:val="Hyperlink"/>
            <w:rFonts w:cs="Times New Roman"/>
            <w:noProof/>
          </w:rPr>
          <w:t>France</w:t>
        </w:r>
        <w:r>
          <w:rPr>
            <w:noProof/>
            <w:webHidden/>
          </w:rPr>
          <w:tab/>
        </w:r>
      </w:hyperlink>
      <w:r>
        <w:rPr>
          <w:noProof/>
        </w:rPr>
        <w:t>51</w:t>
      </w:r>
    </w:p>
    <w:p>
      <w:pPr>
        <w:pStyle w:val="TOC5"/>
        <w:tabs>
          <w:tab w:val="left" w:pos="1540"/>
          <w:tab w:val="right" w:leader="dot" w:pos="9062"/>
        </w:tabs>
        <w:rPr>
          <w:noProof/>
        </w:rPr>
      </w:pPr>
      <w:hyperlink w:anchor="_Toc434395331" w:history="1">
        <w:r>
          <w:rPr>
            <w:rStyle w:val="Hyperlink"/>
            <w:rFonts w:cs="Times New Roman"/>
            <w:noProof/>
          </w:rPr>
          <w:t>11.</w:t>
        </w:r>
        <w:r>
          <w:rPr>
            <w:noProof/>
          </w:rPr>
          <w:tab/>
        </w:r>
        <w:r>
          <w:rPr>
            <w:rStyle w:val="Hyperlink"/>
            <w:rFonts w:cs="Times New Roman"/>
            <w:noProof/>
          </w:rPr>
          <w:t>Germany</w:t>
        </w:r>
        <w:r>
          <w:rPr>
            <w:noProof/>
            <w:webHidden/>
          </w:rPr>
          <w:tab/>
        </w:r>
      </w:hyperlink>
      <w:r>
        <w:rPr>
          <w:noProof/>
        </w:rPr>
        <w:t>53</w:t>
      </w:r>
    </w:p>
    <w:p>
      <w:pPr>
        <w:pStyle w:val="TOC5"/>
        <w:tabs>
          <w:tab w:val="left" w:pos="1540"/>
          <w:tab w:val="right" w:leader="dot" w:pos="9062"/>
        </w:tabs>
        <w:rPr>
          <w:noProof/>
        </w:rPr>
      </w:pPr>
      <w:hyperlink w:anchor="_Toc434395332" w:history="1">
        <w:r>
          <w:rPr>
            <w:rStyle w:val="Hyperlink"/>
            <w:rFonts w:cs="Times New Roman"/>
            <w:noProof/>
          </w:rPr>
          <w:t>12.</w:t>
        </w:r>
        <w:r>
          <w:rPr>
            <w:noProof/>
          </w:rPr>
          <w:tab/>
        </w:r>
        <w:r>
          <w:rPr>
            <w:rStyle w:val="Hyperlink"/>
            <w:rFonts w:cs="Times New Roman"/>
            <w:noProof/>
          </w:rPr>
          <w:t>Greece</w:t>
        </w:r>
        <w:r>
          <w:rPr>
            <w:noProof/>
            <w:webHidden/>
          </w:rPr>
          <w:tab/>
        </w:r>
      </w:hyperlink>
      <w:r>
        <w:rPr>
          <w:noProof/>
        </w:rPr>
        <w:t>55</w:t>
      </w:r>
    </w:p>
    <w:p>
      <w:pPr>
        <w:pStyle w:val="TOC5"/>
        <w:tabs>
          <w:tab w:val="left" w:pos="1540"/>
          <w:tab w:val="right" w:leader="dot" w:pos="9062"/>
        </w:tabs>
        <w:rPr>
          <w:noProof/>
        </w:rPr>
      </w:pPr>
      <w:hyperlink w:anchor="_Toc434395333" w:history="1">
        <w:r>
          <w:rPr>
            <w:rStyle w:val="Hyperlink"/>
            <w:rFonts w:cs="Times New Roman"/>
            <w:noProof/>
          </w:rPr>
          <w:t>13.</w:t>
        </w:r>
        <w:r>
          <w:rPr>
            <w:noProof/>
          </w:rPr>
          <w:tab/>
        </w:r>
        <w:r>
          <w:rPr>
            <w:rStyle w:val="Hyperlink"/>
            <w:rFonts w:cs="Times New Roman"/>
            <w:noProof/>
          </w:rPr>
          <w:t>Hungary</w:t>
        </w:r>
        <w:r>
          <w:rPr>
            <w:noProof/>
            <w:webHidden/>
          </w:rPr>
          <w:tab/>
        </w:r>
      </w:hyperlink>
      <w:r>
        <w:rPr>
          <w:noProof/>
        </w:rPr>
        <w:t>57</w:t>
      </w:r>
    </w:p>
    <w:p>
      <w:pPr>
        <w:pStyle w:val="TOC5"/>
        <w:tabs>
          <w:tab w:val="left" w:pos="1540"/>
          <w:tab w:val="right" w:leader="dot" w:pos="9062"/>
        </w:tabs>
        <w:rPr>
          <w:noProof/>
        </w:rPr>
      </w:pPr>
      <w:hyperlink w:anchor="_Toc434395334" w:history="1">
        <w:r>
          <w:rPr>
            <w:rStyle w:val="Hyperlink"/>
            <w:rFonts w:cs="Times New Roman"/>
            <w:noProof/>
          </w:rPr>
          <w:t>14.</w:t>
        </w:r>
        <w:r>
          <w:rPr>
            <w:noProof/>
          </w:rPr>
          <w:tab/>
        </w:r>
        <w:r>
          <w:rPr>
            <w:rStyle w:val="Hyperlink"/>
            <w:rFonts w:cs="Times New Roman"/>
            <w:noProof/>
          </w:rPr>
          <w:t>Ireland</w:t>
        </w:r>
        <w:r>
          <w:rPr>
            <w:noProof/>
            <w:webHidden/>
          </w:rPr>
          <w:tab/>
        </w:r>
        <w:r>
          <w:rPr>
            <w:noProof/>
            <w:webHidden/>
          </w:rPr>
          <w:fldChar w:fldCharType="begin"/>
        </w:r>
        <w:r>
          <w:rPr>
            <w:noProof/>
            <w:webHidden/>
          </w:rPr>
          <w:instrText xml:space="preserve"> PAGEREF _Toc434395334 \h </w:instrText>
        </w:r>
        <w:r>
          <w:rPr>
            <w:noProof/>
            <w:webHidden/>
          </w:rPr>
        </w:r>
        <w:r>
          <w:rPr>
            <w:noProof/>
            <w:webHidden/>
          </w:rPr>
          <w:fldChar w:fldCharType="end"/>
        </w:r>
      </w:hyperlink>
      <w:r>
        <w:rPr>
          <w:noProof/>
        </w:rPr>
        <w:t>59</w:t>
      </w:r>
    </w:p>
    <w:p>
      <w:pPr>
        <w:pStyle w:val="TOC5"/>
        <w:tabs>
          <w:tab w:val="left" w:pos="1540"/>
          <w:tab w:val="right" w:leader="dot" w:pos="9062"/>
        </w:tabs>
        <w:rPr>
          <w:noProof/>
        </w:rPr>
      </w:pPr>
      <w:hyperlink w:anchor="_Toc434395335" w:history="1">
        <w:r>
          <w:rPr>
            <w:rStyle w:val="Hyperlink"/>
            <w:rFonts w:cs="Times New Roman"/>
            <w:noProof/>
          </w:rPr>
          <w:t>15.</w:t>
        </w:r>
        <w:r>
          <w:rPr>
            <w:noProof/>
          </w:rPr>
          <w:tab/>
        </w:r>
        <w:r>
          <w:rPr>
            <w:rStyle w:val="Hyperlink"/>
            <w:rFonts w:cs="Times New Roman"/>
            <w:noProof/>
          </w:rPr>
          <w:t>Italy</w:t>
        </w:r>
        <w:r>
          <w:rPr>
            <w:noProof/>
            <w:webHidden/>
          </w:rPr>
          <w:tab/>
        </w:r>
      </w:hyperlink>
      <w:r>
        <w:rPr>
          <w:noProof/>
        </w:rPr>
        <w:t>61</w:t>
      </w:r>
    </w:p>
    <w:p>
      <w:pPr>
        <w:pStyle w:val="TOC5"/>
        <w:tabs>
          <w:tab w:val="left" w:pos="1540"/>
          <w:tab w:val="right" w:leader="dot" w:pos="9062"/>
        </w:tabs>
        <w:rPr>
          <w:noProof/>
        </w:rPr>
      </w:pPr>
      <w:hyperlink w:anchor="_Toc434395336" w:history="1">
        <w:r>
          <w:rPr>
            <w:rStyle w:val="Hyperlink"/>
            <w:rFonts w:cs="Times New Roman"/>
            <w:noProof/>
          </w:rPr>
          <w:t>16.</w:t>
        </w:r>
        <w:r>
          <w:rPr>
            <w:noProof/>
          </w:rPr>
          <w:tab/>
        </w:r>
        <w:r>
          <w:rPr>
            <w:rStyle w:val="Hyperlink"/>
            <w:rFonts w:cs="Times New Roman"/>
            <w:noProof/>
          </w:rPr>
          <w:t>Latvia</w:t>
        </w:r>
        <w:r>
          <w:rPr>
            <w:noProof/>
            <w:webHidden/>
          </w:rPr>
          <w:tab/>
        </w:r>
      </w:hyperlink>
      <w:r>
        <w:rPr>
          <w:noProof/>
        </w:rPr>
        <w:t>63</w:t>
      </w:r>
    </w:p>
    <w:p>
      <w:pPr>
        <w:pStyle w:val="TOC5"/>
        <w:tabs>
          <w:tab w:val="left" w:pos="1540"/>
          <w:tab w:val="right" w:leader="dot" w:pos="9062"/>
        </w:tabs>
        <w:rPr>
          <w:noProof/>
        </w:rPr>
      </w:pPr>
      <w:hyperlink w:anchor="_Toc434395337" w:history="1">
        <w:r>
          <w:rPr>
            <w:rStyle w:val="Hyperlink"/>
            <w:rFonts w:cs="Times New Roman"/>
            <w:noProof/>
          </w:rPr>
          <w:t>17.</w:t>
        </w:r>
        <w:r>
          <w:rPr>
            <w:noProof/>
          </w:rPr>
          <w:tab/>
        </w:r>
        <w:r>
          <w:rPr>
            <w:rStyle w:val="Hyperlink"/>
            <w:rFonts w:cs="Times New Roman"/>
            <w:noProof/>
          </w:rPr>
          <w:t>Lithuania</w:t>
        </w:r>
        <w:r>
          <w:rPr>
            <w:noProof/>
            <w:webHidden/>
          </w:rPr>
          <w:tab/>
        </w:r>
        <w:r>
          <w:rPr>
            <w:noProof/>
            <w:webHidden/>
          </w:rPr>
          <w:fldChar w:fldCharType="begin"/>
        </w:r>
        <w:r>
          <w:rPr>
            <w:noProof/>
            <w:webHidden/>
          </w:rPr>
          <w:instrText xml:space="preserve"> PAGEREF _Toc434395337 \h </w:instrText>
        </w:r>
        <w:r>
          <w:rPr>
            <w:noProof/>
            <w:webHidden/>
          </w:rPr>
        </w:r>
        <w:r>
          <w:rPr>
            <w:noProof/>
            <w:webHidden/>
          </w:rPr>
          <w:fldChar w:fldCharType="end"/>
        </w:r>
      </w:hyperlink>
      <w:r>
        <w:rPr>
          <w:noProof/>
        </w:rPr>
        <w:t>65</w:t>
      </w:r>
    </w:p>
    <w:p>
      <w:pPr>
        <w:pStyle w:val="TOC5"/>
        <w:tabs>
          <w:tab w:val="left" w:pos="1540"/>
          <w:tab w:val="right" w:leader="dot" w:pos="9062"/>
        </w:tabs>
        <w:rPr>
          <w:noProof/>
        </w:rPr>
      </w:pPr>
      <w:hyperlink w:anchor="_Toc434395338" w:history="1">
        <w:r>
          <w:rPr>
            <w:rStyle w:val="Hyperlink"/>
            <w:rFonts w:cs="Times New Roman"/>
            <w:noProof/>
          </w:rPr>
          <w:t>18.</w:t>
        </w:r>
        <w:r>
          <w:rPr>
            <w:noProof/>
          </w:rPr>
          <w:tab/>
        </w:r>
        <w:r>
          <w:rPr>
            <w:rStyle w:val="Hyperlink"/>
            <w:rFonts w:cs="Times New Roman"/>
            <w:noProof/>
          </w:rPr>
          <w:t>Luxembourg</w:t>
        </w:r>
        <w:r>
          <w:rPr>
            <w:noProof/>
            <w:webHidden/>
          </w:rPr>
          <w:tab/>
        </w:r>
      </w:hyperlink>
      <w:r>
        <w:rPr>
          <w:noProof/>
        </w:rPr>
        <w:t>67</w:t>
      </w:r>
    </w:p>
    <w:p>
      <w:pPr>
        <w:pStyle w:val="TOC5"/>
        <w:tabs>
          <w:tab w:val="left" w:pos="1540"/>
          <w:tab w:val="right" w:leader="dot" w:pos="9062"/>
        </w:tabs>
        <w:rPr>
          <w:noProof/>
        </w:rPr>
      </w:pPr>
      <w:hyperlink w:anchor="_Toc434395339" w:history="1">
        <w:r>
          <w:rPr>
            <w:rStyle w:val="Hyperlink"/>
            <w:rFonts w:cs="Times New Roman"/>
            <w:noProof/>
          </w:rPr>
          <w:t>19.</w:t>
        </w:r>
        <w:r>
          <w:rPr>
            <w:noProof/>
          </w:rPr>
          <w:tab/>
        </w:r>
        <w:r>
          <w:rPr>
            <w:rStyle w:val="Hyperlink"/>
            <w:rFonts w:cs="Times New Roman"/>
            <w:noProof/>
          </w:rPr>
          <w:t>Malta</w:t>
        </w:r>
        <w:r>
          <w:rPr>
            <w:noProof/>
            <w:webHidden/>
          </w:rPr>
          <w:tab/>
        </w:r>
      </w:hyperlink>
      <w:r>
        <w:rPr>
          <w:noProof/>
        </w:rPr>
        <w:t>69</w:t>
      </w:r>
    </w:p>
    <w:p>
      <w:pPr>
        <w:pStyle w:val="TOC5"/>
        <w:tabs>
          <w:tab w:val="left" w:pos="1540"/>
          <w:tab w:val="right" w:leader="dot" w:pos="9062"/>
        </w:tabs>
        <w:rPr>
          <w:noProof/>
        </w:rPr>
      </w:pPr>
      <w:hyperlink w:anchor="_Toc434395340" w:history="1">
        <w:r>
          <w:rPr>
            <w:rStyle w:val="Hyperlink"/>
            <w:rFonts w:cs="Times New Roman"/>
            <w:noProof/>
          </w:rPr>
          <w:t>20.</w:t>
        </w:r>
        <w:r>
          <w:rPr>
            <w:noProof/>
          </w:rPr>
          <w:tab/>
        </w:r>
        <w:r>
          <w:rPr>
            <w:rStyle w:val="Hyperlink"/>
            <w:rFonts w:cs="Times New Roman"/>
            <w:noProof/>
          </w:rPr>
          <w:t>Netherlands</w:t>
        </w:r>
        <w:r>
          <w:rPr>
            <w:noProof/>
            <w:webHidden/>
          </w:rPr>
          <w:tab/>
        </w:r>
      </w:hyperlink>
      <w:r>
        <w:rPr>
          <w:noProof/>
        </w:rPr>
        <w:t>71</w:t>
      </w:r>
    </w:p>
    <w:p>
      <w:pPr>
        <w:pStyle w:val="TOC5"/>
        <w:tabs>
          <w:tab w:val="left" w:pos="1540"/>
          <w:tab w:val="right" w:leader="dot" w:pos="9062"/>
        </w:tabs>
        <w:rPr>
          <w:noProof/>
        </w:rPr>
      </w:pPr>
      <w:hyperlink w:anchor="_Toc434395341" w:history="1">
        <w:r>
          <w:rPr>
            <w:rStyle w:val="Hyperlink"/>
            <w:rFonts w:cs="Times New Roman"/>
            <w:noProof/>
          </w:rPr>
          <w:t>21.</w:t>
        </w:r>
        <w:r>
          <w:rPr>
            <w:noProof/>
          </w:rPr>
          <w:tab/>
        </w:r>
        <w:r>
          <w:rPr>
            <w:rStyle w:val="Hyperlink"/>
            <w:rFonts w:cs="Times New Roman"/>
            <w:noProof/>
          </w:rPr>
          <w:t>Poland</w:t>
        </w:r>
        <w:r>
          <w:rPr>
            <w:noProof/>
            <w:webHidden/>
          </w:rPr>
          <w:tab/>
        </w:r>
      </w:hyperlink>
      <w:r>
        <w:rPr>
          <w:noProof/>
        </w:rPr>
        <w:t>73</w:t>
      </w:r>
    </w:p>
    <w:p>
      <w:pPr>
        <w:pStyle w:val="TOC5"/>
        <w:tabs>
          <w:tab w:val="left" w:pos="1540"/>
          <w:tab w:val="right" w:leader="dot" w:pos="9062"/>
        </w:tabs>
        <w:rPr>
          <w:noProof/>
        </w:rPr>
      </w:pPr>
      <w:hyperlink w:anchor="_Toc434395342" w:history="1">
        <w:r>
          <w:rPr>
            <w:rStyle w:val="Hyperlink"/>
            <w:rFonts w:cs="Times New Roman"/>
            <w:noProof/>
          </w:rPr>
          <w:t>22.</w:t>
        </w:r>
        <w:r>
          <w:rPr>
            <w:noProof/>
          </w:rPr>
          <w:tab/>
        </w:r>
        <w:r>
          <w:rPr>
            <w:rStyle w:val="Hyperlink"/>
            <w:rFonts w:cs="Times New Roman"/>
            <w:noProof/>
          </w:rPr>
          <w:t>Portugal</w:t>
        </w:r>
        <w:r>
          <w:rPr>
            <w:noProof/>
            <w:webHidden/>
          </w:rPr>
          <w:tab/>
        </w:r>
      </w:hyperlink>
      <w:r>
        <w:rPr>
          <w:noProof/>
        </w:rPr>
        <w:t>75</w:t>
      </w:r>
    </w:p>
    <w:p>
      <w:pPr>
        <w:pStyle w:val="TOC5"/>
        <w:tabs>
          <w:tab w:val="left" w:pos="1540"/>
          <w:tab w:val="right" w:leader="dot" w:pos="9062"/>
        </w:tabs>
        <w:rPr>
          <w:noProof/>
        </w:rPr>
      </w:pPr>
      <w:hyperlink w:anchor="_Toc434395343" w:history="1">
        <w:r>
          <w:rPr>
            <w:rStyle w:val="Hyperlink"/>
            <w:rFonts w:cs="Times New Roman"/>
            <w:noProof/>
          </w:rPr>
          <w:t>23.</w:t>
        </w:r>
        <w:r>
          <w:rPr>
            <w:noProof/>
          </w:rPr>
          <w:tab/>
        </w:r>
        <w:r>
          <w:rPr>
            <w:rStyle w:val="Hyperlink"/>
            <w:rFonts w:cs="Times New Roman"/>
            <w:noProof/>
          </w:rPr>
          <w:t>Romania</w:t>
        </w:r>
        <w:r>
          <w:rPr>
            <w:noProof/>
            <w:webHidden/>
          </w:rPr>
          <w:tab/>
        </w:r>
        <w:r>
          <w:rPr>
            <w:noProof/>
            <w:webHidden/>
          </w:rPr>
          <w:fldChar w:fldCharType="begin"/>
        </w:r>
        <w:r>
          <w:rPr>
            <w:noProof/>
            <w:webHidden/>
          </w:rPr>
          <w:instrText xml:space="preserve"> PAGEREF _Toc434395343 \h </w:instrText>
        </w:r>
        <w:r>
          <w:rPr>
            <w:noProof/>
            <w:webHidden/>
          </w:rPr>
        </w:r>
        <w:r>
          <w:rPr>
            <w:noProof/>
            <w:webHidden/>
          </w:rPr>
          <w:fldChar w:fldCharType="end"/>
        </w:r>
      </w:hyperlink>
      <w:r>
        <w:rPr>
          <w:noProof/>
        </w:rPr>
        <w:t>77</w:t>
      </w:r>
    </w:p>
    <w:p>
      <w:pPr>
        <w:pStyle w:val="TOC5"/>
        <w:tabs>
          <w:tab w:val="left" w:pos="1540"/>
          <w:tab w:val="right" w:leader="dot" w:pos="9062"/>
        </w:tabs>
        <w:rPr>
          <w:noProof/>
        </w:rPr>
      </w:pPr>
      <w:hyperlink w:anchor="_Toc434395344" w:history="1">
        <w:r>
          <w:rPr>
            <w:rStyle w:val="Hyperlink"/>
            <w:rFonts w:cs="Times New Roman"/>
            <w:noProof/>
          </w:rPr>
          <w:t>24.</w:t>
        </w:r>
        <w:r>
          <w:rPr>
            <w:noProof/>
          </w:rPr>
          <w:tab/>
        </w:r>
        <w:r>
          <w:rPr>
            <w:rStyle w:val="Hyperlink"/>
            <w:rFonts w:cs="Times New Roman"/>
            <w:noProof/>
          </w:rPr>
          <w:t>Slovakia</w:t>
        </w:r>
        <w:r>
          <w:rPr>
            <w:noProof/>
            <w:webHidden/>
          </w:rPr>
          <w:tab/>
        </w:r>
      </w:hyperlink>
      <w:r>
        <w:rPr>
          <w:noProof/>
        </w:rPr>
        <w:t>79</w:t>
      </w:r>
    </w:p>
    <w:p>
      <w:pPr>
        <w:pStyle w:val="TOC5"/>
        <w:tabs>
          <w:tab w:val="left" w:pos="1540"/>
          <w:tab w:val="right" w:leader="dot" w:pos="9062"/>
        </w:tabs>
        <w:rPr>
          <w:noProof/>
        </w:rPr>
      </w:pPr>
      <w:hyperlink w:anchor="_Toc434395345" w:history="1">
        <w:r>
          <w:rPr>
            <w:rStyle w:val="Hyperlink"/>
            <w:rFonts w:cs="Times New Roman"/>
            <w:noProof/>
          </w:rPr>
          <w:t>25.</w:t>
        </w:r>
        <w:r>
          <w:rPr>
            <w:noProof/>
          </w:rPr>
          <w:tab/>
        </w:r>
        <w:r>
          <w:rPr>
            <w:rStyle w:val="Hyperlink"/>
            <w:rFonts w:cs="Times New Roman"/>
            <w:noProof/>
          </w:rPr>
          <w:t>Slovenia</w:t>
        </w:r>
        <w:r>
          <w:rPr>
            <w:noProof/>
            <w:webHidden/>
          </w:rPr>
          <w:tab/>
        </w:r>
      </w:hyperlink>
      <w:r>
        <w:rPr>
          <w:noProof/>
        </w:rPr>
        <w:t>81</w:t>
      </w:r>
    </w:p>
    <w:p>
      <w:pPr>
        <w:pStyle w:val="TOC5"/>
        <w:tabs>
          <w:tab w:val="left" w:pos="1540"/>
          <w:tab w:val="right" w:leader="dot" w:pos="9062"/>
        </w:tabs>
        <w:rPr>
          <w:noProof/>
        </w:rPr>
      </w:pPr>
      <w:hyperlink w:anchor="_Toc434395346" w:history="1">
        <w:r>
          <w:rPr>
            <w:rStyle w:val="Hyperlink"/>
            <w:rFonts w:cs="Times New Roman"/>
            <w:noProof/>
          </w:rPr>
          <w:t>26.</w:t>
        </w:r>
        <w:r>
          <w:rPr>
            <w:noProof/>
          </w:rPr>
          <w:tab/>
        </w:r>
        <w:r>
          <w:rPr>
            <w:rStyle w:val="Hyperlink"/>
            <w:rFonts w:cs="Times New Roman"/>
            <w:noProof/>
          </w:rPr>
          <w:t>Spain</w:t>
        </w:r>
        <w:r>
          <w:rPr>
            <w:noProof/>
            <w:webHidden/>
          </w:rPr>
          <w:tab/>
        </w:r>
      </w:hyperlink>
      <w:r>
        <w:rPr>
          <w:noProof/>
        </w:rPr>
        <w:t>83</w:t>
      </w:r>
    </w:p>
    <w:p>
      <w:pPr>
        <w:pStyle w:val="TOC5"/>
        <w:tabs>
          <w:tab w:val="left" w:pos="1540"/>
          <w:tab w:val="right" w:leader="dot" w:pos="9062"/>
        </w:tabs>
        <w:rPr>
          <w:noProof/>
        </w:rPr>
      </w:pPr>
      <w:hyperlink w:anchor="_Toc434395347" w:history="1">
        <w:r>
          <w:rPr>
            <w:rStyle w:val="Hyperlink"/>
            <w:rFonts w:cs="Times New Roman"/>
            <w:noProof/>
          </w:rPr>
          <w:t>27.</w:t>
        </w:r>
        <w:r>
          <w:rPr>
            <w:noProof/>
          </w:rPr>
          <w:tab/>
        </w:r>
        <w:r>
          <w:rPr>
            <w:rStyle w:val="Hyperlink"/>
            <w:rFonts w:cs="Times New Roman"/>
            <w:noProof/>
          </w:rPr>
          <w:t>Sweden</w:t>
        </w:r>
        <w:r>
          <w:rPr>
            <w:noProof/>
            <w:webHidden/>
          </w:rPr>
          <w:tab/>
        </w:r>
      </w:hyperlink>
      <w:r>
        <w:rPr>
          <w:noProof/>
        </w:rPr>
        <w:t>85</w:t>
      </w:r>
    </w:p>
    <w:p>
      <w:pPr>
        <w:pStyle w:val="TOC5"/>
        <w:tabs>
          <w:tab w:val="left" w:pos="1540"/>
          <w:tab w:val="right" w:leader="dot" w:pos="9062"/>
        </w:tabs>
        <w:rPr>
          <w:noProof/>
        </w:rPr>
      </w:pPr>
      <w:hyperlink w:anchor="_Toc434395348" w:history="1">
        <w:r>
          <w:rPr>
            <w:rStyle w:val="Hyperlink"/>
            <w:rFonts w:cs="Times New Roman"/>
            <w:noProof/>
          </w:rPr>
          <w:t>28.</w:t>
        </w:r>
        <w:r>
          <w:rPr>
            <w:noProof/>
          </w:rPr>
          <w:tab/>
        </w:r>
        <w:r>
          <w:rPr>
            <w:rStyle w:val="Hyperlink"/>
            <w:rFonts w:cs="Times New Roman"/>
            <w:noProof/>
          </w:rPr>
          <w:t>UK</w:t>
        </w:r>
        <w:r>
          <w:rPr>
            <w:noProof/>
            <w:webHidden/>
          </w:rPr>
          <w:tab/>
        </w:r>
      </w:hyperlink>
      <w:r>
        <w:rPr>
          <w:noProof/>
        </w:rPr>
        <w:t>87</w:t>
      </w:r>
    </w:p>
    <w:p>
      <w:pPr>
        <w:jc w:val="both"/>
        <w:rPr>
          <w:rFonts w:ascii="Times New Roman" w:eastAsia="Times New Roman" w:hAnsi="Times New Roman" w:cs="Times New Roman"/>
          <w:b/>
          <w:bCs/>
          <w:smallCaps/>
          <w:noProof/>
          <w:sz w:val="24"/>
          <w:szCs w:val="28"/>
          <w:lang w:val="fr-BE" w:eastAsia="x-none"/>
        </w:rPr>
      </w:pPr>
      <w:r>
        <w:rPr>
          <w:rFonts w:ascii="Times New Roman" w:eastAsia="Times New Roman" w:hAnsi="Times New Roman" w:cs="Times New Roman"/>
          <w:b/>
          <w:bCs/>
          <w:smallCaps/>
          <w:noProof/>
          <w:sz w:val="24"/>
          <w:szCs w:val="28"/>
          <w:lang w:val="fr-BE" w:eastAsia="x-none"/>
        </w:rPr>
        <w:fldChar w:fldCharType="end"/>
      </w:r>
    </w:p>
    <w:p>
      <w:pPr>
        <w:rPr>
          <w:noProof/>
          <w:lang w:val="fr-BE"/>
        </w:rPr>
      </w:pPr>
      <w:r>
        <w:rPr>
          <w:noProof/>
          <w:lang w:val="fr-BE"/>
        </w:rPr>
        <w:br w:type="page"/>
      </w:r>
    </w:p>
    <w:p>
      <w:pPr>
        <w:pStyle w:val="Heading1"/>
        <w:rPr>
          <w:noProof/>
          <w:lang w:val="fr-BE"/>
        </w:rPr>
      </w:pPr>
      <w:bookmarkStart w:id="5" w:name="_Toc434395308"/>
      <w:r>
        <w:rPr>
          <w:noProof/>
        </w:rPr>
        <w:t>Introduction</w:t>
      </w:r>
      <w:bookmarkEnd w:id="1"/>
      <w:bookmarkEnd w:id="2"/>
      <w:bookmarkEnd w:id="3"/>
      <w:bookmarkEnd w:id="5"/>
    </w:p>
    <w:p>
      <w:pPr>
        <w:pStyle w:val="Text1"/>
        <w:ind w:left="0"/>
        <w:rPr>
          <w:noProof/>
          <w:lang w:eastAsia="x-none"/>
        </w:rPr>
      </w:pPr>
      <w:r>
        <w:rPr>
          <w:noProof/>
          <w:lang w:eastAsia="x-none"/>
        </w:rPr>
        <w:t>Article 24(3) of Directive 2012/27/EU on Energy Efficiency (EED) requires the Commission to evaluate the National Energy Efficiency Action Plans (NEEAPs) and Annual Reports of Member States and to assess their progress towards the implementation of the Directive. The Commission submitted its assessment in Report from the Commission to the European Parliament and the Council COM(2015) 574.</w:t>
      </w:r>
    </w:p>
    <w:p>
      <w:pPr>
        <w:pStyle w:val="Text1"/>
        <w:ind w:left="0"/>
        <w:rPr>
          <w:noProof/>
          <w:lang w:eastAsia="x-none"/>
        </w:rPr>
      </w:pPr>
      <w:r>
        <w:rPr>
          <w:noProof/>
          <w:lang w:eastAsia="x-none"/>
        </w:rPr>
        <w:t>Report COM(2015) 574 is based on a set of indicators and an assessment of the information provided by Member States in their NEEAPs and Annual Reports. This staff working document provides further information on the analysis which has been undertaken by the Commission. The chosen indicators are described in detail in the following subchapters and additional graphs of the main indicators provided in the Annual Reports can be found in Annex II.</w:t>
      </w:r>
    </w:p>
    <w:p>
      <w:pPr>
        <w:pStyle w:val="Heading1"/>
        <w:rPr>
          <w:noProof/>
        </w:rPr>
      </w:pPr>
      <w:bookmarkStart w:id="6" w:name="_Toc433203763"/>
      <w:bookmarkStart w:id="7" w:name="_Toc434340519"/>
      <w:bookmarkStart w:id="8" w:name="_Toc434395309"/>
      <w:bookmarkStart w:id="9" w:name="_Toc424032364"/>
      <w:r>
        <w:rPr>
          <w:noProof/>
          <w:lang w:val="en-GB"/>
        </w:rPr>
        <w:t>Current progress</w:t>
      </w:r>
      <w:bookmarkEnd w:id="6"/>
      <w:bookmarkEnd w:id="7"/>
      <w:bookmarkEnd w:id="8"/>
      <w:r>
        <w:rPr>
          <w:noProof/>
          <w:lang w:val="en-GB"/>
        </w:rPr>
        <w:t xml:space="preserve">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As described in Report COM(2015) 574, final energy consumption (FEC)</w:t>
      </w:r>
      <w:r>
        <w:rPr>
          <w:rStyle w:val="FootnoteReference"/>
          <w:rFonts w:ascii="Times New Roman" w:hAnsi="Times New Roman" w:cs="Times New Roman"/>
          <w:noProof/>
          <w:sz w:val="24"/>
          <w:szCs w:val="24"/>
        </w:rPr>
        <w:footnoteReference w:id="1"/>
      </w:r>
      <w:r>
        <w:rPr>
          <w:rFonts w:ascii="Times New Roman" w:eastAsia="Calibri" w:hAnsi="Times New Roman" w:cs="Times New Roman"/>
          <w:noProof/>
          <w:sz w:val="24"/>
          <w:lang w:eastAsia="x-none"/>
        </w:rPr>
        <w:t xml:space="preserve"> of EU-28 dropped from 1186 Mtoe in 2005</w:t>
      </w:r>
      <w:r>
        <w:rPr>
          <w:rStyle w:val="FootnoteReference"/>
          <w:rFonts w:ascii="Times New Roman" w:eastAsia="Calibri" w:hAnsi="Times New Roman" w:cs="Times New Roman"/>
          <w:noProof/>
          <w:sz w:val="24"/>
          <w:lang w:eastAsia="x-none"/>
        </w:rPr>
        <w:footnoteReference w:id="2"/>
      </w:r>
      <w:r>
        <w:rPr>
          <w:rFonts w:ascii="Times New Roman" w:eastAsia="Calibri" w:hAnsi="Times New Roman" w:cs="Times New Roman"/>
          <w:noProof/>
          <w:sz w:val="24"/>
          <w:lang w:eastAsia="x-none"/>
        </w:rPr>
        <w:t xml:space="preserve"> to 1105 Mtoe in 2013.</w:t>
      </w:r>
      <w:r>
        <w:rPr>
          <w:rStyle w:val="FootnoteReference"/>
          <w:rFonts w:ascii="Times New Roman" w:eastAsia="Calibri" w:hAnsi="Times New Roman" w:cs="Times New Roman"/>
          <w:noProof/>
          <w:sz w:val="24"/>
          <w:lang w:eastAsia="x-none"/>
        </w:rPr>
        <w:footnoteReference w:id="3"/>
      </w:r>
      <w:r>
        <w:rPr>
          <w:rFonts w:ascii="Times New Roman" w:eastAsia="Calibri" w:hAnsi="Times New Roman" w:cs="Times New Roman"/>
          <w:noProof/>
          <w:sz w:val="24"/>
          <w:lang w:eastAsia="x-none"/>
        </w:rPr>
        <w:t xml:space="preserve"> This equals a reduction of final energy consumption in 2013 by 18.6</w:t>
      </w:r>
      <w:r>
        <w:rPr>
          <w:rFonts w:ascii="Times New Roman" w:hAnsi="Times New Roman"/>
          <w:noProof/>
          <w:sz w:val="24"/>
          <w:szCs w:val="24"/>
        </w:rPr>
        <w:t> </w:t>
      </w:r>
      <w:r>
        <w:rPr>
          <w:rFonts w:ascii="Times New Roman" w:eastAsia="Calibri" w:hAnsi="Times New Roman" w:cs="Times New Roman"/>
          <w:noProof/>
          <w:sz w:val="24"/>
          <w:lang w:eastAsia="x-none"/>
        </w:rPr>
        <w:t xml:space="preserve">% compared to 2020 projections. The absolute final energy consumption of all Member States except Estonia, Germany, Lithuania, Malta and Poland has declined since 2005. </w:t>
      </w:r>
    </w:p>
    <w:p>
      <w:pPr>
        <w:rPr>
          <w:rFonts w:ascii="Times New Roman" w:eastAsia="Calibri" w:hAnsi="Times New Roman" w:cs="Times New Roman"/>
          <w:iCs/>
          <w:noProof/>
          <w:spacing w:val="15"/>
          <w:sz w:val="18"/>
          <w:szCs w:val="24"/>
        </w:rPr>
      </w:pPr>
      <w:r>
        <w:rPr>
          <w:rFonts w:eastAsia="Calibri" w:cs="Times New Roman"/>
          <w:noProof/>
        </w:rPr>
        <w:br w:type="page"/>
      </w:r>
    </w:p>
    <w:p>
      <w:pPr>
        <w:pStyle w:val="Subtitle"/>
        <w:rPr>
          <w:rFonts w:eastAsia="Calibri" w:cs="Times New Roman"/>
          <w:noProof/>
        </w:rPr>
      </w:pPr>
      <w:r>
        <w:rPr>
          <w:rFonts w:eastAsia="Calibri" w:cs="Times New Roman"/>
          <w:noProof/>
        </w:rPr>
        <w:t>Figure 1: Final energy consumption 2005-2013</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67845" cy="3050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845" cy="3050722"/>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Looking at the short term trends, final energy consumption increased from 1102 Mtoe in 2012 to 1105 Mtoe in 2013. There were increases in Austria, Belgium, Czech Republic, France, Germany, Hungary, Ireland, the Netherlands, Slovakia and the United Kingdom.</w:t>
      </w:r>
    </w:p>
    <w:p>
      <w:pPr>
        <w:pStyle w:val="Subtitle"/>
        <w:rPr>
          <w:rFonts w:eastAsia="Calibri" w:cs="Times New Roman"/>
          <w:noProof/>
        </w:rPr>
      </w:pPr>
      <w:r>
        <w:rPr>
          <w:rFonts w:eastAsia="Calibri" w:cs="Times New Roman"/>
          <w:noProof/>
        </w:rPr>
        <w:t xml:space="preserve">Graph 2: Final energy consumption 2012 and 2013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68063" cy="36819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29" cy="3681886"/>
                    </a:xfrm>
                    <a:prstGeom prst="rect">
                      <a:avLst/>
                    </a:prstGeom>
                    <a:noFill/>
                  </pic:spPr>
                </pic:pic>
              </a:graphicData>
            </a:graphic>
          </wp:inline>
        </w:drawing>
      </w:r>
    </w:p>
    <w:p>
      <w:pPr>
        <w:pStyle w:val="Subtitle"/>
        <w:rPr>
          <w:rFonts w:eastAsia="Calibri" w:cs="Times New Roman"/>
          <w:noProof/>
          <w:sz w:val="24"/>
          <w:lang w:eastAsia="x-none"/>
        </w:rPr>
      </w:pPr>
      <w:r>
        <w:rPr>
          <w:rFonts w:eastAsia="Calibri" w:cs="Times New Roman"/>
          <w:noProof/>
        </w:rPr>
        <w:t>Source: Eurostat</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Primary energy consumption (PEC)</w:t>
      </w:r>
      <w:r>
        <w:rPr>
          <w:rStyle w:val="FootnoteReference"/>
          <w:rFonts w:ascii="Times New Roman" w:eastAsia="Calibri" w:hAnsi="Times New Roman" w:cs="Times New Roman"/>
          <w:noProof/>
          <w:sz w:val="24"/>
          <w:lang w:eastAsia="x-none"/>
        </w:rPr>
        <w:footnoteReference w:id="4"/>
      </w:r>
      <w:r>
        <w:rPr>
          <w:rFonts w:ascii="Times New Roman" w:eastAsia="Calibri" w:hAnsi="Times New Roman" w:cs="Times New Roman"/>
          <w:noProof/>
          <w:sz w:val="24"/>
          <w:lang w:eastAsia="x-none"/>
        </w:rPr>
        <w:t xml:space="preserve"> of EU-28 dropped from 1709 Mtoe in 2005 to 1567 Mtoe in 2013. This equals a reduction of primary energy consumption in 2013 by 15.5</w:t>
      </w:r>
      <w:r>
        <w:rPr>
          <w:rFonts w:ascii="Times New Roman" w:hAnsi="Times New Roman"/>
          <w:noProof/>
          <w:sz w:val="24"/>
          <w:szCs w:val="24"/>
        </w:rPr>
        <w:t> </w:t>
      </w:r>
      <w:r>
        <w:rPr>
          <w:rFonts w:ascii="Times New Roman" w:eastAsia="Calibri" w:hAnsi="Times New Roman" w:cs="Times New Roman"/>
          <w:noProof/>
          <w:sz w:val="24"/>
          <w:lang w:eastAsia="x-none"/>
        </w:rPr>
        <w:t>% compared to 2020 projections. The absolute primary energy consumption of all Member States except Estonia and Poland has declined since 2005.</w:t>
      </w:r>
    </w:p>
    <w:p>
      <w:pPr>
        <w:pStyle w:val="Subtitle"/>
        <w:rPr>
          <w:rFonts w:eastAsia="Calibri" w:cs="Times New Roman"/>
          <w:noProof/>
        </w:rPr>
      </w:pPr>
      <w:r>
        <w:rPr>
          <w:rFonts w:eastAsia="Calibri" w:cs="Times New Roman"/>
          <w:noProof/>
        </w:rPr>
        <w:t>Figure 3: Primary energy consumption 2005-2013</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32735" cy="30294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7567" cy="3026763"/>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 xml:space="preserve">When looking only at the short term trends from 2012 to 2013 which are provided in the Annual Reports 2015 and are available on Eurostat, it can be seen that most Member States lowered their primary energy consumption to close their gap towards the 2020 target. However Belgium, Denmark, Germany, Estonia, France, Poland, Portugal and Slovakia increased their primary energy consumption in 2013 compared to 2012. </w:t>
      </w:r>
    </w:p>
    <w:p>
      <w:pPr>
        <w:rPr>
          <w:rFonts w:ascii="Times New Roman" w:eastAsia="Calibri" w:hAnsi="Times New Roman" w:cs="Times New Roman"/>
          <w:iCs/>
          <w:noProof/>
          <w:spacing w:val="15"/>
          <w:sz w:val="18"/>
          <w:szCs w:val="24"/>
        </w:rPr>
      </w:pPr>
      <w:r>
        <w:rPr>
          <w:rFonts w:eastAsia="Calibri" w:cs="Times New Roman"/>
          <w:noProof/>
        </w:rPr>
        <w:br w:type="page"/>
      </w:r>
    </w:p>
    <w:p>
      <w:pPr>
        <w:pStyle w:val="Subtitle"/>
        <w:rPr>
          <w:rFonts w:eastAsia="Calibri" w:cs="Times New Roman"/>
          <w:noProof/>
        </w:rPr>
      </w:pPr>
      <w:r>
        <w:rPr>
          <w:rFonts w:eastAsia="Calibri" w:cs="Times New Roman"/>
          <w:noProof/>
        </w:rPr>
        <w:t xml:space="preserve">Graph 4: Primary energy consumption 2012 and 2013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76014" cy="368689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6014" cy="3686896"/>
                    </a:xfrm>
                    <a:prstGeom prst="rect">
                      <a:avLst/>
                    </a:prstGeom>
                    <a:noFill/>
                  </pic:spPr>
                </pic:pic>
              </a:graphicData>
            </a:graphic>
          </wp:inline>
        </w:drawing>
      </w:r>
    </w:p>
    <w:p>
      <w:pPr>
        <w:pStyle w:val="Subtitle"/>
        <w:rPr>
          <w:rFonts w:eastAsia="Calibri" w:cs="Times New Roman"/>
          <w:noProof/>
          <w:sz w:val="24"/>
          <w:lang w:eastAsia="x-none"/>
        </w:rPr>
      </w:pPr>
      <w:r>
        <w:rPr>
          <w:rFonts w:eastAsia="Calibri" w:cs="Times New Roman"/>
          <w:noProof/>
        </w:rPr>
        <w:t>Source: Eurostat</w:t>
      </w:r>
    </w:p>
    <w:p>
      <w:pPr>
        <w:pStyle w:val="Heading1"/>
        <w:rPr>
          <w:noProof/>
        </w:rPr>
      </w:pPr>
      <w:bookmarkStart w:id="10" w:name="_Toc433203764"/>
      <w:bookmarkStart w:id="11" w:name="_Toc433203765"/>
      <w:bookmarkStart w:id="12" w:name="_Toc433203766"/>
      <w:bookmarkStart w:id="13" w:name="_Toc433203767"/>
      <w:bookmarkStart w:id="14" w:name="_Toc433203768"/>
      <w:bookmarkStart w:id="15" w:name="_Toc433203769"/>
      <w:bookmarkStart w:id="16" w:name="_Toc433203770"/>
      <w:bookmarkStart w:id="17" w:name="_Toc433203771"/>
      <w:bookmarkStart w:id="18" w:name="_Toc433203772"/>
      <w:bookmarkStart w:id="19" w:name="_Toc434340520"/>
      <w:bookmarkStart w:id="20" w:name="_Toc434395310"/>
      <w:bookmarkEnd w:id="10"/>
      <w:bookmarkEnd w:id="11"/>
      <w:bookmarkEnd w:id="12"/>
      <w:bookmarkEnd w:id="13"/>
      <w:bookmarkEnd w:id="14"/>
      <w:bookmarkEnd w:id="15"/>
      <w:bookmarkEnd w:id="16"/>
      <w:bookmarkEnd w:id="17"/>
      <w:r>
        <w:rPr>
          <w:noProof/>
          <w:lang w:val="en-GB"/>
        </w:rPr>
        <w:t>National targets</w:t>
      </w:r>
      <w:bookmarkEnd w:id="18"/>
      <w:bookmarkEnd w:id="19"/>
      <w:bookmarkEnd w:id="20"/>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Article 3 of the EED sets out the Union's energy consumption target for 2020 of not more than 1483 Mtoe of primary energy consumption or not more than 1086 Mtoe of final energy consumption. This equates to a 20</w:t>
      </w:r>
      <w:r>
        <w:rPr>
          <w:rFonts w:ascii="Times New Roman" w:hAnsi="Times New Roman"/>
          <w:noProof/>
          <w:sz w:val="24"/>
          <w:szCs w:val="24"/>
        </w:rPr>
        <w:t> </w:t>
      </w:r>
      <w:r>
        <w:rPr>
          <w:rFonts w:ascii="Times New Roman" w:eastAsia="Calibri" w:hAnsi="Times New Roman" w:cs="Times New Roman"/>
          <w:noProof/>
          <w:sz w:val="24"/>
          <w:lang w:eastAsia="x-none"/>
        </w:rPr>
        <w:t xml:space="preserve">% saving compared to projections made in 2007.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In 2013, when national energy efficiency indicative targets for 2020 were set for the first time, the Commission calculated that the sum of national targets set by Member States, in terms of primary energy, corresponded to 16.4% of primary energy savings compared to projections. In 2014, the Commission concluded in its Energy Efficiency Communication of July 2014 (COM(2014) 520 final) that the EU will achieve energy savings of around 18-19</w:t>
      </w:r>
      <w:r>
        <w:rPr>
          <w:rFonts w:ascii="Times New Roman" w:hAnsi="Times New Roman"/>
          <w:noProof/>
          <w:sz w:val="24"/>
          <w:szCs w:val="24"/>
        </w:rPr>
        <w:t> </w:t>
      </w:r>
      <w:r>
        <w:rPr>
          <w:rFonts w:ascii="Times New Roman" w:eastAsia="Calibri" w:hAnsi="Times New Roman" w:cs="Times New Roman"/>
          <w:noProof/>
          <w:sz w:val="24"/>
          <w:lang w:eastAsia="x-none"/>
        </w:rPr>
        <w:t>% in 2020 taking into account the effects of the economic recession and other factors like the impacts of e.g. Ecodesign which will further help to reduce energy consumption. It was highlighted that the full implementation of the existing energy efficiency legislative framework and the improvement of the financing conditions of energy efficiency investments are key to achieve the 20</w:t>
      </w:r>
      <w:r>
        <w:rPr>
          <w:rFonts w:ascii="Times New Roman" w:hAnsi="Times New Roman"/>
          <w:noProof/>
          <w:sz w:val="24"/>
          <w:szCs w:val="24"/>
        </w:rPr>
        <w:t> </w:t>
      </w:r>
      <w:r>
        <w:rPr>
          <w:rFonts w:ascii="Times New Roman" w:eastAsia="Calibri" w:hAnsi="Times New Roman" w:cs="Times New Roman"/>
          <w:noProof/>
          <w:sz w:val="24"/>
          <w:lang w:eastAsia="x-none"/>
        </w:rPr>
        <w:t>% energy efficiency target by 2020.</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Several Member States have changed the level of ambition of their national targets as regards primary and/or final energy consumption</w:t>
      </w:r>
      <w:r>
        <w:rPr>
          <w:rFonts w:ascii="Times New Roman" w:eastAsia="Calibri" w:hAnsi="Times New Roman" w:cs="Times New Roman"/>
          <w:noProof/>
          <w:sz w:val="24"/>
          <w:szCs w:val="24"/>
        </w:rPr>
        <w:t xml:space="preserve"> compared to their initial targets set in 2013</w:t>
      </w:r>
      <w:r>
        <w:rPr>
          <w:rFonts w:ascii="Times New Roman" w:eastAsia="Calibri" w:hAnsi="Times New Roman" w:cs="Times New Roman"/>
          <w:noProof/>
          <w:sz w:val="24"/>
          <w:lang w:eastAsia="x-none"/>
        </w:rPr>
        <w:t>.</w:t>
      </w:r>
      <w:r>
        <w:rPr>
          <w:rStyle w:val="FootnoteReference"/>
          <w:rFonts w:ascii="Times New Roman" w:eastAsia="Calibri" w:hAnsi="Times New Roman" w:cs="Times New Roman"/>
          <w:noProof/>
          <w:sz w:val="24"/>
        </w:rPr>
        <w:footnoteReference w:id="5"/>
      </w:r>
      <w:r>
        <w:rPr>
          <w:rFonts w:ascii="Times New Roman" w:eastAsia="Calibri" w:hAnsi="Times New Roman" w:cs="Times New Roman"/>
          <w:noProof/>
          <w:sz w:val="24"/>
          <w:lang w:eastAsia="x-none"/>
        </w:rPr>
        <w:t xml:space="preserve"> Austria, Bulgaria, Croatia, Cyprus, Greece, Hungary, Italy, Slovakia, and Spain have set more ambitious targets for 2020 expressed in final energy consumption which will help the European Union to achieve its 2020 target. Only Malta and Poland have notified less ambitious targets </w:t>
      </w:r>
      <w:r>
        <w:rPr>
          <w:rFonts w:ascii="Times New Roman" w:eastAsia="Calibri" w:hAnsi="Times New Roman" w:cs="Times New Roman"/>
          <w:noProof/>
          <w:sz w:val="24"/>
          <w:szCs w:val="24"/>
        </w:rPr>
        <w:t>compared to their initial targets</w:t>
      </w:r>
      <w:r>
        <w:rPr>
          <w:rFonts w:ascii="Times New Roman" w:eastAsia="Calibri" w:hAnsi="Times New Roman" w:cs="Times New Roman"/>
          <w:noProof/>
          <w:sz w:val="24"/>
          <w:lang w:eastAsia="x-none"/>
        </w:rPr>
        <w:t>.</w:t>
      </w:r>
    </w:p>
    <w:p>
      <w:pPr>
        <w:pStyle w:val="Subtitle"/>
        <w:rPr>
          <w:rFonts w:eastAsia="Calibri" w:cs="Times New Roman"/>
          <w:noProof/>
        </w:rPr>
      </w:pPr>
      <w:r>
        <w:rPr>
          <w:rFonts w:eastAsia="Calibri" w:cs="Times New Roman"/>
          <w:noProof/>
        </w:rPr>
        <w:t xml:space="preserve">Figure 5: 2020 targets expressed in final energy consumption </w:t>
      </w:r>
    </w:p>
    <w:p>
      <w:pPr>
        <w:pStyle w:val="Subtitle"/>
        <w:rPr>
          <w:rFonts w:eastAsia="Calibri" w:cs="Times New Roman"/>
          <w:noProof/>
        </w:rPr>
      </w:pPr>
      <w:r>
        <w:rPr>
          <w:rFonts w:eastAsia="Calibri" w:cs="Times New Roman"/>
          <w:noProof/>
          <w:lang w:val="en-US"/>
        </w:rPr>
        <w:drawing>
          <wp:inline distT="0" distB="0" distL="0" distR="0">
            <wp:extent cx="5852160" cy="304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4567" cy="3049679"/>
                    </a:xfrm>
                    <a:prstGeom prst="rect">
                      <a:avLst/>
                    </a:prstGeom>
                    <a:noFill/>
                  </pic:spPr>
                </pic:pic>
              </a:graphicData>
            </a:graphic>
          </wp:inline>
        </w:drawing>
      </w:r>
    </w:p>
    <w:p>
      <w:pPr>
        <w:pStyle w:val="Subtitle"/>
        <w:rPr>
          <w:rFonts w:eastAsia="Calibri" w:cs="Times New Roman"/>
          <w:noProof/>
          <w:sz w:val="24"/>
          <w:lang w:eastAsia="x-none"/>
        </w:rPr>
      </w:pPr>
      <w:r>
        <w:rPr>
          <w:rFonts w:eastAsia="Calibri" w:cs="Times New Roman"/>
          <w:noProof/>
        </w:rPr>
        <w:t>Source: Eurostat, Member States</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As regards primary energy consumption, Cyprus, France, Greece, Hungary, Malta, Spain, and Sweden have notified more ambitious indicative targets</w:t>
      </w:r>
      <w:r>
        <w:rPr>
          <w:rFonts w:ascii="Times New Roman" w:eastAsia="Calibri" w:hAnsi="Times New Roman" w:cs="Times New Roman"/>
          <w:noProof/>
          <w:sz w:val="24"/>
          <w:szCs w:val="24"/>
        </w:rPr>
        <w:t xml:space="preserve"> compared to their initial targets</w:t>
      </w:r>
      <w:r>
        <w:rPr>
          <w:rFonts w:ascii="Times New Roman" w:eastAsia="Calibri" w:hAnsi="Times New Roman" w:cs="Times New Roman"/>
          <w:noProof/>
          <w:sz w:val="24"/>
          <w:lang w:eastAsia="x-none"/>
        </w:rPr>
        <w:t>, whereas Bulgaria, Croatia and Slovakia have reduced their level of ambition. As a result, the sum of the national indicative targets now corresponds to 17.6</w:t>
      </w:r>
      <w:r>
        <w:rPr>
          <w:rFonts w:ascii="Times New Roman" w:hAnsi="Times New Roman"/>
          <w:noProof/>
          <w:sz w:val="24"/>
          <w:szCs w:val="24"/>
        </w:rPr>
        <w:t> </w:t>
      </w:r>
      <w:r>
        <w:rPr>
          <w:rFonts w:ascii="Times New Roman" w:eastAsia="Calibri" w:hAnsi="Times New Roman" w:cs="Times New Roman"/>
          <w:noProof/>
          <w:sz w:val="24"/>
          <w:lang w:eastAsia="x-none"/>
        </w:rPr>
        <w:t xml:space="preserve">% primary energy savings compared to projections for 2020. </w:t>
      </w:r>
      <w:r>
        <w:rPr>
          <w:rFonts w:ascii="Times New Roman" w:eastAsia="Calibri" w:hAnsi="Times New Roman" w:cs="Times New Roman"/>
          <w:noProof/>
          <w:sz w:val="24"/>
          <w:szCs w:val="24"/>
        </w:rPr>
        <w:t>While this represents a welcome improvement compared to the first set of notified targets, it still falls short of the EU target to save 20</w:t>
      </w:r>
      <w:r>
        <w:rPr>
          <w:rFonts w:ascii="Times New Roman" w:hAnsi="Times New Roman"/>
          <w:noProof/>
          <w:sz w:val="24"/>
          <w:szCs w:val="24"/>
        </w:rPr>
        <w:t> </w:t>
      </w:r>
      <w:r>
        <w:rPr>
          <w:rFonts w:ascii="Times New Roman" w:eastAsia="Calibri" w:hAnsi="Times New Roman" w:cs="Times New Roman"/>
          <w:noProof/>
          <w:sz w:val="24"/>
          <w:szCs w:val="24"/>
        </w:rPr>
        <w:t>% of primary energy compared to projections in 2020. However, data on recent progress suggest that a more optimistic conclusion can be drawn.</w:t>
      </w:r>
    </w:p>
    <w:p>
      <w:pPr>
        <w:pStyle w:val="Subtitle"/>
        <w:rPr>
          <w:rFonts w:eastAsia="Calibri" w:cs="Times New Roman"/>
          <w:noProof/>
        </w:rPr>
      </w:pPr>
      <w:r>
        <w:rPr>
          <w:rFonts w:eastAsia="Calibri" w:cs="Times New Roman"/>
          <w:noProof/>
        </w:rPr>
        <w:t xml:space="preserve">Figure 6: 2020 targets expressed in primary energy consumption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51916" cy="3048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2068" cy="3048376"/>
                    </a:xfrm>
                    <a:prstGeom prst="rect">
                      <a:avLst/>
                    </a:prstGeom>
                    <a:noFill/>
                  </pic:spPr>
                </pic:pic>
              </a:graphicData>
            </a:graphic>
          </wp:inline>
        </w:drawing>
      </w:r>
    </w:p>
    <w:p>
      <w:pPr>
        <w:pStyle w:val="Subtitle"/>
        <w:rPr>
          <w:rFonts w:eastAsia="Calibri" w:cs="Times New Roman"/>
          <w:noProof/>
          <w:sz w:val="24"/>
          <w:lang w:eastAsia="x-none"/>
        </w:rPr>
      </w:pPr>
      <w:r>
        <w:rPr>
          <w:rFonts w:eastAsia="Calibri" w:cs="Times New Roman"/>
          <w:noProof/>
        </w:rPr>
        <w:t>Source: Eurostat, Member States</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The scale of the challenge for the achievement of their 2020 target for individual Member States can be measured by comparing the average annual change in energy consumption between 2014 and 2020 which will be necessary to achieve the national indicative target with the expected economic growth (for 2014-2016 from the ECFIN spring 2015 forecasts</w:t>
      </w:r>
      <w:r>
        <w:rPr>
          <w:rStyle w:val="FootnoteReference"/>
          <w:rFonts w:ascii="Times New Roman" w:eastAsia="Calibri" w:hAnsi="Times New Roman" w:cs="Times New Roman"/>
          <w:noProof/>
          <w:sz w:val="24"/>
          <w:lang w:eastAsia="x-none"/>
        </w:rPr>
        <w:footnoteReference w:id="6"/>
      </w:r>
      <w:r>
        <w:rPr>
          <w:rFonts w:ascii="Times New Roman" w:eastAsia="Calibri" w:hAnsi="Times New Roman" w:cs="Times New Roman"/>
          <w:noProof/>
          <w:sz w:val="24"/>
          <w:lang w:eastAsia="x-none"/>
        </w:rPr>
        <w:t xml:space="preserve"> and for 2017-2020 from ECFIN 2015 medium term forecast). </w:t>
      </w:r>
      <w:r>
        <w:rPr>
          <w:rFonts w:ascii="Times New Roman" w:eastAsia="Calibri" w:hAnsi="Times New Roman" w:cs="Times New Roman"/>
          <w:noProof/>
          <w:sz w:val="24"/>
          <w:szCs w:val="24"/>
        </w:rPr>
        <w:t xml:space="preserve">The objective of energy efficiency is to decouple energy consumption from economic growth due to efficiency gains. </w:t>
      </w:r>
      <w:r>
        <w:rPr>
          <w:rFonts w:ascii="Times New Roman" w:eastAsia="Calibri" w:hAnsi="Times New Roman" w:cs="Times New Roman"/>
          <w:noProof/>
          <w:sz w:val="24"/>
          <w:lang w:eastAsia="x-none"/>
        </w:rPr>
        <w:t>Therefore, energy consumption should not be proportionate to economic growth.</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 xml:space="preserve">Austria, Belgium, France, Germany, Malta, Netherlands, Sweden and the United Kingdom have set themselves ambitious targets with regard to their GDP forecast for 2014-2020. However, Croatia, Finland, Greece and Romania have set indicative primary energy consumption targets for 2020 which would allow them to increase their primary energy consumption in the next years considerably, even more rapidly than the expected average GDP growth in 2014-2020. </w:t>
      </w:r>
    </w:p>
    <w:p>
      <w:pPr>
        <w:pStyle w:val="Subtitle"/>
        <w:rPr>
          <w:rFonts w:eastAsia="Calibri" w:cs="Times New Roman"/>
          <w:noProof/>
        </w:rPr>
      </w:pPr>
      <w:r>
        <w:rPr>
          <w:rFonts w:eastAsia="Calibri" w:cs="Times New Roman"/>
          <w:noProof/>
        </w:rPr>
        <w:t>Figure 7: Average annual registered and forecasted GDP 2014-2020 vs average annual PEC reductions 2014-2020 necessary to reach national indicative PEC targets in %.</w:t>
      </w:r>
    </w:p>
    <w:p>
      <w:pPr>
        <w:pStyle w:val="Subtitle"/>
        <w:rPr>
          <w:rFonts w:eastAsia="Calibri" w:cs="Times New Roman"/>
          <w:noProof/>
        </w:rPr>
      </w:pPr>
      <w:r>
        <w:rPr>
          <w:rFonts w:eastAsia="Calibri" w:cs="Times New Roman"/>
          <w:noProof/>
          <w:lang w:val="en-US"/>
        </w:rPr>
        <w:drawing>
          <wp:inline distT="0" distB="0" distL="0" distR="0">
            <wp:extent cx="5828306" cy="318184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2681" cy="3184234"/>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 ECFIN, notifications of Member States</w:t>
      </w:r>
      <w:r>
        <w:rPr>
          <w:rStyle w:val="FootnoteReference"/>
          <w:rFonts w:eastAsia="Calibri" w:cs="Times New Roman"/>
          <w:noProof/>
        </w:rPr>
        <w:footnoteReference w:id="7"/>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Using the expected primary energy consumption and GDP in 2020</w:t>
      </w:r>
      <w:r>
        <w:rPr>
          <w:rStyle w:val="FootnoteReference"/>
          <w:rFonts w:ascii="Times New Roman" w:eastAsia="Calibri" w:hAnsi="Times New Roman" w:cs="Times New Roman"/>
          <w:noProof/>
          <w:sz w:val="24"/>
          <w:lang w:eastAsia="x-none"/>
        </w:rPr>
        <w:footnoteReference w:id="8"/>
      </w:r>
      <w:r>
        <w:rPr>
          <w:rFonts w:ascii="Times New Roman" w:eastAsia="Calibri" w:hAnsi="Times New Roman" w:cs="Times New Roman"/>
          <w:noProof/>
          <w:sz w:val="24"/>
          <w:lang w:eastAsia="x-none"/>
        </w:rPr>
        <w:t xml:space="preserve"> to calculate the energy intensity of the whole economy shows that Croatia would increase its energy intensity to 312 ktoe/M€ in 2020 compared to 205 ktoe/M€, which was the level in 2013. Accordingly, the 2020 energy intensity would be higher than the maximum historical energy intensities in the period 2005-2013 (228 ktoe/M€ in 2005). For all other Member States, the estimated energy intensity in 2020 is within the range of historical energy intensities from 2005-2013 or even lower. </w:t>
      </w:r>
    </w:p>
    <w:p>
      <w:pPr>
        <w:spacing w:line="240" w:lineRule="auto"/>
        <w:jc w:val="both"/>
        <w:rPr>
          <w:rFonts w:ascii="Times New Roman" w:eastAsia="Calibri" w:hAnsi="Times New Roman" w:cs="Times New Roman"/>
          <w:b/>
          <w:noProof/>
          <w:sz w:val="24"/>
          <w:lang w:eastAsia="x-none"/>
        </w:rPr>
      </w:pPr>
      <w:r>
        <w:rPr>
          <w:rFonts w:ascii="Times New Roman" w:eastAsia="Calibri" w:hAnsi="Times New Roman" w:cs="Times New Roman"/>
          <w:noProof/>
          <w:sz w:val="24"/>
          <w:lang w:eastAsia="x-none"/>
        </w:rPr>
        <w:t xml:space="preserve">The situation is similar when looking at the level of ambition of the indicative 2020 targets expressed in terms of final energy consumption compared to GDP forecasts for 2014 to 2020. </w:t>
      </w:r>
      <w:r>
        <w:rPr>
          <w:rFonts w:ascii="Times New Roman" w:eastAsia="Calibri" w:hAnsi="Times New Roman" w:cs="Times New Roman"/>
          <w:noProof/>
          <w:sz w:val="24"/>
          <w:szCs w:val="24"/>
        </w:rPr>
        <w:t>the level of the indicative targets set by Croatia, Cyprus, Finland, Greece, Italy, Portugal and Romania are not ambitious enough as final energy consumption is projected to be higher than the forecast GDP development from 2014 to 2020</w:t>
      </w:r>
      <w:r>
        <w:rPr>
          <w:rFonts w:ascii="Times New Roman" w:eastAsia="Calibri" w:hAnsi="Times New Roman" w:cs="Times New Roman"/>
          <w:noProof/>
          <w:sz w:val="24"/>
          <w:lang w:eastAsia="x-none"/>
        </w:rPr>
        <w:t>.</w:t>
      </w:r>
    </w:p>
    <w:p>
      <w:pPr>
        <w:pStyle w:val="Subtitle"/>
        <w:rPr>
          <w:rFonts w:eastAsia="Calibri" w:cs="Times New Roman"/>
          <w:noProof/>
        </w:rPr>
      </w:pPr>
      <w:r>
        <w:rPr>
          <w:rFonts w:eastAsia="Calibri" w:cs="Times New Roman"/>
          <w:noProof/>
        </w:rPr>
        <w:t>Figure 8: Average annual registered and forecast GDP 2014-2020 vs average annual FEC reductions 2014-2020 necessary to reach national indicative FEC targets in %.</w:t>
      </w:r>
    </w:p>
    <w:p>
      <w:pPr>
        <w:pStyle w:val="Subtitle"/>
        <w:rPr>
          <w:rFonts w:eastAsia="Calibri" w:cs="Times New Roman"/>
          <w:noProof/>
        </w:rPr>
      </w:pPr>
      <w:r>
        <w:rPr>
          <w:rFonts w:eastAsia="Calibri" w:cs="Times New Roman"/>
          <w:noProof/>
          <w:lang w:val="en-US"/>
        </w:rPr>
        <w:drawing>
          <wp:inline distT="0" distB="0" distL="0" distR="0">
            <wp:extent cx="5848432" cy="3634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9178" cy="3634919"/>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 ECFIN, notifications of Member States</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 xml:space="preserve">Figure 9 shows the average annual change in primary and final energy consumption which Member States need to realise from 2013 until 2020 to achieve their indicative national targets in 2020. The required efforts depend on the ambition level of each Member State and the progress achieved already. For some Member States the required efforts to achieve the 2020 target expressed in primary energy consumption might differ from the effort needed to achieve the 2020 target expressed in final energy consumption as Member States have set different ambition levels for the two. Whereas some concentrate on the decrease of primary energy consumption (e.g. through an increase of efficiency in their generation sector or the decrease of network losses) other Member States focus mainly on the final energy sector.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 xml:space="preserve">Data show that Austria, Belgium, Germany, France, Sweden and the United Kingdom would need to further decrease their current energy consumption expressed in primary and final energy consumption to achieve their indicative national targets. Malta and the Netherlands would need to further reduce their primary energy consumption; Bulgaria, Estonia, Lithuania, Slovakia and Spain would need to focus on final energy reductions in particular.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Even if the other Member States might have already achieved a level of energy consumption which equals or is below their indicative national 2020 targets, they would need to make an effort to keep this level or to further decrease it. In particular, if GDP is projected to grow in the next years, weather conditions change or other factors change, holding consumption more or less constant is challenging if a Member States does not implement strong energy efficiency measures. It needs to be highlighted that figure 9 gives just an indication on the pace of energy consumption reduction which is needed in the next years to achieve Member States' indicative 2020 targets (allowed increase in energy consumption for Member States which have set indicative 2020 higher than their 2013 energy consumption levels). Figure 9 does not take into account possible future changes in economic growth, change in weather conditions or other factors influencing the future energy consumption.</w:t>
      </w:r>
    </w:p>
    <w:p>
      <w:pPr>
        <w:pStyle w:val="Subtitle"/>
        <w:rPr>
          <w:rFonts w:eastAsia="Calibri" w:cs="Times New Roman"/>
          <w:noProof/>
          <w:sz w:val="24"/>
          <w:lang w:eastAsia="x-none"/>
        </w:rPr>
      </w:pPr>
      <w:r>
        <w:rPr>
          <w:rFonts w:eastAsia="Calibri" w:cs="Times New Roman"/>
          <w:noProof/>
        </w:rPr>
        <w:t xml:space="preserve">Figure 9: Necessary annual PEC and FEC reduction from 2013 to 2020 to reach the 2020 targets </w:t>
      </w:r>
    </w:p>
    <w:p>
      <w:pPr>
        <w:pStyle w:val="Subtitle"/>
        <w:rPr>
          <w:rFonts w:eastAsia="Calibri" w:cs="Times New Roman"/>
          <w:noProof/>
          <w:sz w:val="24"/>
          <w:lang w:eastAsia="x-none"/>
        </w:rPr>
      </w:pPr>
      <w:r>
        <w:rPr>
          <w:rFonts w:eastAsia="Calibri" w:cs="Times New Roman"/>
          <w:noProof/>
          <w:sz w:val="24"/>
          <w:lang w:val="en-US"/>
        </w:rPr>
        <w:drawing>
          <wp:inline distT="0" distB="0" distL="0" distR="0">
            <wp:extent cx="5852160" cy="286746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6444" cy="2864663"/>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DG ENER calculations based on Eurostat and notifications of Member States</w:t>
      </w:r>
    </w:p>
    <w:p>
      <w:pPr>
        <w:pStyle w:val="Heading1"/>
        <w:rPr>
          <w:noProof/>
        </w:rPr>
      </w:pPr>
      <w:bookmarkStart w:id="21" w:name="_Toc433203773"/>
      <w:bookmarkStart w:id="22" w:name="_Toc434340521"/>
      <w:bookmarkStart w:id="23" w:name="_Toc434395311"/>
      <w:r>
        <w:rPr>
          <w:noProof/>
          <w:lang w:val="en-GB"/>
        </w:rPr>
        <w:t>Energy consumption trends</w:t>
      </w:r>
      <w:bookmarkEnd w:id="21"/>
      <w:bookmarkEnd w:id="22"/>
      <w:bookmarkEnd w:id="23"/>
      <w:r>
        <w:rPr>
          <w:noProof/>
          <w:lang w:val="en-GB"/>
        </w:rPr>
        <w:t xml:space="preserve">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As described in Report COM(2015) 574, the trend in energy consumption between a base year (2005 in the case of this analysis) and the most recent year for which data are available from Eurostat (2013) can be compared with the trend in energy consumption between that base year and the year 2020 which would be necessary to reach the target. This comparison can be used as one indicator to analyse the progress of Member States. As only 2013 data are available, this comparison cannot take into account the impact of recently implemented energy efficiency measures on meeting the new obligations under the EED, nor the impact of some of the measures recently adopted under Ecodesign, energy labelling and the Energy Performance of Buildings Directive (2010/31/EU). In addition, this comparison does not make it possible to carry out a conclusive assessment of whether Member States are on track to meet their indicative 2020 energy efficiency targets. This is because the future effects (positive or negative) of changes in the economy (e.g. an increase/decrease of economic activity or a shift from energy intensive industries to the service sector), changes in energy prices, fuel switching or climate variations cannot be foreseen until 2020.</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As shown in a report recently published by the European Environment Agency</w:t>
      </w:r>
      <w:r>
        <w:rPr>
          <w:rStyle w:val="FootnoteReference"/>
          <w:rFonts w:ascii="Times New Roman" w:eastAsia="Calibri" w:hAnsi="Times New Roman" w:cs="Times New Roman"/>
          <w:noProof/>
          <w:sz w:val="24"/>
          <w:lang w:eastAsia="x-none"/>
        </w:rPr>
        <w:footnoteReference w:id="9"/>
      </w:r>
      <w:r>
        <w:rPr>
          <w:rFonts w:ascii="Times New Roman" w:eastAsia="Calibri" w:hAnsi="Times New Roman" w:cs="Times New Roman"/>
          <w:noProof/>
          <w:sz w:val="24"/>
          <w:lang w:eastAsia="x-none"/>
        </w:rPr>
        <w:t xml:space="preserve"> and in figure 10 below, t</w:t>
      </w:r>
      <w:r>
        <w:rPr>
          <w:rFonts w:ascii="Times New Roman" w:eastAsia="Calibri" w:hAnsi="Times New Roman" w:cs="Times New Roman"/>
          <w:noProof/>
          <w:sz w:val="24"/>
          <w:szCs w:val="24"/>
        </w:rPr>
        <w:t>he majority of Member States decreased their primary and final energy consumption in the period 2005 to 2013 at a rate which was higher than the rate of decrease which would be needed in the period 2005 to 2020 to meet their primary and final energy consumption targets in 2020</w:t>
      </w:r>
      <w:r>
        <w:rPr>
          <w:rFonts w:ascii="Times New Roman" w:eastAsia="Calibri" w:hAnsi="Times New Roman" w:cs="Times New Roman"/>
          <w:noProof/>
          <w:sz w:val="24"/>
          <w:lang w:eastAsia="x-none"/>
        </w:rPr>
        <w:t xml:space="preserve">. The exceptions are Belgium, Estonia, France, Germany, the Netherlands, Poland and Sweden (for primary energy consumption) and Austria, Belgium, Estonia, France, Germany, Lithuania, Malta and Slovakia (for final energy consumption). </w:t>
      </w:r>
    </w:p>
    <w:p>
      <w:pPr>
        <w:pStyle w:val="Subtitle"/>
        <w:rPr>
          <w:rFonts w:eastAsia="Calibri" w:cs="Times New Roman"/>
          <w:noProof/>
        </w:rPr>
      </w:pPr>
      <w:r>
        <w:rPr>
          <w:rFonts w:eastAsia="Calibri" w:cs="Times New Roman"/>
          <w:noProof/>
        </w:rPr>
        <w:t>Figure 10: 2005-2013 PEC trend versus 2005-2020 trajectory to reach the 2020 PEC targets</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669280" cy="278259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3370" cy="2779691"/>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pStyle w:val="Subtitle"/>
        <w:rPr>
          <w:rFonts w:eastAsia="Calibri" w:cs="Times New Roman"/>
          <w:noProof/>
        </w:rPr>
      </w:pPr>
      <w:r>
        <w:rPr>
          <w:rFonts w:eastAsia="Calibri" w:cs="Times New Roman"/>
          <w:noProof/>
        </w:rPr>
        <w:t>Figure 11: 2005-2013 FEC trend versus 2005-2020 trajectory to reach the 2020 FEC targets</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669280" cy="2947487"/>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1859" cy="2948828"/>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When describing efficiency trends it is meaningful to compare absolute trends with trends in terms of economic output, not only because energy consumption and economic growth are correlated, but also because a decoupling of these two indicators can be considered as a proxy for increasing energy efficiency.</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 xml:space="preserve">As shown in figure 12, many Member States reduced their energy consumption from 2005 to 2013 significantly, while increasing their economic output at the same time. Estonia is the only Member State where average primary energy consumption increased more than the average increase of GDP from 2005 to 2013. </w:t>
      </w:r>
    </w:p>
    <w:p>
      <w:pPr>
        <w:pStyle w:val="Subtitle"/>
        <w:rPr>
          <w:rFonts w:eastAsia="Calibri" w:cs="Times New Roman"/>
          <w:noProof/>
        </w:rPr>
      </w:pPr>
      <w:r>
        <w:rPr>
          <w:rFonts w:eastAsia="Calibri" w:cs="Times New Roman"/>
          <w:noProof/>
        </w:rPr>
        <w:t>Figure 12: Average annual growth of GDP</w:t>
      </w:r>
      <w:r>
        <w:rPr>
          <w:rStyle w:val="FootnoteReference"/>
          <w:rFonts w:eastAsia="Calibri" w:cs="Times New Roman"/>
          <w:noProof/>
        </w:rPr>
        <w:footnoteReference w:id="10"/>
      </w:r>
      <w:r>
        <w:rPr>
          <w:rFonts w:eastAsia="Calibri" w:cs="Times New Roman"/>
          <w:noProof/>
        </w:rPr>
        <w:t xml:space="preserve"> and average primary energy consumption developments in % in the period 2005-2013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67400" cy="37919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9785" cy="3793537"/>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Thus, the primary energy intensity</w:t>
      </w:r>
      <w:r>
        <w:rPr>
          <w:rStyle w:val="FootnoteReference"/>
          <w:rFonts w:ascii="Times New Roman" w:eastAsia="Calibri" w:hAnsi="Times New Roman" w:cs="Times New Roman"/>
          <w:noProof/>
          <w:sz w:val="24"/>
          <w:lang w:eastAsia="x-none"/>
        </w:rPr>
        <w:footnoteReference w:id="11"/>
      </w:r>
      <w:r>
        <w:rPr>
          <w:rFonts w:ascii="Times New Roman" w:eastAsia="Calibri" w:hAnsi="Times New Roman" w:cs="Times New Roman"/>
          <w:noProof/>
          <w:sz w:val="24"/>
          <w:lang w:eastAsia="x-none"/>
        </w:rPr>
        <w:t xml:space="preserve"> for the whole economy of Estonia grew on average over the period between 2005 and 2013, whereas it decreased in all other Member States. Bulgaria, Czech Republic, Cyprus, Hungary, Lithuania, Luxembourg, Malta, Poland, Romania, Slovakia, Spain, Sweden and the United Kingdom reduced their intensity on average by more than 2% in this period.</w:t>
      </w:r>
    </w:p>
    <w:p>
      <w:pPr>
        <w:pStyle w:val="Subtitle"/>
        <w:rPr>
          <w:rFonts w:eastAsia="Calibri" w:cs="Times New Roman"/>
          <w:noProof/>
        </w:rPr>
      </w:pPr>
      <w:r>
        <w:rPr>
          <w:rFonts w:eastAsia="Calibri" w:cs="Times New Roman"/>
          <w:noProof/>
        </w:rPr>
        <w:t>Figure 13: 2005-2013 Average change rate of PEC energy intensity in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080883" cy="2341791"/>
            <wp:effectExtent l="0" t="0" r="571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7089" cy="2340042"/>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pStyle w:val="Heading2"/>
        <w:rPr>
          <w:rFonts w:eastAsia="Calibri"/>
          <w:noProof/>
          <w:lang w:val="en-GB"/>
        </w:rPr>
      </w:pPr>
      <w:bookmarkStart w:id="24" w:name="_Toc433203774"/>
      <w:bookmarkStart w:id="25" w:name="_Toc433203780"/>
      <w:bookmarkStart w:id="26" w:name="_Toc431144825"/>
      <w:bookmarkStart w:id="27" w:name="_Toc433203781"/>
      <w:bookmarkStart w:id="28" w:name="_Toc429074881"/>
      <w:bookmarkStart w:id="29" w:name="_Toc429127287"/>
      <w:bookmarkStart w:id="30" w:name="_Toc429074882"/>
      <w:bookmarkStart w:id="31" w:name="_Toc429127288"/>
      <w:bookmarkStart w:id="32" w:name="_Toc429074883"/>
      <w:bookmarkStart w:id="33" w:name="_Toc429127289"/>
      <w:bookmarkStart w:id="34" w:name="_Toc431144827"/>
      <w:bookmarkStart w:id="35" w:name="_Toc431144828"/>
      <w:bookmarkStart w:id="36" w:name="_Toc431144829"/>
      <w:bookmarkStart w:id="37" w:name="_Toc431144830"/>
      <w:bookmarkStart w:id="38" w:name="_Toc431144831"/>
      <w:bookmarkStart w:id="39" w:name="_Toc431144832"/>
      <w:bookmarkStart w:id="40" w:name="_Toc431144833"/>
      <w:bookmarkStart w:id="41" w:name="_Toc431144834"/>
      <w:bookmarkStart w:id="42" w:name="_Toc433203798"/>
      <w:bookmarkStart w:id="43" w:name="_Toc433203799"/>
      <w:bookmarkStart w:id="44" w:name="_Toc433203800"/>
      <w:bookmarkStart w:id="45" w:name="_Toc433203801"/>
      <w:bookmarkStart w:id="46" w:name="_Toc433203802"/>
      <w:bookmarkStart w:id="47" w:name="_Toc433203804"/>
      <w:bookmarkStart w:id="48" w:name="_Toc433203805"/>
      <w:bookmarkStart w:id="49" w:name="_Toc433203806"/>
      <w:bookmarkStart w:id="50" w:name="_Toc429074888"/>
      <w:bookmarkStart w:id="51" w:name="_Toc429127294"/>
      <w:bookmarkStart w:id="52" w:name="_Toc431144836"/>
      <w:bookmarkStart w:id="53" w:name="_Toc431144837"/>
      <w:bookmarkStart w:id="54" w:name="_Toc431144838"/>
      <w:bookmarkStart w:id="55" w:name="_Toc431144839"/>
      <w:bookmarkStart w:id="56" w:name="_Toc431144840"/>
      <w:bookmarkStart w:id="57" w:name="_Toc431144841"/>
      <w:bookmarkStart w:id="58" w:name="_Toc431144842"/>
      <w:bookmarkStart w:id="59" w:name="_Toc431144843"/>
      <w:bookmarkStart w:id="60" w:name="_Toc431144844"/>
      <w:bookmarkStart w:id="61" w:name="_Toc431144845"/>
      <w:bookmarkStart w:id="62" w:name="_Toc431144846"/>
      <w:bookmarkStart w:id="63" w:name="_Toc431144847"/>
      <w:bookmarkStart w:id="64" w:name="_Toc431144848"/>
      <w:bookmarkStart w:id="65" w:name="_Toc431144849"/>
      <w:bookmarkStart w:id="66" w:name="_Toc429074891"/>
      <w:bookmarkStart w:id="67" w:name="_Toc429127297"/>
      <w:bookmarkStart w:id="68" w:name="_Toc416447014"/>
      <w:bookmarkStart w:id="69" w:name="_Toc424032366"/>
      <w:bookmarkStart w:id="70" w:name="_Toc433203808"/>
      <w:bookmarkStart w:id="71" w:name="_Toc434340522"/>
      <w:bookmarkStart w:id="72" w:name="_Toc434395312"/>
      <w:bookmarkEnd w:id="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eastAsia="Calibri"/>
          <w:noProof/>
          <w:lang w:val="en-GB"/>
        </w:rPr>
        <w:t>Industry</w:t>
      </w:r>
      <w:bookmarkEnd w:id="68"/>
      <w:bookmarkEnd w:id="69"/>
      <w:bookmarkEnd w:id="70"/>
      <w:bookmarkEnd w:id="71"/>
      <w:bookmarkEnd w:id="72"/>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Final energy consumption of industry decreased in absolute terms from 327 Mtoe in 2005 to 277 Mtoe in 2013 (15%). All Member States reduced their levels compared to 2005, except Austria, Germany, Hungary and Latvia. </w:t>
      </w:r>
    </w:p>
    <w:p>
      <w:pPr>
        <w:pStyle w:val="Subtitle"/>
        <w:rPr>
          <w:rFonts w:eastAsia="Calibri" w:cs="Times New Roman"/>
          <w:noProof/>
        </w:rPr>
      </w:pPr>
      <w:r>
        <w:rPr>
          <w:rFonts w:eastAsia="Calibri" w:cs="Times New Roman"/>
          <w:noProof/>
        </w:rPr>
        <w:t>Figure 14: Industry sector, final energy consumption 2005 vs 2013</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drawing>
          <wp:inline distT="0" distB="0" distL="0" distR="0">
            <wp:extent cx="4985468" cy="3045637"/>
            <wp:effectExtent l="0" t="0" r="571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7301" cy="3046757"/>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short term, final energy consumption of industry increased from 2012 to 2013 in Austria, Belgium, Bulgaria, Cyprus, Estonia, France, Germany, Hungry, Poland, Spain and the United Kingdom. In their Annual Reports, Estonia and Poland indicated that this was due to changes in economic activity.</w:t>
      </w:r>
    </w:p>
    <w:p>
      <w:pPr>
        <w:spacing w:line="240" w:lineRule="auto"/>
        <w:jc w:val="both"/>
        <w:rPr>
          <w:noProof/>
        </w:rPr>
      </w:pPr>
      <w:r>
        <w:rPr>
          <w:rFonts w:ascii="Times New Roman" w:eastAsia="Calibri" w:hAnsi="Times New Roman" w:cs="Times New Roman"/>
          <w:noProof/>
          <w:sz w:val="24"/>
          <w:szCs w:val="24"/>
        </w:rPr>
        <w:t>For the industry sector, an important indicator of efficiency trends/progress is energy intensity</w:t>
      </w:r>
      <w:r>
        <w:rPr>
          <w:rStyle w:val="FootnoteReference"/>
          <w:rFonts w:ascii="Times New Roman" w:eastAsia="Calibri" w:hAnsi="Times New Roman" w:cs="Times New Roman"/>
          <w:noProof/>
          <w:sz w:val="24"/>
          <w:lang w:eastAsia="x-none"/>
        </w:rPr>
        <w:footnoteReference w:id="12"/>
      </w:r>
      <w:r>
        <w:rPr>
          <w:rFonts w:ascii="Times New Roman" w:eastAsia="Calibri" w:hAnsi="Times New Roman" w:cs="Times New Roman"/>
          <w:noProof/>
          <w:sz w:val="24"/>
          <w:szCs w:val="24"/>
        </w:rPr>
        <w:t xml:space="preserve"> as this is a relative indicator, which gives information about the amount of energy input needed to produce one unit of GDP. </w:t>
      </w:r>
      <w:r>
        <w:rPr>
          <w:rFonts w:ascii="Times New Roman" w:eastAsia="Calibri" w:hAnsi="Times New Roman" w:cs="Times New Roman"/>
          <w:noProof/>
          <w:sz w:val="24"/>
          <w:lang w:eastAsia="x-none"/>
        </w:rPr>
        <w:t>In figure 15 it can be observed that t</w:t>
      </w:r>
      <w:r>
        <w:rPr>
          <w:rFonts w:ascii="Times New Roman" w:eastAsia="Calibri" w:hAnsi="Times New Roman" w:cs="Times New Roman"/>
          <w:noProof/>
          <w:sz w:val="24"/>
          <w:szCs w:val="24"/>
        </w:rPr>
        <w:t>here is a significant difference between the energy intensity of industry in different Member States with a seven fold difference between the most energy intensive Member State, Bulgaria, and the least energy intensive ones: Denmark and Ireland. Whilst this is influenced by the share of energy-intensive industries, most Member States decreased energy intensity in the industry and construction sectors from 2005 to 2013, the exceptions being Greece, Hungary, Ireland and Latvia. Information on the economic structure of each Member State is provided in Annex II.</w:t>
      </w:r>
    </w:p>
    <w:p>
      <w:pPr>
        <w:pStyle w:val="Subtitle"/>
        <w:rPr>
          <w:rFonts w:eastAsia="Calibri" w:cs="Times New Roman"/>
          <w:noProof/>
        </w:rPr>
      </w:pPr>
      <w:r>
        <w:rPr>
          <w:rFonts w:eastAsia="Calibri" w:cs="Times New Roman"/>
          <w:noProof/>
        </w:rPr>
        <w:t xml:space="preserve">Figure 15: Energy intensity of industry in chain linked volumes 2005 (in ktoe/M€2005) </w:t>
      </w:r>
    </w:p>
    <w:p>
      <w:pPr>
        <w:rPr>
          <w:rFonts w:ascii="Times New Roman" w:hAnsi="Times New Roman" w:cs="Times New Roman"/>
          <w:noProof/>
        </w:rPr>
      </w:pPr>
      <w:r>
        <w:rPr>
          <w:rFonts w:ascii="Times New Roman" w:hAnsi="Times New Roman" w:cs="Times New Roman"/>
          <w:noProof/>
          <w:lang w:val="en-US"/>
        </w:rPr>
        <w:drawing>
          <wp:inline distT="0" distB="0" distL="0" distR="0">
            <wp:extent cx="5873667" cy="4074039"/>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3624" cy="4074009"/>
                    </a:xfrm>
                    <a:prstGeom prst="rect">
                      <a:avLst/>
                    </a:prstGeom>
                    <a:noFill/>
                  </pic:spPr>
                </pic:pic>
              </a:graphicData>
            </a:graphic>
          </wp:inline>
        </w:drawing>
      </w:r>
    </w:p>
    <w:p>
      <w:pPr>
        <w:pStyle w:val="Subtitle"/>
        <w:rPr>
          <w:rFonts w:eastAsia="Calibri"/>
          <w:noProof/>
        </w:rPr>
      </w:pPr>
      <w:r>
        <w:rPr>
          <w:rFonts w:eastAsia="Calibri" w:cs="Times New Roman"/>
          <w:noProof/>
        </w:rPr>
        <w:t>Source: Eurostat</w:t>
      </w:r>
      <w:r>
        <w:rPr>
          <w:rFonts w:eastAsia="Calibri"/>
          <w:noProof/>
        </w:rPr>
        <w:br w:type="page"/>
      </w:r>
    </w:p>
    <w:p>
      <w:pPr>
        <w:pStyle w:val="Heading2"/>
        <w:rPr>
          <w:noProof/>
        </w:rPr>
      </w:pPr>
      <w:bookmarkStart w:id="73" w:name="_Toc433203809"/>
      <w:bookmarkStart w:id="74" w:name="_Toc431144851"/>
      <w:bookmarkStart w:id="75" w:name="_Toc431144852"/>
      <w:bookmarkStart w:id="76" w:name="_Toc431144853"/>
      <w:bookmarkStart w:id="77" w:name="_Toc431144854"/>
      <w:bookmarkStart w:id="78" w:name="_Toc416447015"/>
      <w:bookmarkStart w:id="79" w:name="_Toc424032367"/>
      <w:bookmarkStart w:id="80" w:name="_Toc433203810"/>
      <w:bookmarkStart w:id="81" w:name="_Toc434340523"/>
      <w:bookmarkStart w:id="82" w:name="_Toc434395313"/>
      <w:bookmarkEnd w:id="73"/>
      <w:bookmarkEnd w:id="74"/>
      <w:bookmarkEnd w:id="75"/>
      <w:bookmarkEnd w:id="76"/>
      <w:bookmarkEnd w:id="77"/>
      <w:r>
        <w:rPr>
          <w:noProof/>
          <w:lang w:val="en-GB"/>
        </w:rPr>
        <w:t>R</w:t>
      </w:r>
      <w:r>
        <w:rPr>
          <w:noProof/>
        </w:rPr>
        <w:t>esidential sector</w:t>
      </w:r>
      <w:bookmarkEnd w:id="78"/>
      <w:bookmarkEnd w:id="79"/>
      <w:bookmarkEnd w:id="80"/>
      <w:bookmarkEnd w:id="81"/>
      <w:bookmarkEnd w:id="82"/>
    </w:p>
    <w:p>
      <w:pPr>
        <w:rPr>
          <w:rFonts w:eastAsia="Calibri" w:cs="Times New Roman"/>
          <w:noProof/>
        </w:rPr>
      </w:pPr>
      <w:r>
        <w:rPr>
          <w:rFonts w:ascii="Times New Roman" w:eastAsia="Calibri" w:hAnsi="Times New Roman" w:cs="Times New Roman"/>
          <w:noProof/>
          <w:sz w:val="24"/>
          <w:szCs w:val="24"/>
        </w:rPr>
        <w:t>Final energy consumption of residential buildings decreased in absolute terms from 306 Mtoe in 2005 to 296 Mtoe in 2013 (3%).</w:t>
      </w:r>
    </w:p>
    <w:p>
      <w:pPr>
        <w:pStyle w:val="Subtitle"/>
        <w:rPr>
          <w:rFonts w:eastAsia="Calibri" w:cs="Times New Roman"/>
          <w:noProof/>
        </w:rPr>
      </w:pPr>
      <w:r>
        <w:rPr>
          <w:rFonts w:eastAsia="Calibri" w:cs="Times New Roman"/>
          <w:noProof/>
        </w:rPr>
        <w:t>Figure 16: Residential sector, final energy consumption 2005 vs 2013</w:t>
      </w:r>
    </w:p>
    <w:p>
      <w:pPr>
        <w:pStyle w:val="Subtitle"/>
        <w:rPr>
          <w:rFonts w:eastAsia="Calibri" w:cs="Times New Roman"/>
          <w:noProof/>
        </w:rPr>
      </w:pPr>
      <w:r>
        <w:rPr>
          <w:rFonts w:eastAsia="Calibri" w:cs="Times New Roman"/>
          <w:noProof/>
          <w:lang w:val="en-US"/>
        </w:rPr>
        <w:drawing>
          <wp:inline distT="0" distB="0" distL="0" distR="0">
            <wp:extent cx="5820355" cy="3555672"/>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0749" cy="3555913"/>
                    </a:xfrm>
                    <a:prstGeom prst="rect">
                      <a:avLst/>
                    </a:prstGeom>
                    <a:noFill/>
                  </pic:spPr>
                </pic:pic>
              </a:graphicData>
            </a:graphic>
          </wp:inline>
        </w:drawing>
      </w:r>
      <w:r>
        <w:rPr>
          <w:rFonts w:eastAsia="Calibri" w:cs="Times New Roman"/>
          <w:noProof/>
        </w:rPr>
        <w:t>Source: Eurostat</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 xml:space="preserve">In 2013, final energy consumption increased in the residential sector for Austria, Belgium, Czech Republic, France, Germany, Ireland, the Netherlands, Slovakia and the United Kingdom compared to 2012. Belgium and Germany explained in their Annual Reports that 2013 was a colder year than 2012 and France indicated that the use of electrical heating appliances and the prevalence of electronic equipment in homes increased.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Energy consumption of the residential sector per capita is one of the indicators that can be calculated on the basis of the data provided in the Annual Reports by Member States. Malta and Portugal have the lowest energy consumption per capita. However, when the effect of different climate conditions (through normalization with the heating degree days of each country) is taken into consideration, Bulgaria and Lithuania have the lowest per capita final consumption, followed by Romania, Slovakia and Sweden. Malta and Cyprus have the highest values as shown in figure 17.</w:t>
      </w:r>
      <w:r>
        <w:rPr>
          <w:rStyle w:val="FootnoteReference"/>
          <w:rFonts w:ascii="Times New Roman" w:eastAsia="Calibri" w:hAnsi="Times New Roman" w:cs="Times New Roman"/>
          <w:noProof/>
          <w:sz w:val="24"/>
          <w:lang w:eastAsia="x-none"/>
        </w:rPr>
        <w:footnoteReference w:id="13"/>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To account for colder climatic conditions, residential energy consumption per capita can be normalised with heating degree days. When comparing 2005 with 2013 data, Bulgaria</w:t>
      </w:r>
      <w:r>
        <w:rPr>
          <w:rFonts w:ascii="Times New Roman" w:hAnsi="Times New Roman"/>
          <w:noProof/>
          <w:sz w:val="24"/>
          <w:szCs w:val="24"/>
        </w:rPr>
        <w:t>’</w:t>
      </w:r>
      <w:r>
        <w:rPr>
          <w:rFonts w:ascii="Times New Roman" w:eastAsia="Calibri" w:hAnsi="Times New Roman" w:cs="Times New Roman"/>
          <w:noProof/>
          <w:sz w:val="24"/>
          <w:lang w:eastAsia="x-none"/>
        </w:rPr>
        <w:t>s consumption increased by 23</w:t>
      </w:r>
      <w:r>
        <w:rPr>
          <w:rFonts w:ascii="Times New Roman" w:hAnsi="Times New Roman"/>
          <w:noProof/>
          <w:sz w:val="24"/>
          <w:szCs w:val="24"/>
        </w:rPr>
        <w:t> </w:t>
      </w:r>
      <w:r>
        <w:rPr>
          <w:rFonts w:ascii="Times New Roman" w:eastAsia="Calibri" w:hAnsi="Times New Roman" w:cs="Times New Roman"/>
          <w:noProof/>
          <w:sz w:val="24"/>
          <w:lang w:eastAsia="x-none"/>
        </w:rPr>
        <w:t>%, Estonia</w:t>
      </w:r>
      <w:r>
        <w:rPr>
          <w:rFonts w:ascii="Times New Roman" w:hAnsi="Times New Roman"/>
          <w:noProof/>
          <w:sz w:val="24"/>
          <w:szCs w:val="24"/>
        </w:rPr>
        <w:t>’</w:t>
      </w:r>
      <w:r>
        <w:rPr>
          <w:rFonts w:ascii="Times New Roman" w:eastAsia="Calibri" w:hAnsi="Times New Roman" w:cs="Times New Roman"/>
          <w:noProof/>
          <w:sz w:val="24"/>
          <w:lang w:eastAsia="x-none"/>
        </w:rPr>
        <w:t>s 12</w:t>
      </w:r>
      <w:r>
        <w:rPr>
          <w:rFonts w:ascii="Times New Roman" w:hAnsi="Times New Roman"/>
          <w:noProof/>
          <w:sz w:val="24"/>
          <w:szCs w:val="24"/>
        </w:rPr>
        <w:t> </w:t>
      </w:r>
      <w:r>
        <w:rPr>
          <w:rFonts w:ascii="Times New Roman" w:eastAsia="Calibri" w:hAnsi="Times New Roman" w:cs="Times New Roman"/>
          <w:noProof/>
          <w:sz w:val="24"/>
          <w:lang w:eastAsia="x-none"/>
        </w:rPr>
        <w:t>%, Croatia</w:t>
      </w:r>
      <w:r>
        <w:rPr>
          <w:rFonts w:ascii="Times New Roman" w:hAnsi="Times New Roman"/>
          <w:noProof/>
          <w:sz w:val="24"/>
          <w:szCs w:val="24"/>
        </w:rPr>
        <w:t>’</w:t>
      </w:r>
      <w:r>
        <w:rPr>
          <w:rFonts w:ascii="Times New Roman" w:eastAsia="Calibri" w:hAnsi="Times New Roman" w:cs="Times New Roman"/>
          <w:noProof/>
          <w:sz w:val="24"/>
          <w:lang w:eastAsia="x-none"/>
        </w:rPr>
        <w:t>s 7</w:t>
      </w:r>
      <w:r>
        <w:rPr>
          <w:rFonts w:ascii="Times New Roman" w:hAnsi="Times New Roman"/>
          <w:noProof/>
          <w:sz w:val="24"/>
          <w:szCs w:val="24"/>
        </w:rPr>
        <w:t> </w:t>
      </w:r>
      <w:r>
        <w:rPr>
          <w:rFonts w:ascii="Times New Roman" w:eastAsia="Calibri" w:hAnsi="Times New Roman" w:cs="Times New Roman"/>
          <w:noProof/>
          <w:sz w:val="24"/>
          <w:lang w:eastAsia="x-none"/>
        </w:rPr>
        <w:t>%, Italy</w:t>
      </w:r>
      <w:r>
        <w:rPr>
          <w:rFonts w:ascii="Times New Roman" w:hAnsi="Times New Roman"/>
          <w:noProof/>
          <w:sz w:val="24"/>
          <w:szCs w:val="24"/>
        </w:rPr>
        <w:t>’</w:t>
      </w:r>
      <w:r>
        <w:rPr>
          <w:rFonts w:ascii="Times New Roman" w:eastAsia="Calibri" w:hAnsi="Times New Roman" w:cs="Times New Roman"/>
          <w:noProof/>
          <w:sz w:val="24"/>
          <w:lang w:eastAsia="x-none"/>
        </w:rPr>
        <w:t>s 12</w:t>
      </w:r>
      <w:r>
        <w:rPr>
          <w:rFonts w:ascii="Times New Roman" w:hAnsi="Times New Roman"/>
          <w:noProof/>
          <w:sz w:val="24"/>
          <w:szCs w:val="24"/>
        </w:rPr>
        <w:t> </w:t>
      </w:r>
      <w:r>
        <w:rPr>
          <w:rFonts w:ascii="Times New Roman" w:eastAsia="Calibri" w:hAnsi="Times New Roman" w:cs="Times New Roman"/>
          <w:noProof/>
          <w:sz w:val="24"/>
          <w:lang w:eastAsia="x-none"/>
        </w:rPr>
        <w:t>%, Lithuania</w:t>
      </w:r>
      <w:r>
        <w:rPr>
          <w:rFonts w:ascii="Times New Roman" w:hAnsi="Times New Roman"/>
          <w:noProof/>
          <w:sz w:val="24"/>
          <w:szCs w:val="24"/>
        </w:rPr>
        <w:t>’</w:t>
      </w:r>
      <w:r>
        <w:rPr>
          <w:rFonts w:ascii="Times New Roman" w:eastAsia="Calibri" w:hAnsi="Times New Roman" w:cs="Times New Roman"/>
          <w:noProof/>
          <w:sz w:val="24"/>
          <w:lang w:eastAsia="x-none"/>
        </w:rPr>
        <w:t>s 14</w:t>
      </w:r>
      <w:r>
        <w:rPr>
          <w:rFonts w:ascii="Times New Roman" w:hAnsi="Times New Roman"/>
          <w:noProof/>
          <w:sz w:val="24"/>
          <w:szCs w:val="24"/>
        </w:rPr>
        <w:t> </w:t>
      </w:r>
      <w:r>
        <w:rPr>
          <w:rFonts w:ascii="Times New Roman" w:eastAsia="Calibri" w:hAnsi="Times New Roman" w:cs="Times New Roman"/>
          <w:noProof/>
          <w:sz w:val="24"/>
          <w:lang w:eastAsia="x-none"/>
        </w:rPr>
        <w:t>%, Malta</w:t>
      </w:r>
      <w:r>
        <w:rPr>
          <w:rFonts w:ascii="Times New Roman" w:hAnsi="Times New Roman"/>
          <w:noProof/>
          <w:sz w:val="24"/>
          <w:szCs w:val="24"/>
        </w:rPr>
        <w:t>’</w:t>
      </w:r>
      <w:r>
        <w:rPr>
          <w:rFonts w:ascii="Times New Roman" w:eastAsia="Calibri" w:hAnsi="Times New Roman" w:cs="Times New Roman"/>
          <w:noProof/>
          <w:sz w:val="24"/>
          <w:lang w:eastAsia="x-none"/>
        </w:rPr>
        <w:t>s 51</w:t>
      </w:r>
      <w:r>
        <w:rPr>
          <w:rFonts w:ascii="Times New Roman" w:hAnsi="Times New Roman"/>
          <w:noProof/>
          <w:sz w:val="24"/>
          <w:szCs w:val="24"/>
        </w:rPr>
        <w:t> </w:t>
      </w:r>
      <w:r>
        <w:rPr>
          <w:rFonts w:ascii="Times New Roman" w:eastAsia="Calibri" w:hAnsi="Times New Roman" w:cs="Times New Roman"/>
          <w:noProof/>
          <w:sz w:val="24"/>
          <w:lang w:eastAsia="x-none"/>
        </w:rPr>
        <w:t>%, Poland</w:t>
      </w:r>
      <w:r>
        <w:rPr>
          <w:rFonts w:ascii="Times New Roman" w:hAnsi="Times New Roman"/>
          <w:noProof/>
          <w:sz w:val="24"/>
          <w:szCs w:val="24"/>
        </w:rPr>
        <w:t>’</w:t>
      </w:r>
      <w:r>
        <w:rPr>
          <w:rFonts w:ascii="Times New Roman" w:eastAsia="Calibri" w:hAnsi="Times New Roman" w:cs="Times New Roman"/>
          <w:noProof/>
          <w:sz w:val="24"/>
          <w:lang w:eastAsia="x-none"/>
        </w:rPr>
        <w:t>s 6</w:t>
      </w:r>
      <w:r>
        <w:rPr>
          <w:rFonts w:ascii="Times New Roman" w:hAnsi="Times New Roman"/>
          <w:noProof/>
          <w:sz w:val="24"/>
          <w:szCs w:val="24"/>
        </w:rPr>
        <w:t> </w:t>
      </w:r>
      <w:r>
        <w:rPr>
          <w:rFonts w:ascii="Times New Roman" w:eastAsia="Calibri" w:hAnsi="Times New Roman" w:cs="Times New Roman"/>
          <w:noProof/>
          <w:sz w:val="24"/>
          <w:lang w:eastAsia="x-none"/>
        </w:rPr>
        <w:t>%, Romania</w:t>
      </w:r>
      <w:r>
        <w:rPr>
          <w:rFonts w:ascii="Times New Roman" w:hAnsi="Times New Roman"/>
          <w:noProof/>
          <w:sz w:val="24"/>
          <w:szCs w:val="24"/>
        </w:rPr>
        <w:t>’</w:t>
      </w:r>
      <w:r>
        <w:rPr>
          <w:rFonts w:ascii="Times New Roman" w:eastAsia="Calibri" w:hAnsi="Times New Roman" w:cs="Times New Roman"/>
          <w:noProof/>
          <w:sz w:val="24"/>
          <w:lang w:eastAsia="x-none"/>
        </w:rPr>
        <w:t>s 14</w:t>
      </w:r>
      <w:r>
        <w:rPr>
          <w:rFonts w:ascii="Times New Roman" w:hAnsi="Times New Roman"/>
          <w:noProof/>
          <w:sz w:val="24"/>
          <w:szCs w:val="24"/>
        </w:rPr>
        <w:t> </w:t>
      </w:r>
      <w:r>
        <w:rPr>
          <w:rFonts w:ascii="Times New Roman" w:eastAsia="Calibri" w:hAnsi="Times New Roman" w:cs="Times New Roman"/>
          <w:noProof/>
          <w:sz w:val="24"/>
          <w:lang w:eastAsia="x-none"/>
        </w:rPr>
        <w:t>% and Slovenia</w:t>
      </w:r>
      <w:r>
        <w:rPr>
          <w:rFonts w:ascii="Times New Roman" w:hAnsi="Times New Roman"/>
          <w:noProof/>
          <w:sz w:val="24"/>
          <w:szCs w:val="24"/>
        </w:rPr>
        <w:t>’</w:t>
      </w:r>
      <w:r>
        <w:rPr>
          <w:rFonts w:ascii="Times New Roman" w:eastAsia="Calibri" w:hAnsi="Times New Roman" w:cs="Times New Roman"/>
          <w:noProof/>
          <w:sz w:val="24"/>
          <w:lang w:eastAsia="x-none"/>
        </w:rPr>
        <w:t>s 3</w:t>
      </w:r>
      <w:r>
        <w:rPr>
          <w:rFonts w:ascii="Times New Roman" w:hAnsi="Times New Roman"/>
          <w:noProof/>
          <w:sz w:val="24"/>
          <w:szCs w:val="24"/>
        </w:rPr>
        <w:t> </w:t>
      </w:r>
      <w:r>
        <w:rPr>
          <w:rFonts w:ascii="Times New Roman" w:eastAsia="Calibri" w:hAnsi="Times New Roman" w:cs="Times New Roman"/>
          <w:noProof/>
          <w:sz w:val="24"/>
          <w:lang w:eastAsia="x-none"/>
        </w:rPr>
        <w:t xml:space="preserve">%. One explanation for this could be an increase </w:t>
      </w:r>
      <w:r>
        <w:rPr>
          <w:rFonts w:ascii="Times New Roman" w:hAnsi="Times New Roman"/>
          <w:noProof/>
          <w:sz w:val="24"/>
          <w:szCs w:val="24"/>
        </w:rPr>
        <w:t xml:space="preserve">in households’ </w:t>
      </w:r>
      <w:r>
        <w:rPr>
          <w:rFonts w:ascii="Times New Roman" w:eastAsia="Calibri" w:hAnsi="Times New Roman" w:cs="Times New Roman"/>
          <w:noProof/>
          <w:sz w:val="24"/>
          <w:lang w:eastAsia="x-none"/>
        </w:rPr>
        <w:t xml:space="preserve">disposable income (as was the case in Bulgaria, Estonia, Lithuania, Poland, and Romania) which could have resulted in a higher demand for thermal comfort, a higher number of domestic appliances, or larger dwellings. Figure 17 below shows how the indicator developed on average over the period. </w:t>
      </w:r>
    </w:p>
    <w:p>
      <w:pPr>
        <w:pStyle w:val="Subtitle"/>
        <w:rPr>
          <w:rFonts w:eastAsia="Calibri" w:cs="Times New Roman"/>
          <w:noProof/>
        </w:rPr>
      </w:pPr>
      <w:r>
        <w:rPr>
          <w:rFonts w:eastAsia="Calibri" w:cs="Times New Roman"/>
          <w:noProof/>
        </w:rPr>
        <w:t>Figure 17: Final energy consumption in the residential sector per capita (HDD normalized)</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67105" cy="3062372"/>
            <wp:effectExtent l="0" t="0" r="63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7157" cy="3062399"/>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This indicator does not fully reflect impacts of energy efficiency measures as energy efficiency policies are often targeted to address household/dwelling and the relevant inhabitants sharing the energy services in this dwelling. Therefore, another useful indicator is final energy consumption per square metre. Eurostat does not collect this data but findings from the Odyssee-Mure project</w:t>
      </w:r>
      <w:r>
        <w:rPr>
          <w:rStyle w:val="FootnoteReference"/>
          <w:rFonts w:ascii="Times New Roman" w:eastAsia="Calibri" w:hAnsi="Times New Roman" w:cs="Times New Roman"/>
          <w:noProof/>
          <w:sz w:val="24"/>
          <w:lang w:eastAsia="x-none"/>
        </w:rPr>
        <w:footnoteReference w:id="14"/>
      </w:r>
      <w:r>
        <w:rPr>
          <w:rFonts w:ascii="Times New Roman" w:eastAsia="Calibri" w:hAnsi="Times New Roman" w:cs="Times New Roman"/>
          <w:noProof/>
          <w:sz w:val="24"/>
          <w:lang w:eastAsia="x-none"/>
        </w:rPr>
        <w:t xml:space="preserve"> can be taken into account. The data from Odyssee-Mure show that between 2005 and 2013 energy consumption per square metre decreased in all Member States except in Italy where it increased by 10%, and Estonia, where it was constant.</w:t>
      </w:r>
      <w:r>
        <w:rPr>
          <w:rStyle w:val="FootnoteReference"/>
          <w:rFonts w:ascii="Times New Roman" w:hAnsi="Times New Roman" w:cs="Times New Roman"/>
          <w:noProof/>
          <w:lang w:eastAsia="x-none"/>
        </w:rPr>
        <w:footnoteReference w:id="15"/>
      </w:r>
      <w:r>
        <w:rPr>
          <w:rFonts w:ascii="Times New Roman" w:eastAsia="Calibri" w:hAnsi="Times New Roman" w:cs="Times New Roman"/>
          <w:noProof/>
          <w:sz w:val="24"/>
          <w:lang w:eastAsia="x-none"/>
        </w:rPr>
        <w:t xml:space="preserve"> </w:t>
      </w:r>
    </w:p>
    <w:p>
      <w:pPr>
        <w:rPr>
          <w:noProof/>
        </w:rPr>
      </w:pPr>
      <w:r>
        <w:rPr>
          <w:noProof/>
        </w:rPr>
        <w:br w:type="page"/>
      </w:r>
    </w:p>
    <w:p>
      <w:pPr>
        <w:pStyle w:val="Subtitle"/>
        <w:rPr>
          <w:rFonts w:eastAsia="Calibri" w:cs="Times New Roman"/>
          <w:noProof/>
        </w:rPr>
      </w:pPr>
      <w:r>
        <w:rPr>
          <w:rFonts w:eastAsia="Calibri" w:cs="Times New Roman"/>
          <w:noProof/>
        </w:rPr>
        <w:t>Figure 18: Unit consumption per square meter with climatic corrections</w:t>
      </w:r>
    </w:p>
    <w:p>
      <w:pPr>
        <w:pStyle w:val="Text1"/>
        <w:ind w:left="0"/>
        <w:rPr>
          <w:noProof/>
          <w:lang w:eastAsia="x-none"/>
        </w:rPr>
      </w:pPr>
      <w:r>
        <w:rPr>
          <w:noProof/>
          <w:lang w:val="en-US"/>
        </w:rPr>
        <w:drawing>
          <wp:inline distT="0" distB="0" distL="0" distR="0">
            <wp:extent cx="5860112" cy="3188277"/>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2646" cy="3189656"/>
                    </a:xfrm>
                    <a:prstGeom prst="rect">
                      <a:avLst/>
                    </a:prstGeom>
                    <a:noFill/>
                  </pic:spPr>
                </pic:pic>
              </a:graphicData>
            </a:graphic>
          </wp:inline>
        </w:drawing>
      </w:r>
    </w:p>
    <w:p>
      <w:pPr>
        <w:pStyle w:val="Subtitle"/>
        <w:rPr>
          <w:rFonts w:cs="Times New Roman"/>
          <w:noProof/>
          <w:lang w:eastAsia="x-none"/>
        </w:rPr>
      </w:pPr>
      <w:r>
        <w:rPr>
          <w:rFonts w:eastAsia="Calibri" w:cs="Times New Roman"/>
          <w:noProof/>
        </w:rPr>
        <w:t>Source: Odyssee-Mure</w:t>
      </w:r>
    </w:p>
    <w:p>
      <w:pPr>
        <w:pStyle w:val="Heading2"/>
        <w:rPr>
          <w:noProof/>
          <w:lang w:val="en-GB"/>
        </w:rPr>
      </w:pPr>
      <w:bookmarkStart w:id="83" w:name="_Toc429074894"/>
      <w:bookmarkStart w:id="84" w:name="_Toc429127300"/>
      <w:bookmarkStart w:id="85" w:name="_Toc429074895"/>
      <w:bookmarkStart w:id="86" w:name="_Toc429127301"/>
      <w:bookmarkStart w:id="87" w:name="_Toc416447017"/>
      <w:bookmarkStart w:id="88" w:name="_Toc424032369"/>
      <w:bookmarkStart w:id="89" w:name="_Toc433203811"/>
      <w:bookmarkStart w:id="90" w:name="_Toc434340524"/>
      <w:bookmarkStart w:id="91" w:name="_Toc434395314"/>
      <w:bookmarkEnd w:id="83"/>
      <w:bookmarkEnd w:id="84"/>
      <w:bookmarkEnd w:id="85"/>
      <w:bookmarkEnd w:id="86"/>
      <w:r>
        <w:rPr>
          <w:noProof/>
          <w:lang w:val="en-GB"/>
        </w:rPr>
        <w:t>S</w:t>
      </w:r>
      <w:r>
        <w:rPr>
          <w:noProof/>
        </w:rPr>
        <w:t>ervice</w:t>
      </w:r>
      <w:r>
        <w:rPr>
          <w:noProof/>
          <w:lang w:val="en-GB"/>
        </w:rPr>
        <w:t xml:space="preserve"> sector</w:t>
      </w:r>
      <w:bookmarkEnd w:id="87"/>
      <w:bookmarkEnd w:id="88"/>
      <w:bookmarkEnd w:id="89"/>
      <w:bookmarkEnd w:id="90"/>
      <w:bookmarkEnd w:id="91"/>
    </w:p>
    <w:p>
      <w:pPr>
        <w:pStyle w:val="Text1"/>
        <w:ind w:left="0"/>
        <w:rPr>
          <w:noProof/>
          <w:lang w:eastAsia="x-none"/>
        </w:rPr>
      </w:pPr>
      <w:r>
        <w:rPr>
          <w:noProof/>
          <w:lang w:eastAsia="x-none"/>
        </w:rPr>
        <w:t xml:space="preserve">The added value of the service sector increased by 11% from 2005 to 2013, whereas the final energy consumption of this sector increased from 144 Mtoe in 2005 by 6% to 153 Mtoe in 2013. </w:t>
      </w:r>
    </w:p>
    <w:p>
      <w:pPr>
        <w:pStyle w:val="Subtitle"/>
        <w:rPr>
          <w:rFonts w:eastAsia="Calibri" w:cs="Times New Roman"/>
          <w:noProof/>
        </w:rPr>
      </w:pPr>
      <w:r>
        <w:rPr>
          <w:rFonts w:eastAsia="Calibri" w:cs="Times New Roman"/>
          <w:noProof/>
        </w:rPr>
        <w:t>Figure 19: Service sector, final energy consumption 2005 vs 2013</w:t>
      </w:r>
    </w:p>
    <w:p>
      <w:pPr>
        <w:pStyle w:val="Text1"/>
        <w:ind w:left="0"/>
        <w:rPr>
          <w:noProof/>
          <w:lang w:eastAsia="x-none"/>
        </w:rPr>
      </w:pPr>
      <w:r>
        <w:rPr>
          <w:noProof/>
          <w:lang w:val="en-US"/>
        </w:rPr>
        <w:drawing>
          <wp:inline distT="0" distB="0" distL="0" distR="0">
            <wp:extent cx="5866763" cy="3586038"/>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2145" cy="3589328"/>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pStyle w:val="Text1"/>
        <w:ind w:left="0"/>
        <w:rPr>
          <w:noProof/>
          <w:lang w:eastAsia="x-none"/>
        </w:rPr>
      </w:pPr>
      <w:r>
        <w:rPr>
          <w:noProof/>
          <w:lang w:eastAsia="x-none"/>
        </w:rPr>
        <w:t>The energy intensity of the service sector (normalised with heating degree days) of EU-28 decreased between 2005 and 2013 by 5%.</w:t>
      </w:r>
      <w:r>
        <w:rPr>
          <w:rStyle w:val="FootnoteReference"/>
          <w:noProof/>
          <w:lang w:eastAsia="x-none"/>
        </w:rPr>
        <w:footnoteReference w:id="16"/>
      </w:r>
      <w:r>
        <w:rPr>
          <w:noProof/>
          <w:lang w:eastAsia="x-none"/>
        </w:rPr>
        <w:t xml:space="preserve"> The Member States that improved their energy intensity in the service sector (heating degree day normalized) most between 2005 and 2013 were Austria (-20%), Hungary (-26%), Ireland (-37%) and Portugal (-21%). Bulgaria, Croatia, Finland, Greece, Italy, Luxembourg and Spain increased their energy intensity over this period. </w:t>
      </w:r>
    </w:p>
    <w:p>
      <w:pPr>
        <w:pStyle w:val="Subtitle"/>
        <w:rPr>
          <w:rFonts w:eastAsia="Calibri" w:cs="Times New Roman"/>
          <w:noProof/>
        </w:rPr>
      </w:pPr>
      <w:r>
        <w:rPr>
          <w:rFonts w:eastAsia="Calibri" w:cs="Times New Roman"/>
          <w:noProof/>
        </w:rPr>
        <w:t xml:space="preserve">Figure 20: Final energy consumption intensity of the service sector (HDD normalized)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36258" cy="304212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33092" cy="3040479"/>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pStyle w:val="Text1"/>
        <w:ind w:left="0"/>
        <w:rPr>
          <w:noProof/>
          <w:lang w:eastAsia="x-none"/>
        </w:rPr>
      </w:pPr>
      <w:r>
        <w:rPr>
          <w:noProof/>
          <w:lang w:eastAsia="x-none"/>
        </w:rPr>
        <w:t>In 2013, final energy consumption of the service sector increased in Belgium, Czech Republic, France, Germany, Italy, Luxembourg, the Netherlands, Romania, Slovenia and Slovakia compared to 2012 levels. In their Annual Reports 2015, those Member States indicated that this increase was mainly attributable to weather-related factors and to growth in this sector which resulted in the opening of new facilities or the extension of existing facilities.</w:t>
      </w:r>
    </w:p>
    <w:p>
      <w:pPr>
        <w:rPr>
          <w:rFonts w:ascii="Times New Roman" w:eastAsia="Calibri" w:hAnsi="Times New Roman" w:cs="Times New Roman"/>
          <w:noProof/>
          <w:sz w:val="24"/>
        </w:rPr>
      </w:pPr>
      <w:r>
        <w:rPr>
          <w:noProof/>
        </w:rPr>
        <w:br w:type="page"/>
      </w:r>
    </w:p>
    <w:p>
      <w:pPr>
        <w:pStyle w:val="Heading2"/>
        <w:rPr>
          <w:noProof/>
          <w:lang w:val="en-GB"/>
        </w:rPr>
      </w:pPr>
      <w:bookmarkStart w:id="92" w:name="_Toc431144857"/>
      <w:bookmarkStart w:id="93" w:name="_Toc429074897"/>
      <w:bookmarkStart w:id="94" w:name="_Toc429127303"/>
      <w:bookmarkStart w:id="95" w:name="_Toc429074898"/>
      <w:bookmarkStart w:id="96" w:name="_Toc429127304"/>
      <w:bookmarkStart w:id="97" w:name="_Toc429074899"/>
      <w:bookmarkStart w:id="98" w:name="_Toc429127305"/>
      <w:bookmarkStart w:id="99" w:name="_Toc429074900"/>
      <w:bookmarkStart w:id="100" w:name="_Toc429127306"/>
      <w:bookmarkStart w:id="101" w:name="_Toc429074901"/>
      <w:bookmarkStart w:id="102" w:name="_Toc429127307"/>
      <w:bookmarkStart w:id="103" w:name="_Toc429074902"/>
      <w:bookmarkStart w:id="104" w:name="_Toc429127308"/>
      <w:bookmarkStart w:id="105" w:name="_Toc429074903"/>
      <w:bookmarkStart w:id="106" w:name="_Toc429127309"/>
      <w:bookmarkStart w:id="107" w:name="_Toc416447016"/>
      <w:bookmarkStart w:id="108" w:name="_Toc424032368"/>
      <w:bookmarkStart w:id="109" w:name="_Toc433203812"/>
      <w:bookmarkStart w:id="110" w:name="_Toc434340525"/>
      <w:bookmarkStart w:id="111" w:name="_Toc434395315"/>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noProof/>
          <w:lang w:val="en-GB"/>
        </w:rPr>
        <w:t>T</w:t>
      </w:r>
      <w:r>
        <w:rPr>
          <w:noProof/>
        </w:rPr>
        <w:t>ransport</w:t>
      </w:r>
      <w:bookmarkEnd w:id="107"/>
      <w:bookmarkEnd w:id="108"/>
      <w:r>
        <w:rPr>
          <w:noProof/>
          <w:lang w:val="en-GB"/>
        </w:rPr>
        <w:t xml:space="preserve"> sector</w:t>
      </w:r>
      <w:bookmarkEnd w:id="109"/>
      <w:bookmarkEnd w:id="110"/>
      <w:bookmarkEnd w:id="111"/>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Final energy consumption in transport</w:t>
      </w:r>
      <w:r>
        <w:rPr>
          <w:rStyle w:val="FootnoteReference"/>
          <w:rFonts w:ascii="Times New Roman" w:eastAsia="Calibri" w:hAnsi="Times New Roman" w:cs="Times New Roman"/>
          <w:noProof/>
          <w:sz w:val="24"/>
          <w:szCs w:val="24"/>
        </w:rPr>
        <w:footnoteReference w:id="17"/>
      </w:r>
      <w:r>
        <w:rPr>
          <w:rFonts w:ascii="Times New Roman" w:eastAsia="Calibri" w:hAnsi="Times New Roman" w:cs="Times New Roman"/>
          <w:noProof/>
          <w:sz w:val="24"/>
          <w:szCs w:val="24"/>
        </w:rPr>
        <w:t xml:space="preserve"> decreased from 370 Mtoe in 2005 to 349 Mtoe in 2013 (decrease of 6%).</w:t>
      </w:r>
    </w:p>
    <w:p>
      <w:pPr>
        <w:pStyle w:val="Subtitle"/>
        <w:rPr>
          <w:rFonts w:eastAsia="Calibri" w:cs="Times New Roman"/>
          <w:noProof/>
        </w:rPr>
      </w:pPr>
      <w:r>
        <w:rPr>
          <w:rFonts w:eastAsia="Calibri" w:cs="Times New Roman"/>
          <w:noProof/>
        </w:rPr>
        <w:t>Figure 21: Transport sector, final energy consumption 2005 vs 2013</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52160" cy="3575101"/>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1685" cy="3574811"/>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In relative terms, the highest reductions in final energy consumption in the transport sector were registered in Greece, Ireland and Spain. Consumption increased slightly in Croatia, Finland and Germany and a considerable increase was recorded in Lithuania, Malta, Poland, Romania, Slovakia and Slovenia.</w:t>
      </w:r>
      <w:r>
        <w:rPr>
          <w:noProof/>
        </w:rPr>
        <w:t xml:space="preserve"> </w:t>
      </w:r>
      <w:r>
        <w:rPr>
          <w:rFonts w:ascii="Times New Roman" w:eastAsia="Calibri" w:hAnsi="Times New Roman" w:cs="Times New Roman"/>
          <w:noProof/>
          <w:sz w:val="24"/>
          <w:lang w:eastAsia="x-none"/>
        </w:rPr>
        <w:t xml:space="preserve">Most of the increase originated from road transport. Comparison between Member States have to be undertaken with caution because final energy consumption is based on the fuels sold rather than on the fuel used on the territory of a country. Therefore, factors other than energy efficiency come into play e.g. the degree to which a given Member State is a ‘transit country’ for road transport or a hub for aviation. </w:t>
      </w:r>
    </w:p>
    <w:p>
      <w:pPr>
        <w:rPr>
          <w:noProof/>
        </w:rPr>
      </w:pPr>
      <w:r>
        <w:rPr>
          <w:noProof/>
        </w:rPr>
        <w:br w:type="page"/>
      </w:r>
    </w:p>
    <w:p>
      <w:pPr>
        <w:pStyle w:val="Subtitle"/>
        <w:rPr>
          <w:rFonts w:eastAsia="Calibri" w:cs="Times New Roman"/>
          <w:noProof/>
        </w:rPr>
      </w:pPr>
      <w:r>
        <w:rPr>
          <w:rFonts w:eastAsia="Calibri" w:cs="Times New Roman"/>
          <w:noProof/>
        </w:rPr>
        <w:t>Figure 22: 2005-2013 Average annual change of FEC transport in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16010" cy="3256086"/>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4702" cy="3255354"/>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To provide an in-depth analysis of the evolution of energy efficiency in transport, it would be appropriate to strip out the effects of economic growth and to look at physical indicators (energy used per tonne of goods transported for freight; energy used per kilometre travelled by passengers in the case of passenger transport). Currently, Member States do not provide Eurostat with the split of final energy consumption by passenger and freight transport and the traffic activity expressed in passenger-kilometres and tonne-kilometres cannot therefore be aggregated. Therefore, official statistics are not available at this stage for providing meaningful energy intensity indicators for the transport sector but data availability will be further explored in the future. For those Member States that have notified the relevant data to Eurostat, the trends of total final energy consumption compared to passenger-kilometres and tonne-kilometres are shown for Member States in Annex II.</w:t>
      </w:r>
    </w:p>
    <w:p>
      <w:pPr>
        <w:spacing w:line="240" w:lineRule="auto"/>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Eurostat provides the percentage of public transport (trains, motor coaches, buses and trolley buses).</w:t>
      </w:r>
      <w:r>
        <w:rPr>
          <w:rStyle w:val="FootnoteReference"/>
          <w:rFonts w:ascii="Times New Roman" w:hAnsi="Times New Roman" w:cs="Times New Roman"/>
          <w:noProof/>
          <w:sz w:val="24"/>
          <w:szCs w:val="24"/>
          <w:lang w:eastAsia="x-none"/>
        </w:rPr>
        <w:footnoteReference w:id="18"/>
      </w:r>
      <w:r>
        <w:rPr>
          <w:rFonts w:ascii="Times New Roman" w:hAnsi="Times New Roman" w:cs="Times New Roman"/>
          <w:noProof/>
          <w:sz w:val="24"/>
          <w:szCs w:val="24"/>
          <w:lang w:eastAsia="x-none"/>
        </w:rPr>
        <w:t xml:space="preserve"> Between 2005 and 2013 the share of public transport increased in Austria, Belgium, Croatia, Czech Republic, Finland, Greece, Hungary, Luxembourg, the Netherlands, the United Kingdom, Portugal, Slovenia, Spain and Sweden. In the remaining Member States the share of passenger cars increased (no data were available for Cyprus and Malta).</w:t>
      </w:r>
    </w:p>
    <w:p>
      <w:pPr>
        <w:rPr>
          <w:noProof/>
        </w:rPr>
      </w:pPr>
      <w:r>
        <w:rPr>
          <w:noProof/>
        </w:rPr>
        <w:br w:type="page"/>
      </w:r>
    </w:p>
    <w:p>
      <w:pPr>
        <w:pStyle w:val="Subtitle"/>
        <w:rPr>
          <w:rFonts w:eastAsia="Calibri" w:cs="Times New Roman"/>
          <w:noProof/>
        </w:rPr>
      </w:pPr>
      <w:r>
        <w:rPr>
          <w:rFonts w:eastAsia="Calibri" w:cs="Times New Roman"/>
          <w:noProof/>
        </w:rPr>
        <w:t>Figure 23: Share of trains, motor coaches, buses and trolley buses for passenger transport (passenger-km) 2005 vs. 2013 in %</w:t>
      </w:r>
    </w:p>
    <w:p>
      <w:pPr>
        <w:spacing w:line="240" w:lineRule="auto"/>
        <w:jc w:val="both"/>
        <w:rPr>
          <w:rFonts w:ascii="Times New Roman" w:hAnsi="Times New Roman" w:cs="Times New Roman"/>
          <w:noProof/>
          <w:sz w:val="24"/>
          <w:szCs w:val="24"/>
          <w:lang w:eastAsia="x-none"/>
        </w:rPr>
      </w:pPr>
      <w:r>
        <w:rPr>
          <w:rFonts w:ascii="Times New Roman" w:hAnsi="Times New Roman" w:cs="Times New Roman"/>
          <w:noProof/>
          <w:sz w:val="24"/>
          <w:szCs w:val="24"/>
          <w:lang w:val="en-US"/>
        </w:rPr>
        <w:drawing>
          <wp:inline distT="0" distB="0" distL="0" distR="0">
            <wp:extent cx="5880895" cy="3426334"/>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7372" cy="3424282"/>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Eurostat also provides the percentage of railway and inland waterways for freight transport.</w:t>
      </w:r>
      <w:r>
        <w:rPr>
          <w:rStyle w:val="FootnoteReference"/>
          <w:rFonts w:ascii="Times New Roman" w:hAnsi="Times New Roman" w:cs="Times New Roman"/>
          <w:noProof/>
          <w:sz w:val="24"/>
          <w:szCs w:val="24"/>
          <w:lang w:eastAsia="x-none"/>
        </w:rPr>
        <w:footnoteReference w:id="19"/>
      </w:r>
      <w:r>
        <w:rPr>
          <w:rFonts w:ascii="Times New Roman" w:hAnsi="Times New Roman" w:cs="Times New Roman"/>
          <w:noProof/>
          <w:sz w:val="24"/>
          <w:szCs w:val="24"/>
          <w:lang w:eastAsia="x-none"/>
        </w:rPr>
        <w:t xml:space="preserve"> Austria, Belgium, Denmark, Finland, Germany, Italy, the Netherlands, Portugal, Romania, Sweden and the United Kingdom increased their shares in 2013 compared to 2005 levels.</w:t>
      </w:r>
    </w:p>
    <w:p>
      <w:pPr>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br w:type="page"/>
      </w:r>
    </w:p>
    <w:p>
      <w:pPr>
        <w:spacing w:line="240" w:lineRule="auto"/>
        <w:jc w:val="both"/>
        <w:rPr>
          <w:rFonts w:eastAsia="Calibri" w:cs="Times New Roman"/>
          <w:noProof/>
        </w:rPr>
      </w:pPr>
    </w:p>
    <w:p>
      <w:pPr>
        <w:pStyle w:val="Subtitle"/>
        <w:rPr>
          <w:rFonts w:eastAsia="Calibri" w:cs="Times New Roman"/>
          <w:noProof/>
        </w:rPr>
      </w:pPr>
      <w:r>
        <w:rPr>
          <w:rFonts w:eastAsia="Calibri" w:cs="Times New Roman"/>
          <w:noProof/>
        </w:rPr>
        <w:t>Figure 24: Share of railways and inland waterways for freight transport (tonne-km) 2005 vs. 2013 in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val="en-US"/>
        </w:rPr>
        <w:drawing>
          <wp:inline distT="0" distB="0" distL="0" distR="0">
            <wp:extent cx="5820355" cy="4330276"/>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3175" cy="4324934"/>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pStyle w:val="Heading2"/>
        <w:rPr>
          <w:rFonts w:eastAsia="Calibri"/>
          <w:noProof/>
        </w:rPr>
      </w:pPr>
      <w:bookmarkStart w:id="112" w:name="_Toc429074905"/>
      <w:bookmarkStart w:id="113" w:name="_Toc429127311"/>
      <w:bookmarkStart w:id="114" w:name="_Toc429074906"/>
      <w:bookmarkStart w:id="115" w:name="_Toc429127312"/>
      <w:bookmarkStart w:id="116" w:name="_Toc429074907"/>
      <w:bookmarkStart w:id="117" w:name="_Toc429127313"/>
      <w:bookmarkStart w:id="118" w:name="_Toc429074908"/>
      <w:bookmarkStart w:id="119" w:name="_Toc429127314"/>
      <w:bookmarkStart w:id="120" w:name="_Toc429074909"/>
      <w:bookmarkStart w:id="121" w:name="_Toc429127315"/>
      <w:bookmarkStart w:id="122" w:name="_Toc429074910"/>
      <w:bookmarkStart w:id="123" w:name="_Toc429127316"/>
      <w:bookmarkStart w:id="124" w:name="_Toc429074911"/>
      <w:bookmarkStart w:id="125" w:name="_Toc429127317"/>
      <w:bookmarkStart w:id="126" w:name="_Toc429074912"/>
      <w:bookmarkStart w:id="127" w:name="_Toc429127318"/>
      <w:bookmarkStart w:id="128" w:name="_Toc433203813"/>
      <w:bookmarkStart w:id="129" w:name="_Toc434340526"/>
      <w:bookmarkStart w:id="130" w:name="_Toc43439531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noProof/>
          <w:lang w:val="en-GB"/>
        </w:rPr>
        <w:t>Generation sector</w:t>
      </w:r>
      <w:bookmarkEnd w:id="128"/>
      <w:bookmarkEnd w:id="129"/>
      <w:bookmarkEnd w:id="130"/>
      <w:r>
        <w:rPr>
          <w:noProof/>
          <w:lang w:val="en-GB"/>
        </w:rPr>
        <w:t xml:space="preserve"> </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decrease of primary energy consumption during the past years was due to a decrease in final energy consumption and a structural change in the power generation sector. In particular, structural changes from thermal power generation towards more renewable energy sources took place.</w:t>
      </w:r>
    </w:p>
    <w:p>
      <w:pPr>
        <w:rPr>
          <w:rFonts w:ascii="Times New Roman" w:eastAsia="Calibri" w:hAnsi="Times New Roman" w:cs="Times New Roman"/>
          <w:noProof/>
          <w:sz w:val="24"/>
          <w:szCs w:val="24"/>
        </w:rPr>
      </w:pPr>
      <w:r>
        <w:rPr>
          <w:rFonts w:ascii="Times New Roman" w:eastAsia="Calibri" w:hAnsi="Times New Roman" w:cs="Times New Roman"/>
          <w:noProof/>
          <w:sz w:val="24"/>
          <w:szCs w:val="24"/>
        </w:rPr>
        <w:br w:type="page"/>
      </w:r>
    </w:p>
    <w:p>
      <w:pPr>
        <w:pStyle w:val="Subtitle"/>
        <w:rPr>
          <w:rFonts w:eastAsia="Calibri" w:cs="Times New Roman"/>
          <w:noProof/>
        </w:rPr>
      </w:pPr>
      <w:r>
        <w:rPr>
          <w:rFonts w:eastAsia="Calibri" w:cs="Times New Roman"/>
          <w:noProof/>
        </w:rPr>
        <w:t>Figure 25: Primary energy consumption by fuel EU-28</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drawing>
          <wp:inline distT="0" distB="0" distL="0" distR="0">
            <wp:extent cx="5828306" cy="372241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1558" cy="3724491"/>
                    </a:xfrm>
                    <a:prstGeom prst="rect">
                      <a:avLst/>
                    </a:prstGeom>
                    <a:noFill/>
                  </pic:spPr>
                </pic:pic>
              </a:graphicData>
            </a:graphic>
          </wp:inline>
        </w:drawing>
      </w:r>
    </w:p>
    <w:p>
      <w:pPr>
        <w:pStyle w:val="Subtitle"/>
        <w:rPr>
          <w:rFonts w:eastAsia="Calibri" w:cs="Times New Roman"/>
          <w:noProof/>
        </w:rPr>
      </w:pPr>
      <w:r>
        <w:rPr>
          <w:rFonts w:eastAsia="Calibri" w:cs="Times New Roman"/>
          <w:noProof/>
        </w:rPr>
        <w:t>Source: Eurostat</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Member States have increased their share of renewables in the past years</w:t>
      </w:r>
      <w:r>
        <w:rPr>
          <w:rStyle w:val="FootnoteReference"/>
          <w:rFonts w:ascii="Times New Roman" w:eastAsia="Calibri" w:hAnsi="Times New Roman" w:cs="Times New Roman"/>
          <w:noProof/>
          <w:sz w:val="24"/>
          <w:szCs w:val="24"/>
        </w:rPr>
        <w:footnoteReference w:id="20"/>
      </w:r>
      <w:r>
        <w:rPr>
          <w:rFonts w:ascii="Times New Roman" w:eastAsia="Calibri" w:hAnsi="Times New Roman" w:cs="Times New Roman"/>
          <w:noProof/>
          <w:sz w:val="24"/>
          <w:szCs w:val="24"/>
        </w:rPr>
        <w:t xml:space="preserve"> which contributed to a reduction in primary energy consumption as most sources of renewable energy (excluding biomass and municipal waste) are defined as having 100% transformation efficiency.</w:t>
      </w:r>
    </w:p>
    <w:p>
      <w:pPr>
        <w:spacing w:line="240" w:lineRule="auto"/>
        <w:jc w:val="both"/>
        <w:rPr>
          <w:rFonts w:ascii="Times New Roman" w:eastAsia="Calibri" w:hAnsi="Times New Roman" w:cs="Times New Roman"/>
          <w:noProof/>
          <w:sz w:val="24"/>
        </w:rPr>
      </w:pPr>
      <w:r>
        <w:rPr>
          <w:rFonts w:ascii="Times New Roman" w:eastAsia="Calibri" w:hAnsi="Times New Roman" w:cs="Times New Roman"/>
          <w:noProof/>
          <w:sz w:val="24"/>
          <w:szCs w:val="24"/>
        </w:rPr>
        <w:t xml:space="preserve">The EED requires Member States to provide information on heat and electricity produced from thermal power plants and, in particular, from combined heat and power plants (CHP). </w:t>
      </w:r>
      <w:r>
        <w:rPr>
          <w:rFonts w:ascii="Times New Roman" w:eastAsia="Calibri" w:hAnsi="Times New Roman" w:cs="Times New Roman"/>
          <w:noProof/>
          <w:sz w:val="24"/>
        </w:rPr>
        <w:t>This information is important to follow trends in high efficiency cogeneration which should be promoted by Member States according to Articles 14 and 15 of the EED.</w:t>
      </w:r>
      <w:r>
        <w:rPr>
          <w:rStyle w:val="FootnoteReference"/>
          <w:rFonts w:ascii="Times New Roman" w:eastAsia="Calibri" w:hAnsi="Times New Roman" w:cs="Times New Roman"/>
          <w:noProof/>
          <w:sz w:val="24"/>
        </w:rPr>
        <w:footnoteReference w:id="21"/>
      </w:r>
    </w:p>
    <w:p>
      <w:pPr>
        <w:rPr>
          <w:noProof/>
        </w:rPr>
      </w:pPr>
      <w:r>
        <w:rPr>
          <w:noProof/>
        </w:rPr>
        <w:br w:type="page"/>
      </w:r>
    </w:p>
    <w:p>
      <w:pPr>
        <w:pStyle w:val="Subtitle"/>
        <w:rPr>
          <w:rFonts w:eastAsia="Calibri"/>
          <w:noProof/>
        </w:rPr>
      </w:pPr>
      <w:r>
        <w:rPr>
          <w:rFonts w:eastAsia="Calibri"/>
          <w:noProof/>
        </w:rPr>
        <w:t xml:space="preserve">Figure 26: Heat generation from CHP </w:t>
      </w:r>
    </w:p>
    <w:p>
      <w:pPr>
        <w:spacing w:line="240" w:lineRule="auto"/>
        <w:jc w:val="both"/>
        <w:rPr>
          <w:rFonts w:ascii="Times New Roman" w:eastAsia="Calibri" w:hAnsi="Times New Roman" w:cs="Times New Roman"/>
          <w:noProof/>
          <w:sz w:val="24"/>
        </w:rPr>
      </w:pPr>
      <w:r>
        <w:rPr>
          <w:rFonts w:ascii="Times New Roman" w:eastAsia="Calibri" w:hAnsi="Times New Roman" w:cs="Times New Roman"/>
          <w:noProof/>
          <w:sz w:val="24"/>
          <w:lang w:val="en-US"/>
        </w:rPr>
        <w:drawing>
          <wp:inline distT="0" distB="0" distL="0" distR="0">
            <wp:extent cx="5859012" cy="4073120"/>
            <wp:effectExtent l="0" t="0" r="889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0854" cy="4074400"/>
                    </a:xfrm>
                    <a:prstGeom prst="rect">
                      <a:avLst/>
                    </a:prstGeom>
                    <a:noFill/>
                  </pic:spPr>
                </pic:pic>
              </a:graphicData>
            </a:graphic>
          </wp:inline>
        </w:drawing>
      </w:r>
    </w:p>
    <w:p>
      <w:pPr>
        <w:pStyle w:val="Subtitle"/>
        <w:rPr>
          <w:rFonts w:eastAsia="Calibri"/>
          <w:noProof/>
        </w:rPr>
      </w:pPr>
      <w:r>
        <w:rPr>
          <w:rFonts w:eastAsia="Calibri"/>
          <w:noProof/>
        </w:rPr>
        <w:t>Source: Eurostat</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rPr>
        <w:t xml:space="preserve">Figure 26 shows the heat produced from CHP plants for Member States in 2005 compared to 2013. </w:t>
      </w:r>
      <w:r>
        <w:rPr>
          <w:rFonts w:ascii="Times New Roman" w:eastAsia="Calibri" w:hAnsi="Times New Roman" w:cs="Times New Roman"/>
          <w:noProof/>
          <w:sz w:val="24"/>
          <w:szCs w:val="24"/>
        </w:rPr>
        <w:t>The heat produced from CHP plants decreased from 46 Mtoe in 2005 by 9% to 42 Mtoe in 2013.</w:t>
      </w:r>
      <w:r>
        <w:rPr>
          <w:rStyle w:val="FootnoteReference"/>
          <w:rFonts w:ascii="Times New Roman" w:eastAsia="Calibri" w:hAnsi="Times New Roman" w:cs="Times New Roman"/>
          <w:noProof/>
          <w:sz w:val="24"/>
          <w:szCs w:val="24"/>
        </w:rPr>
        <w:footnoteReference w:id="22"/>
      </w:r>
      <w:r>
        <w:rPr>
          <w:rFonts w:ascii="Times New Roman" w:eastAsia="Calibri" w:hAnsi="Times New Roman" w:cs="Times New Roman"/>
          <w:noProof/>
          <w:sz w:val="24"/>
          <w:szCs w:val="24"/>
        </w:rPr>
        <w:t xml:space="preserve"> </w:t>
      </w:r>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lang w:eastAsia="x-none"/>
        </w:rPr>
        <w:t>More detailed information – in particular on the basis of CHP units - is expected from the data collection under Article 24(6) of the EED and from the forthcoming Heating &amp; Cooling strategy which the Commission intends to put forward in early 2016.</w:t>
      </w:r>
    </w:p>
    <w:p>
      <w:pPr>
        <w:spacing w:line="240" w:lineRule="auto"/>
        <w:jc w:val="both"/>
        <w:rPr>
          <w:noProof/>
        </w:rPr>
      </w:pPr>
      <w:r>
        <w:rPr>
          <w:rFonts w:ascii="Times New Roman" w:eastAsia="Calibri" w:hAnsi="Times New Roman" w:cs="Times New Roman"/>
          <w:noProof/>
          <w:sz w:val="24"/>
          <w:szCs w:val="24"/>
        </w:rPr>
        <w:t>The EED also sets the framework to trigger investments in efficient district heating and cooling. A positive trend can be observed in nine Member States where the transformation output from district heating plants increased on average between 2005 and 2013. Nevertheless, in the remaining twelve Member States having district heating a decreasing trend can be observed.</w:t>
      </w:r>
      <w:r>
        <w:rPr>
          <w:rStyle w:val="FootnoteReference"/>
          <w:rFonts w:ascii="Times New Roman" w:eastAsia="Calibri" w:hAnsi="Times New Roman" w:cs="Times New Roman"/>
          <w:noProof/>
          <w:sz w:val="24"/>
          <w:szCs w:val="24"/>
        </w:rPr>
        <w:footnoteReference w:id="23"/>
      </w:r>
      <w:r>
        <w:rPr>
          <w:rFonts w:ascii="Times New Roman" w:eastAsia="Calibri" w:hAnsi="Times New Roman" w:cs="Times New Roman"/>
          <w:noProof/>
          <w:sz w:val="24"/>
          <w:szCs w:val="24"/>
        </w:rPr>
        <w:t xml:space="preserve"> Therefore, to fully exploit the energy-efficiency potential in the generation sector, the full implementation of Article 14 and the comprehensive assessments Member States are required to undertake by end 2015 (analysing their potential for applying high-efficiency cogeneration and efficient district heating and cooling) are of major importance. </w:t>
      </w:r>
    </w:p>
    <w:p>
      <w:pPr>
        <w:pStyle w:val="Subtitle"/>
        <w:rPr>
          <w:rFonts w:eastAsia="Calibri"/>
          <w:noProof/>
        </w:rPr>
      </w:pPr>
      <w:r>
        <w:rPr>
          <w:rFonts w:eastAsia="Calibri"/>
          <w:noProof/>
        </w:rPr>
        <w:t xml:space="preserve">Figure 27: Transformation output - District Heating Plants </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drawing>
          <wp:inline distT="0" distB="0" distL="0" distR="0">
            <wp:extent cx="5836258" cy="31845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33295" cy="3182910"/>
                    </a:xfrm>
                    <a:prstGeom prst="rect">
                      <a:avLst/>
                    </a:prstGeom>
                    <a:noFill/>
                  </pic:spPr>
                </pic:pic>
              </a:graphicData>
            </a:graphic>
          </wp:inline>
        </w:drawing>
      </w:r>
    </w:p>
    <w:p>
      <w:pPr>
        <w:pStyle w:val="Subtitle"/>
        <w:rPr>
          <w:rFonts w:eastAsia="Calibri"/>
          <w:noProof/>
        </w:rPr>
      </w:pPr>
      <w:r>
        <w:rPr>
          <w:rFonts w:eastAsia="Calibri"/>
          <w:noProof/>
        </w:rPr>
        <w:t>Source: Eurostat</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Due to the use of energy from renewable sources and other measures, the efficiency of electricity production in the EU increased from 43.6</w:t>
      </w:r>
      <w:r>
        <w:rPr>
          <w:rFonts w:ascii="Times New Roman" w:hAnsi="Times New Roman"/>
          <w:noProof/>
          <w:sz w:val="24"/>
          <w:szCs w:val="24"/>
        </w:rPr>
        <w:t> </w:t>
      </w:r>
      <w:r>
        <w:rPr>
          <w:rFonts w:ascii="Times New Roman" w:eastAsia="Calibri" w:hAnsi="Times New Roman" w:cs="Times New Roman"/>
          <w:noProof/>
          <w:sz w:val="24"/>
          <w:szCs w:val="24"/>
        </w:rPr>
        <w:t>% in 2005 to 46.4</w:t>
      </w:r>
      <w:r>
        <w:rPr>
          <w:rFonts w:ascii="Times New Roman" w:hAnsi="Times New Roman"/>
          <w:noProof/>
          <w:sz w:val="24"/>
          <w:szCs w:val="24"/>
        </w:rPr>
        <w:t> </w:t>
      </w:r>
      <w:r>
        <w:rPr>
          <w:rFonts w:ascii="Times New Roman" w:eastAsia="Calibri" w:hAnsi="Times New Roman" w:cs="Times New Roman"/>
          <w:noProof/>
          <w:sz w:val="24"/>
          <w:szCs w:val="24"/>
        </w:rPr>
        <w:t>% in 2013.</w:t>
      </w:r>
      <w:r>
        <w:rPr>
          <w:rStyle w:val="FootnoteReference"/>
          <w:rFonts w:ascii="Times New Roman" w:eastAsia="Calibri" w:hAnsi="Times New Roman" w:cs="Times New Roman"/>
          <w:noProof/>
          <w:sz w:val="24"/>
          <w:szCs w:val="24"/>
        </w:rPr>
        <w:footnoteReference w:id="24"/>
      </w:r>
      <w:r>
        <w:rPr>
          <w:rFonts w:ascii="Times New Roman" w:eastAsia="Calibri" w:hAnsi="Times New Roman" w:cs="Times New Roman"/>
          <w:noProof/>
          <w:sz w:val="24"/>
          <w:szCs w:val="24"/>
        </w:rPr>
        <w:t xml:space="preserve"> </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ratio of transformation output of thermal power generation compared to fuel input improved in Austria, Croatia, Cyprus, Belgium, Bulgaria, Denmark, Germany, Greece, Ireland, Italy, Lithuania, Luxembourg, Malta, Portugal, Slovenia and Sweden in the period 2005-2013. However, in other Member States the ratio worsened as shown in figure 28.</w:t>
      </w:r>
      <w:r>
        <w:rPr>
          <w:rStyle w:val="FootnoteReference"/>
          <w:rFonts w:ascii="Times New Roman" w:eastAsia="Calibri" w:hAnsi="Times New Roman" w:cs="Times New Roman"/>
          <w:noProof/>
          <w:sz w:val="24"/>
          <w:szCs w:val="24"/>
        </w:rPr>
        <w:footnoteReference w:id="25"/>
      </w:r>
      <w:r>
        <w:rPr>
          <w:rFonts w:ascii="Times New Roman" w:eastAsia="Calibri" w:hAnsi="Times New Roman" w:cs="Times New Roman"/>
          <w:noProof/>
          <w:sz w:val="24"/>
          <w:szCs w:val="24"/>
        </w:rPr>
        <w:t xml:space="preserve"> </w:t>
      </w:r>
    </w:p>
    <w:p>
      <w:pPr>
        <w:rPr>
          <w:noProof/>
        </w:rPr>
      </w:pPr>
      <w:r>
        <w:rPr>
          <w:noProof/>
        </w:rPr>
        <w:br w:type="page"/>
      </w:r>
    </w:p>
    <w:p>
      <w:pPr>
        <w:pStyle w:val="Subtitle"/>
        <w:rPr>
          <w:rFonts w:eastAsia="Calibri"/>
          <w:noProof/>
        </w:rPr>
      </w:pPr>
      <w:r>
        <w:rPr>
          <w:rFonts w:eastAsia="Calibri"/>
          <w:noProof/>
        </w:rPr>
        <w:t>Figure 28: Thermal power generation: Transformation output / fuel input for 2005 vs. 2013</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drawing>
          <wp:inline distT="0" distB="0" distL="0" distR="0">
            <wp:extent cx="5860112" cy="3591952"/>
            <wp:effectExtent l="0" t="0" r="762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1606" cy="3586738"/>
                    </a:xfrm>
                    <a:prstGeom prst="rect">
                      <a:avLst/>
                    </a:prstGeom>
                    <a:noFill/>
                  </pic:spPr>
                </pic:pic>
              </a:graphicData>
            </a:graphic>
          </wp:inline>
        </w:drawing>
      </w:r>
    </w:p>
    <w:p>
      <w:pPr>
        <w:pStyle w:val="Subtitle"/>
        <w:rPr>
          <w:rFonts w:eastAsia="Calibri"/>
          <w:noProof/>
        </w:rPr>
      </w:pPr>
      <w:r>
        <w:rPr>
          <w:rFonts w:eastAsia="Calibri"/>
          <w:noProof/>
        </w:rPr>
        <w:t>Source: Eurostat</w:t>
      </w:r>
    </w:p>
    <w:p>
      <w:pPr>
        <w:pStyle w:val="Heading1"/>
        <w:rPr>
          <w:noProof/>
          <w:lang w:val="en-GB"/>
        </w:rPr>
      </w:pPr>
      <w:bookmarkStart w:id="131" w:name="_Toc433203814"/>
      <w:bookmarkStart w:id="132" w:name="_Toc434340527"/>
      <w:bookmarkStart w:id="133" w:name="_Toc434395317"/>
      <w:r>
        <w:rPr>
          <w:noProof/>
          <w:lang w:val="en-GB"/>
        </w:rPr>
        <w:t>Final energy savings in 2016 required by the Energy Services Directive 2006/32/EC</w:t>
      </w:r>
      <w:bookmarkEnd w:id="131"/>
      <w:bookmarkEnd w:id="132"/>
      <w:bookmarkEnd w:id="133"/>
    </w:p>
    <w:p>
      <w:pPr>
        <w:spacing w:line="240" w:lineRule="auto"/>
        <w:jc w:val="both"/>
        <w:rPr>
          <w:rFonts w:ascii="Times New Roman" w:eastAsia="Calibri" w:hAnsi="Times New Roman" w:cs="Times New Roman"/>
          <w:noProof/>
          <w:sz w:val="24"/>
          <w:lang w:eastAsia="x-none"/>
        </w:rPr>
      </w:pPr>
      <w:r>
        <w:rPr>
          <w:rFonts w:ascii="Times New Roman" w:eastAsia="Calibri" w:hAnsi="Times New Roman" w:cs="Times New Roman"/>
          <w:noProof/>
          <w:sz w:val="24"/>
          <w:szCs w:val="24"/>
        </w:rPr>
        <w:t>Directive 2006/32/EC required Member States to set – and aim to achieve – a national indicative energy savings target of at least 9</w:t>
      </w:r>
      <w:r>
        <w:rPr>
          <w:rFonts w:ascii="Times New Roman" w:hAnsi="Times New Roman"/>
          <w:noProof/>
          <w:sz w:val="24"/>
          <w:szCs w:val="24"/>
        </w:rPr>
        <w:t> </w:t>
      </w:r>
      <w:r>
        <w:rPr>
          <w:rFonts w:ascii="Times New Roman" w:eastAsia="Calibri" w:hAnsi="Times New Roman" w:cs="Times New Roman"/>
          <w:noProof/>
          <w:sz w:val="24"/>
          <w:szCs w:val="24"/>
        </w:rPr>
        <w:t>% of final energy savings in 2016. Most of the provisions in this Directive have been replaced by more precise provisions in the EED. However, the requirements related to the 9</w:t>
      </w:r>
      <w:r>
        <w:rPr>
          <w:rFonts w:ascii="Times New Roman" w:hAnsi="Times New Roman"/>
          <w:noProof/>
          <w:sz w:val="24"/>
          <w:szCs w:val="24"/>
        </w:rPr>
        <w:t> </w:t>
      </w:r>
      <w:r>
        <w:rPr>
          <w:rFonts w:ascii="Times New Roman" w:eastAsia="Calibri" w:hAnsi="Times New Roman" w:cs="Times New Roman"/>
          <w:noProof/>
          <w:sz w:val="24"/>
          <w:szCs w:val="24"/>
        </w:rPr>
        <w:t>% target will not be repealed until 2017. So Member States were required to provide information on their 2016 saving target in their 2014 NEEAPs: 19 Member States state that the required savings will be achieved by 2016; for 7 Member States it is not clear from the NEEAPs if the saving target will be achieved.</w:t>
      </w:r>
      <w:r>
        <w:rPr>
          <w:rStyle w:val="FootnoteReference"/>
          <w:rFonts w:ascii="Times New Roman" w:eastAsia="Calibri" w:hAnsi="Times New Roman" w:cs="Times New Roman"/>
          <w:noProof/>
          <w:sz w:val="24"/>
          <w:szCs w:val="24"/>
        </w:rPr>
        <w:footnoteReference w:id="26"/>
      </w:r>
      <w:r>
        <w:rPr>
          <w:rFonts w:ascii="Times New Roman" w:eastAsia="Calibri" w:hAnsi="Times New Roman" w:cs="Times New Roman"/>
          <w:noProof/>
          <w:sz w:val="24"/>
          <w:lang w:eastAsia="x-none"/>
        </w:rPr>
        <w:t xml:space="preserve"> </w:t>
      </w:r>
    </w:p>
    <w:p>
      <w:pPr>
        <w:pStyle w:val="Subtitle"/>
        <w:rPr>
          <w:rFonts w:eastAsia="Calibri" w:cs="Times New Roman"/>
          <w:noProof/>
        </w:rPr>
      </w:pPr>
      <w:r>
        <w:rPr>
          <w:rFonts w:eastAsia="Calibri" w:cs="Times New Roman"/>
          <w:noProof/>
        </w:rPr>
        <w:br w:type="column"/>
        <w:t>Table 1: Assessment of final energy savings for 2016</w:t>
      </w:r>
    </w:p>
    <w:p>
      <w:pPr>
        <w:rPr>
          <w:rFonts w:ascii="Times New Roman" w:hAnsi="Times New Roman" w:cs="Times New Roman"/>
          <w:noProof/>
        </w:rPr>
      </w:pPr>
      <w:r>
        <w:rPr>
          <w:rFonts w:ascii="Times New Roman" w:hAnsi="Times New Roman" w:cs="Times New Roman"/>
          <w:noProof/>
          <w:lang w:val="en-US"/>
        </w:rPr>
        <w:drawing>
          <wp:inline distT="0" distB="0" distL="0" distR="0">
            <wp:extent cx="5760720" cy="563804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5638041"/>
                    </a:xfrm>
                    <a:prstGeom prst="rect">
                      <a:avLst/>
                    </a:prstGeom>
                    <a:noFill/>
                    <a:ln>
                      <a:noFill/>
                    </a:ln>
                  </pic:spPr>
                </pic:pic>
              </a:graphicData>
            </a:graphic>
          </wp:inline>
        </w:drawing>
      </w:r>
    </w:p>
    <w:p>
      <w:pPr>
        <w:pStyle w:val="Subtitle"/>
        <w:rPr>
          <w:rFonts w:eastAsia="Calibri" w:cs="Times New Roman"/>
          <w:noProof/>
        </w:rPr>
      </w:pPr>
      <w:r>
        <w:rPr>
          <w:rFonts w:eastAsia="Calibri" w:cs="Times New Roman"/>
          <w:noProof/>
        </w:rPr>
        <w:t>Source: JRC</w:t>
      </w:r>
    </w:p>
    <w:p>
      <w:pPr>
        <w:pStyle w:val="Text1"/>
        <w:ind w:left="0"/>
        <w:rPr>
          <w:noProof/>
          <w:lang w:eastAsia="x-none"/>
        </w:rPr>
      </w:pPr>
    </w:p>
    <w:p>
      <w:pPr>
        <w:pStyle w:val="Text1"/>
        <w:ind w:left="0"/>
        <w:rPr>
          <w:noProof/>
          <w:lang w:eastAsia="x-none"/>
        </w:rPr>
        <w:sectPr>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pgNumType w:start="2"/>
          <w:cols w:space="720"/>
          <w:docGrid w:linePitch="360"/>
        </w:sectPr>
      </w:pPr>
    </w:p>
    <w:p>
      <w:pPr>
        <w:pStyle w:val="Heading1"/>
        <w:spacing w:before="0" w:after="0"/>
        <w:rPr>
          <w:noProof/>
          <w:lang w:val="en-GB"/>
        </w:rPr>
      </w:pPr>
      <w:bookmarkStart w:id="134" w:name="_Toc434395318"/>
      <w:r>
        <w:rPr>
          <w:noProof/>
          <w:lang w:val="en-GB"/>
        </w:rPr>
        <w:t>Overview</w:t>
      </w:r>
      <w:bookmarkEnd w:id="134"/>
    </w:p>
    <w:p>
      <w:pPr>
        <w:spacing w:line="240" w:lineRule="auto"/>
        <w:jc w:val="both"/>
        <w:rPr>
          <w:noProof/>
          <w:szCs w:val="24"/>
        </w:rPr>
      </w:pPr>
      <w:r>
        <w:rPr>
          <w:rFonts w:ascii="Times New Roman" w:eastAsia="Calibri" w:hAnsi="Times New Roman" w:cs="Times New Roman"/>
          <w:noProof/>
          <w:sz w:val="24"/>
          <w:szCs w:val="24"/>
        </w:rPr>
        <w:t xml:space="preserve">Table 2 gives an overview of all indicators for each Member States. </w:t>
      </w:r>
    </w:p>
    <w:p>
      <w:pPr>
        <w:pStyle w:val="Text1"/>
        <w:spacing w:before="0" w:after="0"/>
        <w:ind w:left="0"/>
        <w:rPr>
          <w:noProof/>
          <w:sz w:val="18"/>
        </w:rPr>
      </w:pPr>
      <w:r>
        <w:rPr>
          <w:noProof/>
          <w:sz w:val="18"/>
        </w:rPr>
        <w:t>Table 2: Energy efficiency indicators</w:t>
      </w:r>
    </w:p>
    <w:p>
      <w:pPr>
        <w:pStyle w:val="Text1"/>
        <w:ind w:left="0"/>
        <w:rPr>
          <w:noProof/>
          <w:lang w:eastAsia="x-none"/>
        </w:rPr>
      </w:pPr>
      <w:r>
        <w:rPr>
          <w:noProof/>
          <w:lang w:val="en-US"/>
        </w:rPr>
        <w:drawing>
          <wp:inline distT="0" distB="0" distL="0" distR="0">
            <wp:extent cx="8975262" cy="477873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83718" cy="4783235"/>
                    </a:xfrm>
                    <a:prstGeom prst="rect">
                      <a:avLst/>
                    </a:prstGeom>
                    <a:noFill/>
                    <a:ln>
                      <a:noFill/>
                    </a:ln>
                  </pic:spPr>
                </pic:pic>
              </a:graphicData>
            </a:graphic>
          </wp:inline>
        </w:drawing>
      </w:r>
    </w:p>
    <w:p>
      <w:pPr>
        <w:pStyle w:val="Subtitle"/>
        <w:rPr>
          <w:rFonts w:eastAsia="Calibri" w:cs="Times New Roman"/>
          <w:noProof/>
        </w:rPr>
      </w:pPr>
      <w:r>
        <w:rPr>
          <w:rFonts w:eastAsia="Calibri" w:cs="Times New Roman"/>
          <w:noProof/>
        </w:rPr>
        <w:t>Source: Eurostat, Notifications of Member States, DG ECFIN, Odyssee-Mure</w:t>
      </w:r>
    </w:p>
    <w:p>
      <w:pPr>
        <w:pStyle w:val="Text1"/>
        <w:ind w:left="0"/>
        <w:rPr>
          <w:noProof/>
          <w:lang w:eastAsia="x-none"/>
        </w:rPr>
        <w:sectPr>
          <w:headerReference w:type="even" r:id="rId52"/>
          <w:headerReference w:type="default" r:id="rId53"/>
          <w:footerReference w:type="even" r:id="rId54"/>
          <w:footerReference w:type="default" r:id="rId55"/>
          <w:headerReference w:type="first" r:id="rId56"/>
          <w:footerReference w:type="first" r:id="rId57"/>
          <w:pgSz w:w="16838" w:h="11906" w:orient="landscape"/>
          <w:pgMar w:top="1417" w:right="1417" w:bottom="1417" w:left="1417" w:header="708" w:footer="708" w:gutter="0"/>
          <w:cols w:space="720"/>
          <w:docGrid w:linePitch="360"/>
        </w:sectPr>
      </w:pPr>
    </w:p>
    <w:p>
      <w:pPr>
        <w:pStyle w:val="Text1"/>
        <w:ind w:left="0"/>
        <w:rPr>
          <w:noProof/>
          <w:lang w:eastAsia="x-none"/>
        </w:rPr>
      </w:pPr>
      <w:bookmarkStart w:id="135" w:name="_Toc429074916"/>
      <w:bookmarkStart w:id="136" w:name="_Toc429127322"/>
      <w:bookmarkEnd w:id="135"/>
      <w:bookmarkEnd w:id="136"/>
      <w:r>
        <w:rPr>
          <w:noProof/>
          <w:lang w:eastAsia="x-none"/>
        </w:rPr>
        <w:t>The analysis of the indicators described above demonstrates the trends for Member State in the industry, residential, services, transport and generation sector. For EU-28, the different performance indicators 2005-2013 used to analyse progress on energy efficiency show that most have improved on the European level but an increase in final energy consumption from 2012 to 2013 and a decrease of heat generated by CHP plants between 2005 and 2013 occurred. Most Member States have increased their effort considerably and either strengthened existing energy efficiency measures or introduced new ones which show already a positive impact on the performance indicators as shown in the table above.</w:t>
      </w:r>
    </w:p>
    <w:p>
      <w:pPr>
        <w:pStyle w:val="Text1"/>
        <w:ind w:left="0"/>
        <w:rPr>
          <w:noProof/>
          <w:lang w:eastAsia="x-none"/>
        </w:rPr>
      </w:pPr>
      <w:r>
        <w:rPr>
          <w:noProof/>
          <w:szCs w:val="24"/>
        </w:rPr>
        <w:t xml:space="preserve">Having in mind that the EU-28 needs to reduce primary energy consumption annually on average by 11.9 Mtoe (2.7 Mtoe expressed in final energy consumption) from the 2013 level to achieve its 2020 targets, it can be concluded that – despite the achievements of previous years – additional efforts are needed in particular in the buildings, transport and generation sectors </w:t>
      </w:r>
      <w:r>
        <w:rPr>
          <w:noProof/>
          <w:lang w:eastAsia="x-none"/>
        </w:rPr>
        <w:t xml:space="preserve">as described in Report COM(2015) 574. </w:t>
      </w:r>
      <w:r>
        <w:rPr>
          <w:noProof/>
          <w:szCs w:val="24"/>
        </w:rPr>
        <w:t>To close the remaining gap towards the 2020 target expressed in primary energy consumption,</w:t>
      </w:r>
      <w:r>
        <w:rPr>
          <w:noProof/>
        </w:rPr>
        <w:t xml:space="preserve"> </w:t>
      </w:r>
      <w:r>
        <w:rPr>
          <w:noProof/>
          <w:szCs w:val="24"/>
        </w:rPr>
        <w:t>Member States should accelerate their efforts in order to achieve their national energy efficiency targets for 2020 or to go beyond them. It is worth noting that some Member States – Austria, Belgium, France, Germany, Malta, the Netherlands, Sweden and the United Kingdom – have already set themselves particularly ambitious targets. Croatia, Finland, Greece and Romania, which have set less ambitious targets for 2020 in light of expected GDP growth in 2014-2020, could benefit from assessing again how an increased level of energy efficiency could increase their security of supply, competitiveness and sustainability</w:t>
      </w:r>
      <w:r>
        <w:rPr>
          <w:noProof/>
          <w:lang w:eastAsia="x-none"/>
        </w:rPr>
        <w:t>.</w:t>
      </w:r>
    </w:p>
    <w:p>
      <w:pPr>
        <w:pStyle w:val="Text1"/>
        <w:ind w:left="0"/>
        <w:rPr>
          <w:noProof/>
        </w:rPr>
      </w:pPr>
      <w:r>
        <w:rPr>
          <w:noProof/>
          <w:szCs w:val="24"/>
        </w:rPr>
        <w:t xml:space="preserve">The Commission will continue to closely follow Member States' progress towards their indicative national energy efficiency targets for 2020 and the implementation of the EED and update its assessment annually as part of the </w:t>
      </w:r>
      <w:r>
        <w:rPr>
          <w:noProof/>
        </w:rPr>
        <w:t>State of the Energy Union</w:t>
      </w:r>
      <w:r>
        <w:rPr>
          <w:noProof/>
          <w:szCs w:val="24"/>
        </w:rPr>
        <w:t>. This exercise has shown that more indicators based on official statistical data might be needed to fully assess Member States' progress towards their energy efficiency targets. In addition, detailed information is needed on a sectoral level. To distinguish impacts of energy efficiency measures from other factors like changes in economic structure, economic growth/downturn impacts, changes in the energy mix, weather variations, population growth, increasing wealth, impacts of other policies and other external factors, the Commission will further analyse how to improve or extend the performance indicators. In addition, the Commission will work on the further development of methods such as decomposition analysis or other suitable methods.</w:t>
      </w:r>
    </w:p>
    <w:p>
      <w:pPr>
        <w:pStyle w:val="Text1"/>
        <w:ind w:left="0"/>
        <w:rPr>
          <w:noProof/>
          <w:lang w:eastAsia="x-none"/>
        </w:rPr>
      </w:pPr>
    </w:p>
    <w:p>
      <w:pPr>
        <w:rPr>
          <w:noProof/>
        </w:rPr>
        <w:sectPr>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708" w:footer="708" w:gutter="0"/>
          <w:cols w:space="720"/>
          <w:docGrid w:linePitch="360"/>
        </w:sectPr>
      </w:pPr>
    </w:p>
    <w:p>
      <w:pPr>
        <w:pStyle w:val="Heading1"/>
        <w:numPr>
          <w:ilvl w:val="0"/>
          <w:numId w:val="0"/>
        </w:numPr>
        <w:ind w:left="850" w:hanging="850"/>
        <w:rPr>
          <w:noProof/>
          <w:lang w:val="en-GB"/>
        </w:rPr>
      </w:pPr>
      <w:bookmarkStart w:id="137" w:name="_Toc433203816"/>
      <w:bookmarkStart w:id="138" w:name="_Toc434340529"/>
      <w:bookmarkStart w:id="139" w:name="_Toc434395319"/>
      <w:r>
        <w:rPr>
          <w:noProof/>
        </w:rPr>
        <w:t>Annex I</w:t>
      </w:r>
      <w:r>
        <w:rPr>
          <w:noProof/>
          <w:lang w:val="en-GB"/>
        </w:rPr>
        <w:t xml:space="preserve"> – Indicative national energy efficiency targets 2020</w:t>
      </w:r>
      <w:bookmarkEnd w:id="137"/>
      <w:bookmarkEnd w:id="138"/>
      <w:bookmarkEnd w:id="139"/>
    </w:p>
    <w:p>
      <w:pPr>
        <w:pStyle w:val="Subtitle"/>
        <w:rPr>
          <w:rFonts w:eastAsia="Calibri" w:cs="Times New Roman"/>
          <w:noProof/>
        </w:rPr>
      </w:pPr>
    </w:p>
    <w:p>
      <w:pPr>
        <w:rPr>
          <w:rFonts w:ascii="Times New Roman" w:hAnsi="Times New Roman" w:cs="Times New Roman"/>
          <w:b/>
          <w:bCs/>
          <w:smallCaps/>
          <w:noProof/>
        </w:rPr>
      </w:pPr>
      <w:bookmarkStart w:id="140" w:name="_Toc433203817"/>
      <w:r>
        <w:rPr>
          <w:rFonts w:ascii="Times New Roman" w:hAnsi="Times New Roman" w:cs="Times New Roman"/>
          <w:noProof/>
        </w:rPr>
        <w:t>Table 3: Evolution of indicative national energy efficiency targets for 2020</w:t>
      </w:r>
      <w:bookmarkEnd w:id="140"/>
    </w:p>
    <w:tbl>
      <w:tblPr>
        <w:tblW w:w="9214" w:type="dxa"/>
        <w:tblInd w:w="108" w:type="dxa"/>
        <w:tblLook w:val="04A0" w:firstRow="1" w:lastRow="0" w:firstColumn="1" w:lastColumn="0" w:noHBand="0" w:noVBand="1"/>
      </w:tblPr>
      <w:tblGrid>
        <w:gridCol w:w="2268"/>
        <w:gridCol w:w="3261"/>
        <w:gridCol w:w="3685"/>
      </w:tblGrid>
      <w:tr>
        <w:trPr>
          <w:trHeight w:val="1470"/>
        </w:trPr>
        <w:tc>
          <w:tcPr>
            <w:tcW w:w="2268"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Member State </w:t>
            </w:r>
          </w:p>
        </w:tc>
        <w:tc>
          <w:tcPr>
            <w:tcW w:w="6946" w:type="dxa"/>
            <w:gridSpan w:val="2"/>
            <w:tcBorders>
              <w:top w:val="single" w:sz="8" w:space="0" w:color="auto"/>
              <w:left w:val="nil"/>
              <w:bottom w:val="single" w:sz="4" w:space="0" w:color="auto"/>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Absolute level of energy consumption in 2020 [Mtoe] as notified by Member States in 2013, in the NEEAP 2014 or in a separate notification to the European Commission in 2015</w:t>
            </w:r>
          </w:p>
        </w:tc>
      </w:tr>
      <w:tr>
        <w:trPr>
          <w:trHeight w:val="839"/>
        </w:trPr>
        <w:tc>
          <w:tcPr>
            <w:tcW w:w="2268" w:type="dxa"/>
            <w:vMerge/>
            <w:tcBorders>
              <w:top w:val="single" w:sz="8" w:space="0" w:color="auto"/>
              <w:left w:val="single" w:sz="8" w:space="0" w:color="auto"/>
              <w:bottom w:val="single" w:sz="4" w:space="0" w:color="000000"/>
              <w:right w:val="single" w:sz="4" w:space="0" w:color="auto"/>
            </w:tcBorders>
            <w:vAlign w:val="center"/>
            <w:hideMark/>
          </w:tcPr>
          <w:p>
            <w:pPr>
              <w:spacing w:after="0" w:line="240" w:lineRule="auto"/>
              <w:rPr>
                <w:rFonts w:ascii="Times New Roman" w:eastAsia="Times New Roman" w:hAnsi="Times New Roman" w:cs="Times New Roman"/>
                <w:noProof/>
                <w:sz w:val="20"/>
                <w:szCs w:val="20"/>
                <w:lang w:eastAsia="en-GB"/>
              </w:rPr>
            </w:pPr>
          </w:p>
        </w:tc>
        <w:tc>
          <w:tcPr>
            <w:tcW w:w="326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PRIMARY energy consumption </w:t>
            </w:r>
          </w:p>
        </w:tc>
        <w:tc>
          <w:tcPr>
            <w:tcW w:w="3685" w:type="dxa"/>
            <w:tcBorders>
              <w:top w:val="nil"/>
              <w:left w:val="nil"/>
              <w:bottom w:val="single" w:sz="4"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FINAL energy consumption </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Austria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31.5</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25.1</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Belgium</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43.7</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32.5</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Bulgaria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16.9</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8.6</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Croatia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11.5</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7.0</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Cyprus </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2.2</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1.8</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Czech Republic</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39.6</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25.3</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Denmark</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17.8</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14.8</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Estonia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6.5</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2.8</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Finland </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35.9</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26.7</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France</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219.9</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131.4</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Germany</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276.6</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194.3</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Greece</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24.7</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18.4</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Hungary</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24.1</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14.4</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Ireland</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13.9</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11.7</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Italy</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158.0</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124.0</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Latvia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5.4</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4.5</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Lithuania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6.5</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4.3</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Luxembourg</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4.5</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4.2</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Malta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0.7</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0.5</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Netherlands</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60.7</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52.2</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Poland</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96.4</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71.6</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Portugal</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22.5</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17.4</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Romania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43.0</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30.3</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Slovakia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16.4</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9.0</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Slovenia</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7.3</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5.1</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Spain</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119.8</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80.1</w:t>
            </w:r>
          </w:p>
        </w:tc>
      </w:tr>
      <w:tr>
        <w:trPr>
          <w:trHeight w:val="255"/>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Sweden</w:t>
            </w:r>
          </w:p>
        </w:tc>
        <w:tc>
          <w:tcPr>
            <w:tcW w:w="326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43.4</w:t>
            </w:r>
          </w:p>
        </w:tc>
        <w:tc>
          <w:tcPr>
            <w:tcW w:w="3685"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30.3</w:t>
            </w:r>
          </w:p>
        </w:tc>
      </w:tr>
      <w:tr>
        <w:trPr>
          <w:trHeight w:val="270"/>
        </w:trPr>
        <w:tc>
          <w:tcPr>
            <w:tcW w:w="2268" w:type="dxa"/>
            <w:tcBorders>
              <w:top w:val="nil"/>
              <w:left w:val="single" w:sz="8" w:space="0" w:color="auto"/>
              <w:bottom w:val="double" w:sz="6"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United Kingdom</w:t>
            </w:r>
          </w:p>
        </w:tc>
        <w:tc>
          <w:tcPr>
            <w:tcW w:w="3261" w:type="dxa"/>
            <w:tcBorders>
              <w:top w:val="nil"/>
              <w:left w:val="nil"/>
              <w:bottom w:val="double" w:sz="6"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177.6</w:t>
            </w:r>
          </w:p>
        </w:tc>
        <w:tc>
          <w:tcPr>
            <w:tcW w:w="3685" w:type="dxa"/>
            <w:tcBorders>
              <w:top w:val="nil"/>
              <w:left w:val="nil"/>
              <w:bottom w:val="double" w:sz="6"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129.2</w:t>
            </w:r>
          </w:p>
        </w:tc>
      </w:tr>
      <w:tr>
        <w:trPr>
          <w:trHeight w:val="507"/>
        </w:trPr>
        <w:tc>
          <w:tcPr>
            <w:tcW w:w="2268" w:type="dxa"/>
            <w:tcBorders>
              <w:top w:val="nil"/>
              <w:left w:val="single" w:sz="8" w:space="0" w:color="auto"/>
              <w:bottom w:val="nil"/>
              <w:right w:val="single" w:sz="4" w:space="0" w:color="auto"/>
            </w:tcBorders>
            <w:shd w:val="clear" w:color="auto" w:fill="auto"/>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Sum of indicative targets EU28</w:t>
            </w:r>
          </w:p>
        </w:tc>
        <w:tc>
          <w:tcPr>
            <w:tcW w:w="3261" w:type="dxa"/>
            <w:tcBorders>
              <w:top w:val="nil"/>
              <w:left w:val="nil"/>
              <w:bottom w:val="nil"/>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1526.9</w:t>
            </w:r>
          </w:p>
        </w:tc>
        <w:tc>
          <w:tcPr>
            <w:tcW w:w="3685" w:type="dxa"/>
            <w:tcBorders>
              <w:top w:val="nil"/>
              <w:left w:val="nil"/>
              <w:bottom w:val="nil"/>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1077.5</w:t>
            </w:r>
          </w:p>
        </w:tc>
      </w:tr>
      <w:tr>
        <w:trPr>
          <w:trHeight w:val="525"/>
        </w:trPr>
        <w:tc>
          <w:tcPr>
            <w:tcW w:w="2268" w:type="dxa"/>
            <w:tcBorders>
              <w:top w:val="single" w:sz="8" w:space="0" w:color="auto"/>
              <w:left w:val="single" w:sz="8" w:space="0" w:color="auto"/>
              <w:bottom w:val="single" w:sz="8"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b/>
                <w:bCs/>
                <w:noProof/>
                <w:sz w:val="20"/>
                <w:szCs w:val="20"/>
                <w:lang w:eastAsia="en-GB"/>
              </w:rPr>
            </w:pPr>
            <w:r>
              <w:rPr>
                <w:rFonts w:ascii="Times New Roman" w:eastAsia="Times New Roman" w:hAnsi="Times New Roman" w:cs="Times New Roman"/>
                <w:b/>
                <w:bCs/>
                <w:noProof/>
                <w:sz w:val="20"/>
                <w:szCs w:val="20"/>
                <w:lang w:eastAsia="en-GB"/>
              </w:rPr>
              <w:t>EU28 target 2020</w:t>
            </w:r>
          </w:p>
        </w:tc>
        <w:tc>
          <w:tcPr>
            <w:tcW w:w="3261" w:type="dxa"/>
            <w:tcBorders>
              <w:top w:val="single" w:sz="8" w:space="0" w:color="auto"/>
              <w:left w:val="nil"/>
              <w:bottom w:val="single" w:sz="8"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sz w:val="20"/>
                <w:szCs w:val="20"/>
                <w:lang w:eastAsia="en-GB"/>
              </w:rPr>
            </w:pPr>
            <w:r>
              <w:rPr>
                <w:rFonts w:ascii="Times New Roman" w:eastAsia="Times New Roman" w:hAnsi="Times New Roman" w:cs="Times New Roman"/>
                <w:b/>
                <w:bCs/>
                <w:noProof/>
                <w:sz w:val="20"/>
                <w:szCs w:val="20"/>
                <w:lang w:eastAsia="en-GB"/>
              </w:rPr>
              <w:t>1483</w:t>
            </w:r>
          </w:p>
        </w:tc>
        <w:tc>
          <w:tcPr>
            <w:tcW w:w="3685" w:type="dxa"/>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sz w:val="20"/>
                <w:szCs w:val="20"/>
                <w:lang w:eastAsia="en-GB"/>
              </w:rPr>
            </w:pPr>
            <w:r>
              <w:rPr>
                <w:rFonts w:ascii="Times New Roman" w:eastAsia="Times New Roman" w:hAnsi="Times New Roman" w:cs="Times New Roman"/>
                <w:b/>
                <w:bCs/>
                <w:noProof/>
                <w:sz w:val="20"/>
                <w:szCs w:val="20"/>
                <w:lang w:eastAsia="en-GB"/>
              </w:rPr>
              <w:t>1086</w:t>
            </w:r>
          </w:p>
        </w:tc>
      </w:tr>
      <w:tr>
        <w:trPr>
          <w:trHeight w:val="465"/>
        </w:trPr>
        <w:tc>
          <w:tcPr>
            <w:tcW w:w="5529" w:type="dxa"/>
            <w:gridSpan w:val="2"/>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Status: 07/10/2015</w:t>
            </w:r>
          </w:p>
        </w:tc>
        <w:tc>
          <w:tcPr>
            <w:tcW w:w="3685"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p>
        </w:tc>
      </w:tr>
    </w:tbl>
    <w:p>
      <w:pPr>
        <w:pStyle w:val="Heading1"/>
        <w:numPr>
          <w:ilvl w:val="0"/>
          <w:numId w:val="0"/>
        </w:numPr>
        <w:ind w:left="850" w:hanging="850"/>
        <w:rPr>
          <w:noProof/>
        </w:rPr>
      </w:pPr>
      <w:bookmarkStart w:id="141" w:name="_Toc433203818"/>
      <w:r>
        <w:rPr>
          <w:noProof/>
        </w:rPr>
        <w:br w:type="page"/>
      </w:r>
    </w:p>
    <w:p>
      <w:pPr>
        <w:pStyle w:val="Heading1"/>
        <w:numPr>
          <w:ilvl w:val="0"/>
          <w:numId w:val="0"/>
        </w:numPr>
        <w:ind w:left="850" w:hanging="850"/>
        <w:rPr>
          <w:noProof/>
          <w:lang w:val="en-GB"/>
        </w:rPr>
      </w:pPr>
      <w:bookmarkStart w:id="142" w:name="_Toc434340530"/>
      <w:bookmarkStart w:id="143" w:name="_Toc434395320"/>
      <w:r>
        <w:rPr>
          <w:noProof/>
        </w:rPr>
        <w:t>Annex II</w:t>
      </w:r>
      <w:r>
        <w:rPr>
          <w:noProof/>
          <w:lang w:val="en-GB"/>
        </w:rPr>
        <w:t xml:space="preserve"> – </w:t>
      </w:r>
      <w:r>
        <w:rPr>
          <w:noProof/>
          <w:lang w:val="en-GB" w:eastAsia="en-GB"/>
        </w:rPr>
        <w:t>Indicators of the Annual Reports</w:t>
      </w:r>
      <w:bookmarkEnd w:id="141"/>
      <w:bookmarkEnd w:id="142"/>
      <w:bookmarkEnd w:id="143"/>
    </w:p>
    <w:p>
      <w:pPr>
        <w:pStyle w:val="Subtitle"/>
        <w:rPr>
          <w:rFonts w:cs="Times New Roman"/>
          <w:noProof/>
          <w:lang w:eastAsia="x-none"/>
        </w:rPr>
      </w:pPr>
    </w:p>
    <w:p>
      <w:pPr>
        <w:pStyle w:val="Text1"/>
        <w:ind w:left="0"/>
        <w:rPr>
          <w:noProof/>
          <w:szCs w:val="24"/>
        </w:rPr>
      </w:pPr>
      <w:r>
        <w:rPr>
          <w:noProof/>
          <w:szCs w:val="24"/>
        </w:rPr>
        <w:t xml:space="preserve">This Annex gives an overview of the indicators which Member States have to report in their Annual Reports. This staff working document refers to Member States' data published by Eurostat for comparability reasons as the data provided by Member States in their Annual Reports according to Article 24(1) and Annex XIV of the EED was often based on different or unknown definition and sources. </w:t>
      </w:r>
    </w:p>
    <w:p>
      <w:pPr>
        <w:pStyle w:val="Heading5"/>
        <w:ind w:hanging="720"/>
        <w:rPr>
          <w:rFonts w:cs="Times New Roman"/>
          <w:noProof/>
        </w:rPr>
      </w:pPr>
      <w:bookmarkStart w:id="144" w:name="_Toc433203819"/>
      <w:bookmarkStart w:id="145" w:name="_Toc434340531"/>
      <w:bookmarkStart w:id="146" w:name="_Toc434395321"/>
      <w:r>
        <w:rPr>
          <w:rFonts w:cs="Times New Roman"/>
          <w:noProof/>
        </w:rPr>
        <w:t>Austria</w:t>
      </w:r>
      <w:bookmarkEnd w:id="144"/>
      <w:bookmarkEnd w:id="145"/>
      <w:bookmarkEnd w:id="146"/>
    </w:p>
    <w:p>
      <w:pPr>
        <w:autoSpaceDE w:val="0"/>
        <w:autoSpaceDN w:val="0"/>
        <w:adjustRightInd w:val="0"/>
        <w:spacing w:after="0" w:line="240" w:lineRule="auto"/>
        <w:jc w:val="both"/>
        <w:rPr>
          <w:rFonts w:ascii="Times New Roman" w:eastAsia="Times New Roman" w:hAnsi="Times New Roman" w:cs="Times New Roman"/>
          <w:b/>
          <w:bCs/>
          <w:noProof/>
          <w:color w:val="365F91" w:themeColor="accent1" w:themeShade="BF"/>
          <w:sz w:val="28"/>
          <w:szCs w:val="28"/>
          <w:lang w:eastAsia="en-GB"/>
        </w:rPr>
      </w:pPr>
      <w:bookmarkStart w:id="147" w:name="_Toc431394746"/>
      <w:bookmarkStart w:id="148" w:name="_Toc431395722"/>
      <w:bookmarkStart w:id="149" w:name="_Toc431472513"/>
      <w:bookmarkStart w:id="150" w:name="_Toc433203820"/>
      <w:r>
        <w:rPr>
          <w:noProof/>
          <w:lang w:val="en-US"/>
        </w:rPr>
        <w:drawing>
          <wp:inline distT="0" distB="0" distL="0" distR="0">
            <wp:extent cx="5760720" cy="756122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7561222"/>
                    </a:xfrm>
                    <a:prstGeom prst="rect">
                      <a:avLst/>
                    </a:prstGeom>
                    <a:noFill/>
                    <a:ln>
                      <a:noFill/>
                    </a:ln>
                  </pic:spPr>
                </pic:pic>
              </a:graphicData>
            </a:graphic>
          </wp:inline>
        </w:drawing>
      </w:r>
    </w:p>
    <w:bookmarkEnd w:id="147"/>
    <w:bookmarkEnd w:id="148"/>
    <w:bookmarkEnd w:id="149"/>
    <w:bookmarkEnd w:id="150"/>
    <w:p>
      <w:pPr>
        <w:autoSpaceDE w:val="0"/>
        <w:autoSpaceDN w:val="0"/>
        <w:adjustRightInd w:val="0"/>
        <w:spacing w:after="0" w:line="240" w:lineRule="auto"/>
        <w:jc w:val="both"/>
        <w:rPr>
          <w:rFonts w:ascii="Times New Roman" w:eastAsia="Times New Roman" w:hAnsi="Times New Roman" w:cs="Times New Roman"/>
          <w:b/>
          <w:bCs/>
          <w:noProof/>
          <w:color w:val="365F91" w:themeColor="accent1" w:themeShade="BF"/>
          <w:sz w:val="28"/>
          <w:szCs w:val="28"/>
          <w:lang w:eastAsia="en-GB"/>
        </w:rPr>
      </w:pPr>
      <w:r>
        <w:rPr>
          <w:noProof/>
          <w:lang w:val="en-US"/>
        </w:rPr>
        <w:drawing>
          <wp:inline distT="0" distB="0" distL="0" distR="0">
            <wp:extent cx="5760720" cy="7238446"/>
            <wp:effectExtent l="0" t="0" r="0" b="0"/>
            <wp:docPr id="1251143" name="Picture 125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7238446"/>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noProof/>
        </w:rPr>
      </w:pPr>
    </w:p>
    <w:p>
      <w:pPr>
        <w:rPr>
          <w:rFonts w:ascii="Times New Roman" w:eastAsia="Calibri" w:hAnsi="Times New Roman" w:cs="Times New Roman"/>
          <w:iCs/>
          <w:noProof/>
          <w:spacing w:val="15"/>
          <w:sz w:val="18"/>
          <w:szCs w:val="24"/>
        </w:rPr>
      </w:pPr>
      <w:r>
        <w:rPr>
          <w:rFonts w:eastAsia="Calibri" w:cs="Times New Roman"/>
          <w:noProof/>
        </w:rPr>
        <w:br w:type="page"/>
      </w:r>
    </w:p>
    <w:p>
      <w:pPr>
        <w:pStyle w:val="Heading5"/>
        <w:ind w:hanging="720"/>
        <w:rPr>
          <w:rFonts w:cs="Times New Roman"/>
          <w:noProof/>
        </w:rPr>
      </w:pPr>
      <w:bookmarkStart w:id="151" w:name="_Toc434340532"/>
      <w:bookmarkStart w:id="152" w:name="_Toc434395322"/>
      <w:r>
        <w:rPr>
          <w:rFonts w:cs="Times New Roman"/>
          <w:noProof/>
        </w:rPr>
        <w:t>Belgium</w:t>
      </w:r>
      <w:bookmarkEnd w:id="151"/>
      <w:bookmarkEnd w:id="152"/>
    </w:p>
    <w:p>
      <w:pPr>
        <w:autoSpaceDE w:val="0"/>
        <w:autoSpaceDN w:val="0"/>
        <w:adjustRightInd w:val="0"/>
        <w:spacing w:after="0" w:line="240" w:lineRule="auto"/>
        <w:jc w:val="both"/>
        <w:rPr>
          <w:rFonts w:ascii="Times New Roman" w:hAnsi="Times New Roman" w:cs="Times New Roman"/>
          <w:b/>
          <w:noProof/>
        </w:rPr>
      </w:pPr>
      <w:r>
        <w:rPr>
          <w:rFonts w:cs="Times New Roman"/>
          <w:noProof/>
          <w:lang w:val="en-US"/>
        </w:rPr>
        <w:drawing>
          <wp:inline distT="0" distB="0" distL="0" distR="0">
            <wp:extent cx="5760720" cy="78283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7828386"/>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noProof/>
        </w:rPr>
      </w:pPr>
    </w:p>
    <w:p>
      <w:pPr>
        <w:autoSpaceDE w:val="0"/>
        <w:autoSpaceDN w:val="0"/>
        <w:adjustRightInd w:val="0"/>
        <w:spacing w:after="0" w:line="240" w:lineRule="auto"/>
        <w:jc w:val="both"/>
        <w:rPr>
          <w:rFonts w:ascii="Times New Roman" w:hAnsi="Times New Roman" w:cs="Times New Roman"/>
          <w:b/>
          <w:noProof/>
        </w:rPr>
      </w:pPr>
      <w:r>
        <w:rPr>
          <w:noProof/>
          <w:lang w:val="en-US"/>
        </w:rPr>
        <w:drawing>
          <wp:inline distT="0" distB="0" distL="0" distR="0">
            <wp:extent cx="5760720" cy="71100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7110095"/>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noProof/>
        </w:rPr>
      </w:pPr>
    </w:p>
    <w:p>
      <w:pPr>
        <w:rPr>
          <w:rFonts w:eastAsia="Calibri" w:cs="Times New Roman"/>
          <w:noProof/>
        </w:rPr>
      </w:pPr>
      <w:r>
        <w:rPr>
          <w:rFonts w:eastAsia="Calibri" w:cs="Times New Roman"/>
          <w:noProof/>
        </w:rPr>
        <w:br w:type="page"/>
      </w:r>
    </w:p>
    <w:p>
      <w:pPr>
        <w:pStyle w:val="Heading5"/>
        <w:ind w:hanging="720"/>
        <w:rPr>
          <w:rFonts w:cs="Times New Roman"/>
          <w:noProof/>
        </w:rPr>
      </w:pPr>
      <w:bookmarkStart w:id="153" w:name="_Toc434340533"/>
      <w:bookmarkStart w:id="154" w:name="_Toc434395323"/>
      <w:r>
        <w:rPr>
          <w:rFonts w:cs="Times New Roman"/>
          <w:noProof/>
        </w:rPr>
        <w:t>Bulgaria</w:t>
      </w:r>
      <w:bookmarkEnd w:id="153"/>
      <w:bookmarkEnd w:id="154"/>
    </w:p>
    <w:p>
      <w:pPr>
        <w:rPr>
          <w:noProof/>
        </w:rPr>
      </w:pPr>
      <w:r>
        <w:rPr>
          <w:noProof/>
          <w:lang w:val="en-US"/>
        </w:rPr>
        <w:drawing>
          <wp:inline distT="0" distB="0" distL="0" distR="0">
            <wp:extent cx="5593930" cy="7602163"/>
            <wp:effectExtent l="0" t="0" r="0" b="0"/>
            <wp:docPr id="1251147" name="Picture 125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5244" cy="7603949"/>
                    </a:xfrm>
                    <a:prstGeom prst="rect">
                      <a:avLst/>
                    </a:prstGeom>
                    <a:noFill/>
                    <a:ln>
                      <a:noFill/>
                    </a:ln>
                  </pic:spPr>
                </pic:pic>
              </a:graphicData>
            </a:graphic>
          </wp:inline>
        </w:drawing>
      </w:r>
    </w:p>
    <w:p>
      <w:pPr>
        <w:pStyle w:val="Text1"/>
        <w:rPr>
          <w:rFonts w:eastAsia="Times New Roman"/>
          <w:b/>
          <w:bCs/>
          <w:noProof/>
          <w:color w:val="365F91" w:themeColor="accent1" w:themeShade="BF"/>
          <w:sz w:val="28"/>
          <w:szCs w:val="28"/>
          <w:lang w:eastAsia="en-GB"/>
        </w:rPr>
      </w:pPr>
      <w:r>
        <w:rPr>
          <w:noProof/>
          <w:lang w:val="en-US"/>
        </w:rPr>
        <w:drawing>
          <wp:inline distT="0" distB="0" distL="0" distR="0">
            <wp:extent cx="5760720" cy="7690666"/>
            <wp:effectExtent l="0" t="0" r="0" b="0"/>
            <wp:docPr id="1251148" name="Picture 12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7690666"/>
                    </a:xfrm>
                    <a:prstGeom prst="rect">
                      <a:avLst/>
                    </a:prstGeom>
                    <a:noFill/>
                    <a:ln>
                      <a:noFill/>
                    </a:ln>
                  </pic:spPr>
                </pic:pic>
              </a:graphicData>
            </a:graphic>
          </wp:inline>
        </w:drawing>
      </w:r>
    </w:p>
    <w:p>
      <w:pPr>
        <w:spacing w:after="0" w:line="240" w:lineRule="auto"/>
        <w:jc w:val="both"/>
        <w:rPr>
          <w:rFonts w:ascii="Times New Roman" w:hAnsi="Times New Roman" w:cs="Times New Roman"/>
          <w:noProof/>
          <w:szCs w:val="20"/>
          <w:lang w:eastAsia="en-GB"/>
        </w:rPr>
      </w:pPr>
      <w:r>
        <w:rPr>
          <w:rFonts w:ascii="Times New Roman" w:hAnsi="Times New Roman" w:cs="Times New Roman"/>
          <w:noProof/>
          <w:szCs w:val="20"/>
          <w:lang w:eastAsia="en-GB"/>
        </w:rPr>
        <w:br w:type="page"/>
      </w:r>
    </w:p>
    <w:p>
      <w:pPr>
        <w:pStyle w:val="Heading5"/>
        <w:ind w:hanging="720"/>
        <w:rPr>
          <w:rFonts w:cs="Times New Roman"/>
          <w:noProof/>
        </w:rPr>
      </w:pPr>
      <w:bookmarkStart w:id="155" w:name="_Toc434395324"/>
      <w:bookmarkStart w:id="156" w:name="_Toc433203865"/>
      <w:bookmarkStart w:id="157" w:name="_Toc434340534"/>
      <w:r>
        <w:rPr>
          <w:rFonts w:cs="Times New Roman"/>
          <w:noProof/>
        </w:rPr>
        <w:t>Czech Republic</w:t>
      </w:r>
      <w:bookmarkEnd w:id="155"/>
    </w:p>
    <w:p>
      <w:pPr>
        <w:rPr>
          <w:noProof/>
        </w:rPr>
      </w:pPr>
    </w:p>
    <w:p>
      <w:pPr>
        <w:rPr>
          <w:noProof/>
        </w:rPr>
      </w:pPr>
      <w:r>
        <w:rPr>
          <w:noProof/>
          <w:lang w:val="en-US"/>
        </w:rPr>
        <w:drawing>
          <wp:inline distT="0" distB="0" distL="0" distR="0">
            <wp:extent cx="5760720" cy="734440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7344401"/>
                    </a:xfrm>
                    <a:prstGeom prst="rect">
                      <a:avLst/>
                    </a:prstGeom>
                    <a:noFill/>
                    <a:ln>
                      <a:noFill/>
                    </a:ln>
                  </pic:spPr>
                </pic:pic>
              </a:graphicData>
            </a:graphic>
          </wp:inline>
        </w:drawing>
      </w:r>
    </w:p>
    <w:p>
      <w:pPr>
        <w:rPr>
          <w:noProof/>
        </w:rPr>
      </w:pPr>
      <w:r>
        <w:rPr>
          <w:noProof/>
          <w:lang w:val="en-US"/>
        </w:rPr>
        <w:drawing>
          <wp:inline distT="0" distB="0" distL="0" distR="0">
            <wp:extent cx="5760720" cy="75555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7555533"/>
                    </a:xfrm>
                    <a:prstGeom prst="rect">
                      <a:avLst/>
                    </a:prstGeom>
                    <a:noFill/>
                    <a:ln>
                      <a:noFill/>
                    </a:ln>
                  </pic:spPr>
                </pic:pic>
              </a:graphicData>
            </a:graphic>
          </wp:inline>
        </w:drawing>
      </w:r>
    </w:p>
    <w:p>
      <w:pPr>
        <w:rPr>
          <w:noProof/>
        </w:rPr>
      </w:pPr>
      <w:r>
        <w:rPr>
          <w:noProof/>
        </w:rPr>
        <w:br w:type="page"/>
      </w:r>
    </w:p>
    <w:p>
      <w:pPr>
        <w:pStyle w:val="Heading5"/>
        <w:ind w:hanging="720"/>
        <w:rPr>
          <w:rFonts w:cs="Times New Roman"/>
          <w:noProof/>
        </w:rPr>
      </w:pPr>
      <w:bookmarkStart w:id="158" w:name="_Toc434395325"/>
      <w:r>
        <w:rPr>
          <w:rFonts w:cs="Times New Roman"/>
          <w:noProof/>
        </w:rPr>
        <w:t>Croatia</w:t>
      </w:r>
      <w:bookmarkEnd w:id="156"/>
      <w:bookmarkEnd w:id="157"/>
      <w:bookmarkEnd w:id="158"/>
    </w:p>
    <w:p>
      <w:pPr>
        <w:rPr>
          <w:noProof/>
        </w:rPr>
      </w:pPr>
      <w:r>
        <w:rPr>
          <w:noProof/>
          <w:lang w:val="en-US"/>
        </w:rPr>
        <w:drawing>
          <wp:inline distT="0" distB="0" distL="0" distR="0">
            <wp:extent cx="6014205" cy="8286750"/>
            <wp:effectExtent l="0" t="0" r="0" b="0"/>
            <wp:docPr id="1251153" name="Picture 125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5531" cy="8288577"/>
                    </a:xfrm>
                    <a:prstGeom prst="rect">
                      <a:avLst/>
                    </a:prstGeom>
                    <a:noFill/>
                    <a:ln>
                      <a:noFill/>
                    </a:ln>
                  </pic:spPr>
                </pic:pic>
              </a:graphicData>
            </a:graphic>
          </wp:inline>
        </w:drawing>
      </w:r>
    </w:p>
    <w:p>
      <w:pPr>
        <w:autoSpaceDE w:val="0"/>
        <w:autoSpaceDN w:val="0"/>
        <w:adjustRightInd w:val="0"/>
        <w:spacing w:after="0" w:line="240" w:lineRule="auto"/>
        <w:rPr>
          <w:rFonts w:ascii="Times New Roman" w:hAnsi="Times New Roman" w:cs="Times New Roman"/>
          <w:bCs/>
          <w:noProof/>
          <w:color w:val="000000" w:themeColor="text1"/>
          <w:lang w:eastAsia="en-GB"/>
        </w:rPr>
      </w:pPr>
      <w:r>
        <w:rPr>
          <w:noProof/>
          <w:lang w:val="en-US"/>
        </w:rPr>
        <w:drawing>
          <wp:inline distT="0" distB="0" distL="0" distR="0">
            <wp:extent cx="5760720" cy="7554782"/>
            <wp:effectExtent l="0" t="0" r="0" b="0"/>
            <wp:docPr id="1251156" name="Picture 125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7554782"/>
                    </a:xfrm>
                    <a:prstGeom prst="rect">
                      <a:avLst/>
                    </a:prstGeom>
                    <a:noFill/>
                    <a:ln>
                      <a:noFill/>
                    </a:ln>
                  </pic:spPr>
                </pic:pic>
              </a:graphicData>
            </a:graphic>
          </wp:inline>
        </w:drawing>
      </w:r>
    </w:p>
    <w:p>
      <w:pPr>
        <w:rPr>
          <w:rFonts w:ascii="Times New Roman" w:hAnsi="Times New Roman" w:cs="Times New Roman"/>
          <w:bCs/>
          <w:noProof/>
          <w:color w:val="000000" w:themeColor="text1"/>
          <w:lang w:eastAsia="en-GB"/>
        </w:rPr>
      </w:pPr>
      <w:r>
        <w:rPr>
          <w:rFonts w:ascii="Times New Roman" w:hAnsi="Times New Roman" w:cs="Times New Roman"/>
          <w:bCs/>
          <w:noProof/>
          <w:color w:val="000000" w:themeColor="text1"/>
          <w:lang w:eastAsia="en-GB"/>
        </w:rPr>
        <w:br w:type="page"/>
      </w:r>
    </w:p>
    <w:p>
      <w:pPr>
        <w:pStyle w:val="Heading5"/>
        <w:ind w:hanging="720"/>
        <w:rPr>
          <w:rFonts w:cs="Times New Roman"/>
          <w:noProof/>
        </w:rPr>
      </w:pPr>
      <w:bookmarkStart w:id="159" w:name="_Toc433203874"/>
      <w:bookmarkStart w:id="160" w:name="_Toc434340535"/>
      <w:bookmarkStart w:id="161" w:name="_Toc434395326"/>
      <w:r>
        <w:rPr>
          <w:rFonts w:cs="Times New Roman"/>
          <w:noProof/>
        </w:rPr>
        <w:t>Cyprus</w:t>
      </w:r>
      <w:bookmarkEnd w:id="159"/>
      <w:bookmarkEnd w:id="160"/>
      <w:bookmarkEnd w:id="161"/>
    </w:p>
    <w:p>
      <w:pPr>
        <w:autoSpaceDE w:val="0"/>
        <w:autoSpaceDN w:val="0"/>
        <w:adjustRightInd w:val="0"/>
        <w:spacing w:after="0" w:line="240" w:lineRule="auto"/>
        <w:jc w:val="both"/>
        <w:rPr>
          <w:rFonts w:ascii="Times New Roman" w:eastAsia="Times New Roman" w:hAnsi="Times New Roman" w:cs="Times New Roman"/>
          <w:b/>
          <w:bCs/>
          <w:noProof/>
          <w:color w:val="365F91" w:themeColor="accent1" w:themeShade="BF"/>
          <w:sz w:val="28"/>
          <w:szCs w:val="28"/>
          <w:lang w:eastAsia="en-GB"/>
        </w:rPr>
      </w:pPr>
    </w:p>
    <w:p>
      <w:pPr>
        <w:rPr>
          <w:rFonts w:ascii="Times New Roman" w:hAnsi="Times New Roman" w:cs="Times New Roman"/>
          <w:noProof/>
        </w:rPr>
      </w:pPr>
      <w:r>
        <w:rPr>
          <w:noProof/>
          <w:lang w:val="en-US"/>
        </w:rPr>
        <w:drawing>
          <wp:inline distT="0" distB="0" distL="0" distR="0">
            <wp:extent cx="5760720" cy="7716142"/>
            <wp:effectExtent l="0" t="0" r="0" b="0"/>
            <wp:docPr id="1251157" name="Picture 125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7716142"/>
                    </a:xfrm>
                    <a:prstGeom prst="rect">
                      <a:avLst/>
                    </a:prstGeom>
                    <a:noFill/>
                    <a:ln>
                      <a:noFill/>
                    </a:ln>
                  </pic:spPr>
                </pic:pic>
              </a:graphicData>
            </a:graphic>
          </wp:inline>
        </w:drawing>
      </w:r>
    </w:p>
    <w:p>
      <w:pPr>
        <w:rPr>
          <w:rFonts w:ascii="Times New Roman" w:hAnsi="Times New Roman" w:cs="Times New Roman"/>
          <w:noProof/>
        </w:rPr>
      </w:pPr>
      <w:r>
        <w:rPr>
          <w:noProof/>
          <w:lang w:val="en-US"/>
        </w:rPr>
        <w:drawing>
          <wp:inline distT="0" distB="0" distL="0" distR="0">
            <wp:extent cx="5760720" cy="7110552"/>
            <wp:effectExtent l="0" t="0" r="0" b="0"/>
            <wp:docPr id="1251158" name="Picture 125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7110552"/>
                    </a:xfrm>
                    <a:prstGeom prst="rect">
                      <a:avLst/>
                    </a:prstGeom>
                    <a:noFill/>
                    <a:ln>
                      <a:noFill/>
                    </a:ln>
                  </pic:spPr>
                </pic:pic>
              </a:graphicData>
            </a:graphic>
          </wp:inline>
        </w:drawing>
      </w: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r>
        <w:rPr>
          <w:rFonts w:ascii="Times New Roman" w:hAnsi="Times New Roman" w:cs="Times New Roman"/>
          <w:noProof/>
        </w:rPr>
        <w:br w:type="page"/>
      </w:r>
    </w:p>
    <w:p>
      <w:pPr>
        <w:pStyle w:val="Heading5"/>
        <w:ind w:hanging="720"/>
        <w:rPr>
          <w:rFonts w:cs="Times New Roman"/>
          <w:noProof/>
        </w:rPr>
      </w:pPr>
      <w:bookmarkStart w:id="162" w:name="_Toc433203883"/>
      <w:bookmarkStart w:id="163" w:name="_Toc434340536"/>
      <w:bookmarkStart w:id="164" w:name="_Toc434395327"/>
      <w:r>
        <w:rPr>
          <w:rFonts w:cs="Times New Roman"/>
          <w:noProof/>
        </w:rPr>
        <w:t>Denmark</w:t>
      </w:r>
      <w:bookmarkEnd w:id="162"/>
      <w:bookmarkEnd w:id="163"/>
      <w:bookmarkEnd w:id="164"/>
    </w:p>
    <w:p>
      <w:pPr>
        <w:autoSpaceDE w:val="0"/>
        <w:autoSpaceDN w:val="0"/>
        <w:adjustRightInd w:val="0"/>
        <w:spacing w:after="0" w:line="240" w:lineRule="auto"/>
        <w:jc w:val="both"/>
        <w:rPr>
          <w:rFonts w:ascii="Times New Roman" w:eastAsia="Times New Roman" w:hAnsi="Times New Roman" w:cs="Times New Roman"/>
          <w:b/>
          <w:bCs/>
          <w:noProof/>
          <w:color w:val="365F91" w:themeColor="accent1" w:themeShade="BF"/>
          <w:sz w:val="28"/>
          <w:szCs w:val="28"/>
          <w:lang w:eastAsia="en-GB"/>
        </w:rPr>
      </w:pPr>
    </w:p>
    <w:p>
      <w:pPr>
        <w:autoSpaceDE w:val="0"/>
        <w:autoSpaceDN w:val="0"/>
        <w:adjustRightInd w:val="0"/>
        <w:spacing w:after="0" w:line="240" w:lineRule="auto"/>
        <w:jc w:val="both"/>
        <w:rPr>
          <w:rFonts w:ascii="Times New Roman" w:eastAsia="Times New Roman" w:hAnsi="Times New Roman" w:cs="Times New Roman"/>
          <w:b/>
          <w:bCs/>
          <w:noProof/>
          <w:color w:val="365F91" w:themeColor="accent1" w:themeShade="BF"/>
          <w:sz w:val="28"/>
          <w:szCs w:val="28"/>
          <w:lang w:eastAsia="en-GB"/>
        </w:rPr>
      </w:pPr>
      <w:r>
        <w:rPr>
          <w:noProof/>
          <w:lang w:val="en-US"/>
        </w:rPr>
        <w:drawing>
          <wp:inline distT="0" distB="0" distL="0" distR="0">
            <wp:extent cx="5760720" cy="7716142"/>
            <wp:effectExtent l="0" t="0" r="0" b="0"/>
            <wp:docPr id="1251159" name="Picture 125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7716142"/>
                    </a:xfrm>
                    <a:prstGeom prst="rect">
                      <a:avLst/>
                    </a:prstGeom>
                    <a:noFill/>
                    <a:ln>
                      <a:noFill/>
                    </a:ln>
                  </pic:spPr>
                </pic:pic>
              </a:graphicData>
            </a:graphic>
          </wp:inline>
        </w:drawing>
      </w:r>
    </w:p>
    <w:p>
      <w:pPr>
        <w:rPr>
          <w:rFonts w:ascii="Times New Roman" w:eastAsia="Calibri" w:hAnsi="Times New Roman" w:cs="Times New Roman"/>
          <w:noProof/>
          <w:szCs w:val="20"/>
          <w:lang w:eastAsia="en-GB"/>
        </w:rPr>
      </w:pPr>
    </w:p>
    <w:p>
      <w:pPr>
        <w:rPr>
          <w:rFonts w:ascii="Times New Roman" w:eastAsia="Calibri" w:hAnsi="Times New Roman" w:cs="Times New Roman"/>
          <w:noProof/>
          <w:szCs w:val="20"/>
          <w:lang w:eastAsia="en-GB"/>
        </w:rPr>
      </w:pPr>
      <w:r>
        <w:rPr>
          <w:noProof/>
          <w:lang w:val="en-US"/>
        </w:rPr>
        <w:drawing>
          <wp:inline distT="0" distB="0" distL="0" distR="0">
            <wp:extent cx="5760720" cy="7110552"/>
            <wp:effectExtent l="0" t="0" r="0" b="0"/>
            <wp:docPr id="1251160" name="Picture 125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7110552"/>
                    </a:xfrm>
                    <a:prstGeom prst="rect">
                      <a:avLst/>
                    </a:prstGeom>
                    <a:noFill/>
                    <a:ln>
                      <a:noFill/>
                    </a:ln>
                  </pic:spPr>
                </pic:pic>
              </a:graphicData>
            </a:graphic>
          </wp:inline>
        </w:drawing>
      </w:r>
    </w:p>
    <w:p>
      <w:pPr>
        <w:rPr>
          <w:rFonts w:ascii="Times New Roman" w:eastAsia="Calibri" w:hAnsi="Times New Roman" w:cs="Times New Roman"/>
          <w:noProof/>
          <w:szCs w:val="20"/>
          <w:lang w:eastAsia="en-GB"/>
        </w:rPr>
      </w:pPr>
    </w:p>
    <w:p>
      <w:pPr>
        <w:rPr>
          <w:rFonts w:ascii="Times New Roman" w:eastAsia="Calibri" w:hAnsi="Times New Roman" w:cs="Times New Roman"/>
          <w:noProof/>
          <w:szCs w:val="20"/>
          <w:lang w:eastAsia="en-GB"/>
        </w:rPr>
      </w:pPr>
    </w:p>
    <w:sectPr>
      <w:headerReference w:type="even" r:id="rId78"/>
      <w:headerReference w:type="default" r:id="rId79"/>
      <w:footerReference w:type="even" r:id="rId80"/>
      <w:footerReference w:type="default" r:id="rId81"/>
      <w:headerReference w:type="first" r:id="rId82"/>
      <w:footerReference w:type="first" r:id="rId8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31053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175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39111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67612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pPr>
      <w:r>
        <w:rPr>
          <w:rStyle w:val="FootnoteReference"/>
        </w:rPr>
        <w:footnoteRef/>
      </w:r>
      <w:r>
        <w:t xml:space="preserve"> </w:t>
      </w:r>
      <w:r>
        <w:rPr>
          <w:rFonts w:ascii="Times New Roman" w:hAnsi="Times New Roman" w:cs="Times New Roman"/>
        </w:rPr>
        <w:t>Final energy consumption is the energy supplied to industry, transport, households, services and agriculture excluding deliveries to the energy transformation sector and the energy industries themselves. Eurostat data used with code nrg_100a.</w:t>
      </w:r>
    </w:p>
  </w:footnote>
  <w:footnote w:id="2">
    <w:p>
      <w:pPr>
        <w:pStyle w:val="FootnoteText"/>
        <w:jc w:val="both"/>
      </w:pPr>
      <w:r>
        <w:rPr>
          <w:rStyle w:val="FootnoteReference"/>
        </w:rPr>
        <w:footnoteRef/>
      </w:r>
      <w:r>
        <w:t xml:space="preserve"> </w:t>
      </w:r>
      <w:r>
        <w:rPr>
          <w:rFonts w:ascii="Times New Roman" w:hAnsi="Times New Roman" w:cs="Times New Roman"/>
        </w:rPr>
        <w:t>2013 is the most recent year for which data are available from Eurostat. 2005 was chosen because it allows consistency with the EU energy and climate framework where both the GHG and RES targets are set against 2005 as the base year. 2005 is also seen as the break point by Marvin J Horowitz and Paolo Bertoldi: A harmonized calculation model for transforming EU bottom-up energy efficiency indicators into empirical estimates of policy impacts, in Energy Economics 51(2015).</w:t>
      </w:r>
    </w:p>
  </w:footnote>
  <w:footnote w:id="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This document refers to Member States' data published by Eurostat for comparability reasons mainly. The data provided by Member States in the Annual Reports according to Article 24(1) and Annex XIV of the EED are often based on different or unknown definitions and sources. The Commission will try to further align the data reported under Article 24(1) and Annex XIV of the EED in the future. </w:t>
      </w:r>
    </w:p>
    <w:p>
      <w:pPr>
        <w:pStyle w:val="FootnoteText"/>
        <w:jc w:val="both"/>
      </w:pPr>
      <w:r>
        <w:rPr>
          <w:rFonts w:ascii="Times New Roman" w:hAnsi="Times New Roman" w:cs="Times New Roman"/>
        </w:rPr>
        <w:t>The average change rates of the different indicators are calculated for each year of the indicated time period (here 2005-2013) and then divided by the number of years of this time period. This method was applied to take into account the changes between the years and not only the changes between the first and the last of the indicated time period. This method is applied for all calculations of average change rates in this document.</w:t>
      </w:r>
    </w:p>
  </w:footnote>
  <w:footnote w:id="4">
    <w:p>
      <w:pPr>
        <w:pStyle w:val="FootnoteText"/>
        <w:jc w:val="both"/>
      </w:pPr>
      <w:r>
        <w:rPr>
          <w:rStyle w:val="FootnoteReference"/>
        </w:rPr>
        <w:footnoteRef/>
      </w:r>
      <w:r>
        <w:t xml:space="preserve"> </w:t>
      </w:r>
      <w:r>
        <w:rPr>
          <w:rFonts w:ascii="Times New Roman" w:hAnsi="Times New Roman" w:cs="Times New Roman"/>
        </w:rPr>
        <w:t>Primary energy consumption is the gross inland consumption excluding non-energy uses. It includes generation/ transformation losses, the consumption of the energy transformation sector and network losses compared to final energy consumption. Eurostat data used with code nrg_100a.</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new targets were notified to the European Commission in the NEEAPs of 2014 or directly to the Commission. An overview of the indicative targets can be found in Annex I.</w:t>
      </w:r>
    </w:p>
  </w:footnote>
  <w:footnote w:id="6">
    <w:p>
      <w:pPr>
        <w:pStyle w:val="FootnoteText"/>
        <w:jc w:val="both"/>
      </w:pPr>
      <w:r>
        <w:rPr>
          <w:rStyle w:val="FootnoteReference"/>
        </w:rPr>
        <w:footnoteRef/>
      </w:r>
      <w:r>
        <w:t xml:space="preserve"> </w:t>
      </w:r>
      <w:r>
        <w:rPr>
          <w:rFonts w:ascii="Times New Roman" w:hAnsi="Times New Roman" w:cs="Times New Roman"/>
        </w:rPr>
        <w:t xml:space="preserve">European Commission, European Economic Forecast Spring 2015 </w:t>
      </w:r>
      <w:hyperlink r:id="rId1" w:history="1">
        <w:r>
          <w:rPr>
            <w:rStyle w:val="Hyperlink"/>
            <w:rFonts w:ascii="Times New Roman" w:hAnsi="Times New Roman" w:cs="Times New Roman"/>
          </w:rPr>
          <w:t>http://ec.europa.eu/economy_finance/publications/european_economy/2015/pdf/ee2_en.pdf</w:t>
        </w:r>
      </w:hyperlink>
      <w:r>
        <w:rPr>
          <w:rFonts w:ascii="Times New Roman" w:hAnsi="Times New Roman" w:cs="Times New Roman"/>
        </w:rPr>
        <w:t xml:space="preserve">. </w:t>
      </w:r>
    </w:p>
  </w:footnote>
  <w:footnote w:id="7">
    <w:p>
      <w:pPr>
        <w:pStyle w:val="FootnoteText"/>
        <w:jc w:val="both"/>
      </w:pPr>
      <w:r>
        <w:rPr>
          <w:rStyle w:val="FootnoteReference"/>
        </w:rPr>
        <w:footnoteRef/>
      </w:r>
      <w:r>
        <w:t xml:space="preserve"> </w:t>
      </w:r>
      <w:r>
        <w:rPr>
          <w:rFonts w:ascii="Times New Roman" w:hAnsi="Times New Roman" w:cs="Times New Roman"/>
        </w:rPr>
        <w:t>The average annual change PEC from 2014 to 2020 to achieve the 2020 PEC target is 0% for the Czech Republic, Denmark, Estonia. Therefore, no column appears for these Member States in the graph.</w:t>
      </w:r>
      <w:r>
        <w:t xml:space="preserve"> </w:t>
      </w:r>
    </w:p>
  </w:footnote>
  <w:footnote w:id="8">
    <w:p>
      <w:pPr>
        <w:pStyle w:val="FootnoteText"/>
      </w:pPr>
      <w:r>
        <w:rPr>
          <w:rStyle w:val="FootnoteReference"/>
        </w:rPr>
        <w:footnoteRef/>
      </w:r>
      <w:r>
        <w:t xml:space="preserve"> </w:t>
      </w:r>
      <w:r>
        <w:rPr>
          <w:rFonts w:ascii="Times New Roman" w:hAnsi="Times New Roman" w:cs="Times New Roman"/>
        </w:rPr>
        <w:t>Based on the ECFIN 2015 medium term forecast.</w:t>
      </w:r>
    </w:p>
  </w:footnote>
  <w:footnote w:id="9">
    <w:p>
      <w:pPr>
        <w:pStyle w:val="FootnoteText"/>
        <w:jc w:val="both"/>
      </w:pPr>
      <w:r>
        <w:rPr>
          <w:rStyle w:val="FootnoteReference"/>
        </w:rPr>
        <w:footnoteRef/>
      </w:r>
      <w:r>
        <w:t xml:space="preserve"> </w:t>
      </w:r>
      <w:r>
        <w:rPr>
          <w:rFonts w:ascii="Times New Roman" w:hAnsi="Times New Roman" w:cs="Times New Roman"/>
        </w:rPr>
        <w:t xml:space="preserve">See European Environmental Agency (2015): Trends and projections in Europe 2015 (see </w:t>
      </w:r>
      <w:hyperlink r:id="rId2" w:history="1">
        <w:r>
          <w:rPr>
            <w:rStyle w:val="Hyperlink"/>
            <w:rFonts w:ascii="Times New Roman" w:hAnsi="Times New Roman" w:cs="Times New Roman"/>
          </w:rPr>
          <w:t>http://www.eea.europa.eu/publications</w:t>
        </w:r>
      </w:hyperlink>
      <w:r>
        <w:rPr>
          <w:rFonts w:ascii="Times New Roman" w:hAnsi="Times New Roman" w:cs="Times New Roman"/>
        </w:rPr>
        <w:t>).</w:t>
      </w:r>
    </w:p>
  </w:footnote>
  <w:footnote w:id="10">
    <w:p>
      <w:pPr>
        <w:pStyle w:val="FootnoteText"/>
        <w:jc w:val="both"/>
      </w:pPr>
      <w:r>
        <w:rPr>
          <w:rStyle w:val="FootnoteReference"/>
        </w:rPr>
        <w:footnoteRef/>
      </w:r>
      <w:r>
        <w:t xml:space="preserve"> </w:t>
      </w:r>
      <w:r>
        <w:rPr>
          <w:rFonts w:ascii="Times New Roman" w:hAnsi="Times New Roman" w:cs="Times New Roman"/>
        </w:rPr>
        <w:t xml:space="preserve">Real GDP growth rates, expressed in chain-linked volumes with a reference year 2005. The reference year 2005 is used in this report compared to the indicator report SWD(2015) 243 in which GDP growth rates are expressed in chain-linked volumes with a reference year 2010. The reason is that in the Guidance for National Energy Efficiency Action Plans and Annual Reports SWD (2013) 180 Member States are required to deliver data on GDP growth rates, expressed in chain-linked volumes with a reference year 2005. </w:t>
      </w:r>
    </w:p>
  </w:footnote>
  <w:footnote w:id="11">
    <w:p>
      <w:pPr>
        <w:pStyle w:val="FootnoteText"/>
        <w:jc w:val="both"/>
      </w:pPr>
      <w:r>
        <w:rPr>
          <w:rStyle w:val="FootnoteReference"/>
        </w:rPr>
        <w:footnoteRef/>
      </w:r>
      <w:r>
        <w:t xml:space="preserve"> </w:t>
      </w:r>
      <w:r>
        <w:rPr>
          <w:rFonts w:ascii="Times New Roman" w:hAnsi="Times New Roman" w:cs="Times New Roman"/>
        </w:rPr>
        <w:t>Energy intensity is defined as primary energy consumption divided by GDP. Changes in energy consumption or energy intensity can be explained through energy efficiency measures, but also changes in the economic output. Other factors also come into play, such as changes in the structure of the economy, in the energy mix, energy prices and weather conditions. For example an increase of generation from renewable energy sources reduces the primary energy consumption as energy from renewable energy is in most cases considered to have 100 % transformation efficiency. An increase of the renewable share improves statistically the overall conversion efficiency with regard to primary energy consumption. An analysis of drivers for energy intensity improvements and other energy trends can be found in 'Member States' Energy Dependence: An Indicator-Based Assessment', ECFIN Occasional Papers 196, June 2014 and 'Trends in Energy Consumption and Energy Efficiency 2000 – 2012', JRC, 2015.</w:t>
      </w:r>
    </w:p>
  </w:footnote>
  <w:footnote w:id="12">
    <w:p>
      <w:pPr>
        <w:pStyle w:val="FootnoteText"/>
        <w:jc w:val="both"/>
      </w:pPr>
      <w:r>
        <w:rPr>
          <w:rStyle w:val="FootnoteReference"/>
        </w:rPr>
        <w:footnoteRef/>
      </w:r>
      <w:r>
        <w:t xml:space="preserve"> </w:t>
      </w:r>
      <w:r>
        <w:rPr>
          <w:rFonts w:ascii="Times New Roman" w:hAnsi="Times New Roman" w:cs="Times New Roman"/>
        </w:rPr>
        <w:t>Energy intensity of the industry sector is defined as the final energy consumption of the industry sector (Eurostat code: nama_10_a10 and tsdpc320) divided by the gross value added of industry and the construction sector (in chain linked volumes (2005)).</w:t>
      </w:r>
    </w:p>
  </w:footnote>
  <w:footnote w:id="13">
    <w:p>
      <w:pPr>
        <w:pStyle w:val="FootnoteText"/>
        <w:jc w:val="both"/>
      </w:pPr>
      <w:r>
        <w:rPr>
          <w:rStyle w:val="FootnoteReference"/>
        </w:rPr>
        <w:footnoteRef/>
      </w:r>
      <w:r>
        <w:t xml:space="preserve"> </w:t>
      </w:r>
      <w:r>
        <w:rPr>
          <w:rFonts w:ascii="Times New Roman" w:hAnsi="Times New Roman" w:cs="Times New Roman"/>
        </w:rPr>
        <w:t>As energy is used in particular in southern Member States for cooling purposes, "cooling degree days" should also be taken into account. Eurostat is currently developing a methodology</w:t>
      </w:r>
      <w:r>
        <w:t xml:space="preserve">. </w:t>
      </w:r>
    </w:p>
  </w:footnote>
  <w:footnote w:id="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for further details: http://www.odyssee-mure.eu/project.html.</w:t>
      </w:r>
    </w:p>
  </w:footnote>
  <w:footnote w:id="15">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Odyssee-Mure database: </w:t>
      </w:r>
      <w:hyperlink r:id="rId3" w:history="1">
        <w:r>
          <w:rPr>
            <w:rStyle w:val="Hyperlink"/>
            <w:rFonts w:ascii="Times New Roman" w:hAnsi="Times New Roman" w:cs="Times New Roman"/>
          </w:rPr>
          <w:t>http://www.indicators.odyssee-mure.eu/online-indicators.html</w:t>
        </w:r>
      </w:hyperlink>
      <w:r>
        <w:rPr>
          <w:rStyle w:val="Hyperlink"/>
          <w:rFonts w:ascii="Times New Roman" w:hAnsi="Times New Roman" w:cs="Times New Roman"/>
        </w:rPr>
        <w:t>.</w:t>
      </w:r>
      <w:r>
        <w:rPr>
          <w:rFonts w:ascii="Times New Roman" w:hAnsi="Times New Roman" w:cs="Times New Roman"/>
        </w:rPr>
        <w:t xml:space="preserve"> The increase in Italy is due to a revision of the biomass consumption in recent years according to the Odyssee-Mure (2015): Energy Efficiency Trends and Policies in Buildings.</w:t>
      </w:r>
    </w:p>
  </w:footnote>
  <w:footnote w:id="16">
    <w:p>
      <w:pPr>
        <w:pStyle w:val="FootnoteText"/>
        <w:jc w:val="both"/>
      </w:pPr>
      <w:r>
        <w:rPr>
          <w:rStyle w:val="FootnoteReference"/>
        </w:rPr>
        <w:footnoteRef/>
      </w:r>
      <w:r>
        <w:t xml:space="preserve"> </w:t>
      </w:r>
      <w:r>
        <w:rPr>
          <w:rFonts w:ascii="Times New Roman" w:hAnsi="Times New Roman" w:cs="Times New Roman"/>
        </w:rPr>
        <w:t>This indicator is defined as final energy consumption by services (Eurostat code: tsdpc320) divided by the gross value added (Eurostat code: nama_10_a10) of wholesale and retail trade, transport, accommodation and food service activities, information and communication, financial and insurance activities,</w:t>
      </w:r>
      <w:r>
        <w:t xml:space="preserve"> </w:t>
      </w:r>
      <w:r>
        <w:rPr>
          <w:rFonts w:ascii="Times New Roman" w:hAnsi="Times New Roman" w:cs="Times New Roman"/>
        </w:rPr>
        <w:t xml:space="preserve">real estate activities, professional, scientific and technical activities; administrative and support service activities, public administration, defence, education, human health and social work activities, Arts, entertainment and recreation; other service activities; activities of household and extra-territorial organizations and bodies and normalised with the heating degree days which can be found under </w:t>
      </w:r>
      <w:hyperlink r:id="rId4" w:history="1">
        <w:r>
          <w:rPr>
            <w:rStyle w:val="Hyperlink"/>
            <w:rFonts w:ascii="Times New Roman" w:hAnsi="Times New Roman" w:cs="Times New Roman"/>
          </w:rPr>
          <w:t>http://ec.europa.eu/eurostat/web/energy/data</w:t>
        </w:r>
      </w:hyperlink>
      <w:r>
        <w:rPr>
          <w:rFonts w:ascii="Times New Roman" w:hAnsi="Times New Roman" w:cs="Times New Roman"/>
        </w:rPr>
        <w:t>.</w:t>
      </w:r>
    </w:p>
  </w:footnote>
  <w:footnote w:id="17">
    <w:p>
      <w:pPr>
        <w:pStyle w:val="FootnoteText"/>
        <w:jc w:val="both"/>
        <w:rPr>
          <w:rFonts w:ascii="Times New Roman" w:hAnsi="Times New Roman" w:cs="Times New Roman"/>
        </w:rPr>
      </w:pPr>
      <w:r>
        <w:rPr>
          <w:rStyle w:val="FootnoteReference"/>
        </w:rPr>
        <w:footnoteRef/>
      </w:r>
      <w:r>
        <w:rPr>
          <w:rStyle w:val="FootnoteReference"/>
        </w:rPr>
        <w:t xml:space="preserve"> </w:t>
      </w:r>
      <w:r>
        <w:rPr>
          <w:rFonts w:ascii="Times New Roman" w:hAnsi="Times New Roman" w:cs="Times New Roman"/>
        </w:rPr>
        <w:t>Eurostat data used with the code: tsdpc320.</w:t>
      </w:r>
    </w:p>
  </w:footnote>
  <w:footnote w:id="18">
    <w:p>
      <w:pPr>
        <w:pStyle w:val="FootnoteText"/>
        <w:tabs>
          <w:tab w:val="left" w:pos="284"/>
        </w:tabs>
        <w:ind w:left="284" w:hanging="284"/>
        <w:jc w:val="both"/>
      </w:pPr>
      <w:r>
        <w:rPr>
          <w:rStyle w:val="FootnoteReference"/>
        </w:rPr>
        <w:footnoteRef/>
      </w:r>
      <w:r>
        <w:rPr>
          <w:rStyle w:val="FootnoteReference"/>
        </w:rPr>
        <w:t xml:space="preserve"> </w:t>
      </w:r>
      <w:r>
        <w:rPr>
          <w:rFonts w:ascii="Times New Roman" w:hAnsi="Times New Roman" w:cs="Times New Roman"/>
        </w:rPr>
        <w:t>The indicator is defined as the share of trains, motor coaches, buses and trolley buses (Eurostat code: tran_hv_psmod).</w:t>
      </w:r>
    </w:p>
  </w:footnote>
  <w:footnote w:id="19">
    <w:p>
      <w:pPr>
        <w:pStyle w:val="FootnoteText"/>
        <w:tabs>
          <w:tab w:val="left" w:pos="284"/>
        </w:tabs>
        <w:ind w:left="284" w:hanging="284"/>
        <w:jc w:val="both"/>
      </w:pPr>
      <w:r>
        <w:rPr>
          <w:rStyle w:val="FootnoteReference"/>
        </w:rPr>
        <w:footnoteRef/>
      </w:r>
      <w:r>
        <w:rPr>
          <w:rStyle w:val="FootnoteReference"/>
        </w:rPr>
        <w:t xml:space="preserve"> </w:t>
      </w:r>
      <w:r>
        <w:rPr>
          <w:rFonts w:ascii="Times New Roman" w:hAnsi="Times New Roman" w:cs="Times New Roman"/>
        </w:rPr>
        <w:t>The indicator is defined as the share of railways and inland waterways for freight transport (Eurostat code: tran_hv_frmod).</w:t>
      </w:r>
    </w:p>
  </w:footnote>
  <w:footnote w:id="20">
    <w:p>
      <w:pPr>
        <w:pStyle w:val="FootnoteText"/>
      </w:pPr>
      <w:r>
        <w:rPr>
          <w:rStyle w:val="FootnoteReference"/>
        </w:rPr>
        <w:footnoteRef/>
      </w:r>
      <w:r>
        <w:t xml:space="preserve"> </w:t>
      </w:r>
      <w:r>
        <w:rPr>
          <w:rFonts w:ascii="Times New Roman" w:hAnsi="Times New Roman" w:cs="Times New Roman"/>
        </w:rPr>
        <w:t>See Renewable energy progress report COM(2015) 293 final.</w:t>
      </w:r>
    </w:p>
  </w:footnote>
  <w:footnote w:id="21">
    <w:p>
      <w:pPr>
        <w:pStyle w:val="FootnoteText"/>
        <w:jc w:val="both"/>
      </w:pPr>
      <w:r>
        <w:rPr>
          <w:rStyle w:val="FootnoteReference"/>
        </w:rPr>
        <w:footnoteRef/>
      </w:r>
      <w:r>
        <w:t xml:space="preserve"> </w:t>
      </w:r>
      <w:r>
        <w:rPr>
          <w:rFonts w:ascii="Times New Roman" w:hAnsi="Times New Roman" w:cs="Times New Roman"/>
        </w:rPr>
        <w:t>According to Article 24(5) EED, the Commission shall review the continued need for the possibility of exemptions possible under Article 14(6) for the first time in its assessment of the first NEEAPs and every three years thereafter. Based on the notifications describing the exemptions, which had to be notified to the Commission by 31 December 2013, the Commission comes to the conclusion that a detailed analysis is not possible at this stage. Without the comprehensive assessments by Member States which will be due by end of 2015 it seems to be premature to conclude if the criteria for these exemptions can longer be justified. Therefore, the Commission is planning to perform a detailed analysis after the required information is available.</w:t>
      </w:r>
      <w:r>
        <w:t xml:space="preserve"> </w:t>
      </w:r>
    </w:p>
  </w:footnote>
  <w:footnote w:id="22">
    <w:p>
      <w:pPr>
        <w:pStyle w:val="FootnoteText"/>
      </w:pPr>
      <w:r>
        <w:rPr>
          <w:rStyle w:val="FootnoteReference"/>
        </w:rPr>
        <w:footnoteRef/>
      </w:r>
      <w:r>
        <w:t xml:space="preserve"> </w:t>
      </w:r>
      <w:r>
        <w:rPr>
          <w:rFonts w:ascii="Times New Roman" w:hAnsi="Times New Roman" w:cs="Times New Roman"/>
        </w:rPr>
        <w:t>This indicator is defined as the sum of gross heat production from 1) Main activity CHP plants – Nuclear; 2) Autoproducer CHP plants – Nuclear; 3) Main activity CHP plants – Geothermal; 4) Autoproducer CHP plants – Geothermal; 5) Main activity CHP plants – Solar; 6) Autoproducer CHP plants – Solar; 7) Main activity CHP plants - Combustible Fuels; 8) Autoproducer CHP plants - Combustible Fuels; 9) Main activity CHP plants - Heat Pumps; 10) Autoproducer CHP plants - Heat Pumps; 11) Main activity CHP plants - Electric Boilers; 12) Autoproducer CHP plants - Electric Boilers; 13) Autoproducer CHP plants - Electric Boilers; 14) Main activity CHP plants - Other Sources; 15) Autoproducer CHP plants - Other Sources (Eurostat code: nrg_106a).</w:t>
      </w:r>
    </w:p>
  </w:footnote>
  <w:footnote w:id="23">
    <w:p>
      <w:pPr>
        <w:pStyle w:val="FootnoteText"/>
      </w:pPr>
      <w:r>
        <w:rPr>
          <w:rStyle w:val="FootnoteReference"/>
        </w:rPr>
        <w:footnoteRef/>
      </w:r>
      <w:r>
        <w:t xml:space="preserve"> </w:t>
      </w:r>
      <w:r>
        <w:rPr>
          <w:rFonts w:ascii="Times New Roman" w:hAnsi="Times New Roman" w:cs="Times New Roman"/>
        </w:rPr>
        <w:t xml:space="preserve">Eurostat data 'Transformation output - District Heating Plants' used from complete energy balances - annual data (Eurostat code: nrg_110a). No data is available for Cyprus, Greece, Ireland, Italy, Malta, Portugal and Spain.  </w:t>
      </w:r>
    </w:p>
  </w:footnote>
  <w:footnote w:id="24">
    <w:p>
      <w:pPr>
        <w:pStyle w:val="FootnoteText"/>
        <w:jc w:val="both"/>
      </w:pPr>
      <w:r>
        <w:rPr>
          <w:rStyle w:val="FootnoteReference"/>
        </w:rPr>
        <w:footnoteRef/>
      </w:r>
      <w:r>
        <w:t xml:space="preserve"> </w:t>
      </w:r>
      <w:r>
        <w:rPr>
          <w:rFonts w:ascii="Times New Roman" w:hAnsi="Times New Roman" w:cs="Times New Roman"/>
        </w:rPr>
        <w:t xml:space="preserve">See the document 'η (eta) time series (1990-2013)' available under </w:t>
      </w:r>
      <w:hyperlink r:id="rId5" w:history="1">
        <w:r>
          <w:rPr>
            <w:rStyle w:val="Hyperlink"/>
            <w:rFonts w:ascii="Times New Roman" w:hAnsi="Times New Roman" w:cs="Times New Roman"/>
          </w:rPr>
          <w:t>http://ec.europa.eu/eurostat/c/portal/layout?p_l_id=4703568&amp;p_v_l_s_g_id=0</w:t>
        </w:r>
      </w:hyperlink>
      <w:r>
        <w:rPr>
          <w:rFonts w:ascii="Times New Roman" w:hAnsi="Times New Roman" w:cs="Times New Roman"/>
        </w:rPr>
        <w:t>.</w:t>
      </w:r>
    </w:p>
  </w:footnote>
  <w:footnote w:id="25">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This indicator is defined as the transformation output from Conventional Thermal Power Stations, District Heating Plants and Nuclear Power Stations (Eurostat codes: B_101101, B_101109, B_101102) divided by the transformation input of the same type of beforehand mentioned plants (Eurostat code: nrg_100a).</w:t>
      </w:r>
    </w:p>
  </w:footnote>
  <w:footnote w:id="26">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The final NEEAPs of Hungary and Romania were notified in 2015 only. Therefore, a detailed analysis has not yet taken place.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8"/>
        <w:szCs w:val="18"/>
        <w:lang w:val="fr-B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536"/>
        <w:tab w:val="clear" w:pos="9072"/>
        <w:tab w:val="left" w:pos="5370"/>
      </w:tabs>
      <w:rPr>
        <w:sz w:val="18"/>
        <w:szCs w:val="18"/>
        <w:lang w:val="fr-BE"/>
      </w:rPr>
    </w:pPr>
    <w:r>
      <w:rPr>
        <w:sz w:val="18"/>
        <w:szCs w:val="18"/>
        <w:lang w:val="fr-BE"/>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8"/>
        <w:szCs w:val="18"/>
        <w:lang w:val="fr-B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8"/>
        <w:szCs w:val="18"/>
        <w:lang w:val="fr-B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decimal"/>
      <w:lvlText w:val="%1."/>
      <w:lvlJc w:val="left"/>
      <w:pPr>
        <w:tabs>
          <w:tab w:val="num" w:pos="0"/>
        </w:tabs>
        <w:ind w:left="720" w:hanging="360"/>
      </w:pPr>
      <w:rPr>
        <w:rFonts w:hint="default"/>
        <w:b w:val="0"/>
        <w:sz w:val="22"/>
      </w:rPr>
    </w:lvl>
  </w:abstractNum>
  <w:abstractNum w:abstractNumId="1">
    <w:nsid w:val="09E71C91"/>
    <w:multiLevelType w:val="hybridMultilevel"/>
    <w:tmpl w:val="373C4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3668CE"/>
    <w:multiLevelType w:val="hybridMultilevel"/>
    <w:tmpl w:val="10BC45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0595E54"/>
    <w:multiLevelType w:val="hybridMultilevel"/>
    <w:tmpl w:val="1360CB58"/>
    <w:lvl w:ilvl="0" w:tplc="7BF877C2">
      <w:start w:val="1"/>
      <w:numFmt w:val="bullet"/>
      <w:lvlText w:val="-"/>
      <w:lvlJc w:val="left"/>
      <w:pPr>
        <w:ind w:left="720" w:hanging="360"/>
      </w:pPr>
      <w:rPr>
        <w:rFonts w:ascii="Calibri" w:hAnsi="Calibri"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6F705E"/>
    <w:multiLevelType w:val="hybridMultilevel"/>
    <w:tmpl w:val="58402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A45E0D"/>
    <w:multiLevelType w:val="hybridMultilevel"/>
    <w:tmpl w:val="749C1CEE"/>
    <w:lvl w:ilvl="0" w:tplc="4850B87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7300BE"/>
    <w:multiLevelType w:val="hybridMultilevel"/>
    <w:tmpl w:val="58402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495DB9"/>
    <w:multiLevelType w:val="hybridMultilevel"/>
    <w:tmpl w:val="D9CC027A"/>
    <w:lvl w:ilvl="0" w:tplc="FC9473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F53826"/>
    <w:multiLevelType w:val="hybridMultilevel"/>
    <w:tmpl w:val="58402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1676C51"/>
    <w:multiLevelType w:val="hybridMultilevel"/>
    <w:tmpl w:val="60B45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3F46051"/>
    <w:multiLevelType w:val="hybridMultilevel"/>
    <w:tmpl w:val="851C0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2">
    <w:nsid w:val="37A912AF"/>
    <w:multiLevelType w:val="hybridMultilevel"/>
    <w:tmpl w:val="1CA441C0"/>
    <w:lvl w:ilvl="0" w:tplc="D8C453B2">
      <w:start w:val="1"/>
      <w:numFmt w:val="decimal"/>
      <w:pStyle w:val="Heading5"/>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4">
    <w:nsid w:val="44511F72"/>
    <w:multiLevelType w:val="hybridMultilevel"/>
    <w:tmpl w:val="58402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86224DE"/>
    <w:multiLevelType w:val="hybridMultilevel"/>
    <w:tmpl w:val="58402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B401022"/>
    <w:multiLevelType w:val="hybridMultilevel"/>
    <w:tmpl w:val="0CCC6814"/>
    <w:lvl w:ilvl="0" w:tplc="8FAE81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A43A79"/>
    <w:multiLevelType w:val="hybridMultilevel"/>
    <w:tmpl w:val="58402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6AD62D2"/>
    <w:multiLevelType w:val="hybridMultilevel"/>
    <w:tmpl w:val="58402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602D7A6C"/>
    <w:multiLevelType w:val="hybridMultilevel"/>
    <w:tmpl w:val="58402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4A12FA4"/>
    <w:multiLevelType w:val="multilevel"/>
    <w:tmpl w:val="66A431A4"/>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rPr>
        <w:color w:val="auto"/>
      </w:r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6BA3A8A"/>
    <w:multiLevelType w:val="hybridMultilevel"/>
    <w:tmpl w:val="DF96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042387"/>
    <w:multiLevelType w:val="hybridMultilevel"/>
    <w:tmpl w:val="58402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B4C0972"/>
    <w:multiLevelType w:val="hybridMultilevel"/>
    <w:tmpl w:val="35E60DA6"/>
    <w:lvl w:ilvl="0" w:tplc="7F7066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7274F9"/>
    <w:multiLevelType w:val="hybridMultilevel"/>
    <w:tmpl w:val="58402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9214390"/>
    <w:multiLevelType w:val="hybridMultilevel"/>
    <w:tmpl w:val="10BC45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13"/>
  </w:num>
  <w:num w:numId="3">
    <w:abstractNumId w:val="11"/>
  </w:num>
  <w:num w:numId="4">
    <w:abstractNumId w:val="6"/>
  </w:num>
  <w:num w:numId="5">
    <w:abstractNumId w:val="16"/>
  </w:num>
  <w:num w:numId="6">
    <w:abstractNumId w:val="7"/>
  </w:num>
  <w:num w:numId="7">
    <w:abstractNumId w:val="5"/>
  </w:num>
  <w:num w:numId="8">
    <w:abstractNumId w:val="9"/>
  </w:num>
  <w:num w:numId="9">
    <w:abstractNumId w:val="25"/>
  </w:num>
  <w:num w:numId="10">
    <w:abstractNumId w:val="3"/>
  </w:num>
  <w:num w:numId="11">
    <w:abstractNumId w:val="1"/>
  </w:num>
  <w:num w:numId="12">
    <w:abstractNumId w:val="23"/>
  </w:num>
  <w:num w:numId="13">
    <w:abstractNumId w:val="10"/>
  </w:num>
  <w:num w:numId="14">
    <w:abstractNumId w:val="12"/>
  </w:num>
  <w:num w:numId="15">
    <w:abstractNumId w:val="15"/>
  </w:num>
  <w:num w:numId="16">
    <w:abstractNumId w:val="21"/>
  </w:num>
  <w:num w:numId="17">
    <w:abstractNumId w:val="14"/>
  </w:num>
  <w:num w:numId="18">
    <w:abstractNumId w:val="4"/>
  </w:num>
  <w:num w:numId="19">
    <w:abstractNumId w:val="17"/>
  </w:num>
  <w:num w:numId="20">
    <w:abstractNumId w:val="8"/>
  </w:num>
  <w:num w:numId="21">
    <w:abstractNumId w:val="2"/>
  </w:num>
  <w:num w:numId="22">
    <w:abstractNumId w:val="18"/>
  </w:num>
  <w:num w:numId="23">
    <w:abstractNumId w:val="24"/>
  </w:num>
  <w:num w:numId="24">
    <w:abstractNumId w:val="22"/>
  </w:num>
  <w:num w:numId="25">
    <w:abstractNumId w:val="19"/>
  </w:num>
  <w:num w:numId="26">
    <w:abstractNumId w:val="12"/>
  </w:num>
  <w:num w:numId="27">
    <w:abstractNumId w:val="12"/>
  </w:num>
  <w:num w:numId="28">
    <w:abstractNumId w:val="12"/>
  </w:num>
  <w:num w:numId="29">
    <w:abstractNumId w:val="12"/>
  </w:num>
  <w:num w:numId="30">
    <w:abstractNumId w:val="12"/>
    <w:lvlOverride w:ilvl="0">
      <w:startOverride w:val="1"/>
    </w:lvlOverride>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12"/>
  </w:num>
  <w:num w:numId="51">
    <w:abstractNumId w:val="12"/>
  </w:num>
  <w:num w:numId="52">
    <w:abstractNumId w:val="12"/>
  </w:num>
  <w:num w:numId="53">
    <w:abstractNumId w:val="12"/>
  </w:num>
  <w:num w:numId="54">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5A4BF021E911407DBDE245AFC1F6DD66"/>
    <w:docVar w:name="LW_CROSSREFERENCE" w:val="{COM(2015) 574 final}"/>
    <w:docVar w:name="LW_DocType" w:val="NORMAL"/>
    <w:docVar w:name="LW_EMISSION" w:val="18.11.2015"/>
    <w:docVar w:name="LW_EMISSION_ISODATE" w:val="2015-11-18"/>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Assessment of the progress made by Member States towards the national energy efficiency targets for 2020 and towards the implementation of the Energy Efficiency Directive 2012/27/EU as required by Article 24 (3) of Energy Efficiency Directive 2012/27/EU_x000b__x000b_"/>
    <w:docVar w:name="LW_PART_NBR" w:val="1"/>
    <w:docVar w:name="LW_PART_NBR_TOTAL" w:val="2"/>
    <w:docVar w:name="LW_REF.INST.NEW" w:val="SWD"/>
    <w:docVar w:name="LW_REF.INST.NEW_ADOPTED" w:val="final"/>
    <w:docVar w:name="LW_REF.INST.NEW_TEXT" w:val="(2015) 245"/>
    <w:docVar w:name="LW_REF.INTERNE" w:val="&lt;UNUSED&gt;"/>
    <w:docVar w:name="LW_SUPERTITRE" w:val="&lt;UNUSED&gt;"/>
    <w:docVar w:name="LW_TITRE.OBJ.CP" w:val="&lt;UNUSED&gt;"/>
    <w:docVar w:name="LW_TYPE.DOC.CP" w:val="COMMISSION STAFF WORKING DOCUMENT"/>
    <w:docVar w:name="LW_TYPEACTEPRINCIPAL.CP" w:val="REPORT FROM THE COMMISSION TO THE EUROPEAN PARLIAMENT AND THE COUNCIL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
      </w:numPr>
      <w:spacing w:before="360" w:after="120" w:line="240" w:lineRule="auto"/>
      <w:jc w:val="both"/>
      <w:outlineLvl w:val="0"/>
    </w:pPr>
    <w:rPr>
      <w:rFonts w:ascii="Times New Roman" w:eastAsia="Times New Roman" w:hAnsi="Times New Roman" w:cs="Times New Roman"/>
      <w:b/>
      <w:bCs/>
      <w:smallCaps/>
      <w:sz w:val="24"/>
      <w:szCs w:val="28"/>
      <w:lang w:val="x-none" w:eastAsia="x-none"/>
    </w:rPr>
  </w:style>
  <w:style w:type="paragraph" w:styleId="Heading2">
    <w:name w:val="heading 2"/>
    <w:basedOn w:val="Normal"/>
    <w:next w:val="Text1"/>
    <w:link w:val="Heading2Char"/>
    <w:qFormat/>
    <w:pPr>
      <w:keepNext/>
      <w:numPr>
        <w:ilvl w:val="1"/>
        <w:numId w:val="1"/>
      </w:numPr>
      <w:spacing w:before="120" w:after="120" w:line="240" w:lineRule="auto"/>
      <w:jc w:val="both"/>
      <w:outlineLvl w:val="1"/>
    </w:pPr>
    <w:rPr>
      <w:rFonts w:ascii="Times New Roman" w:eastAsia="Times New Roman" w:hAnsi="Times New Roman" w:cs="Times New Roman"/>
      <w:b/>
      <w:bCs/>
      <w:sz w:val="24"/>
      <w:szCs w:val="26"/>
      <w:lang w:val="x-none" w:eastAsia="x-none"/>
    </w:rPr>
  </w:style>
  <w:style w:type="paragraph" w:styleId="Heading3">
    <w:name w:val="heading 3"/>
    <w:basedOn w:val="Normal"/>
    <w:next w:val="Text1"/>
    <w:link w:val="Heading3Char"/>
    <w:qFormat/>
    <w:pPr>
      <w:keepNext/>
      <w:numPr>
        <w:ilvl w:val="2"/>
        <w:numId w:val="1"/>
      </w:numPr>
      <w:spacing w:before="120" w:after="120" w:line="240" w:lineRule="auto"/>
      <w:jc w:val="both"/>
      <w:outlineLvl w:val="2"/>
    </w:pPr>
    <w:rPr>
      <w:rFonts w:ascii="Times New Roman" w:eastAsia="Calibri" w:hAnsi="Times New Roman" w:cs="Times New Roman"/>
      <w:bCs/>
      <w:i/>
      <w:sz w:val="24"/>
      <w:lang w:val="x-none" w:eastAsia="x-none"/>
    </w:rPr>
  </w:style>
  <w:style w:type="paragraph" w:styleId="Heading4">
    <w:name w:val="heading 4"/>
    <w:basedOn w:val="Normal"/>
    <w:next w:val="Text1"/>
    <w:link w:val="Heading4Char"/>
    <w:qFormat/>
    <w:pPr>
      <w:keepNext/>
      <w:numPr>
        <w:ilvl w:val="3"/>
        <w:numId w:val="1"/>
      </w:numPr>
      <w:spacing w:before="120" w:after="120" w:line="240" w:lineRule="auto"/>
      <w:jc w:val="both"/>
      <w:outlineLvl w:val="3"/>
    </w:pPr>
    <w:rPr>
      <w:rFonts w:ascii="Times New Roman" w:eastAsia="Times New Roman" w:hAnsi="Times New Roman" w:cs="Times New Roman"/>
      <w:bCs/>
      <w:iCs/>
      <w:sz w:val="24"/>
      <w:lang w:val="x-none" w:eastAsia="x-none"/>
    </w:rPr>
  </w:style>
  <w:style w:type="paragraph" w:styleId="Heading5">
    <w:name w:val="heading 5"/>
    <w:basedOn w:val="Normal"/>
    <w:next w:val="Normal"/>
    <w:link w:val="Heading5Char"/>
    <w:uiPriority w:val="9"/>
    <w:unhideWhenUsed/>
    <w:qFormat/>
    <w:pPr>
      <w:keepNext/>
      <w:keepLines/>
      <w:numPr>
        <w:numId w:val="14"/>
      </w:numPr>
      <w:spacing w:before="200" w:after="0"/>
      <w:outlineLvl w:val="4"/>
    </w:pPr>
    <w:rPr>
      <w:rFonts w:ascii="Times New Roman" w:eastAsia="Times New Roman" w:hAnsi="Times New Roman" w:cstheme="majorBidi"/>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28"/>
      <w:lang w:val="x-none" w:eastAsia="x-none"/>
    </w:rPr>
  </w:style>
  <w:style w:type="character" w:customStyle="1" w:styleId="Heading2Char">
    <w:name w:val="Heading 2 Char"/>
    <w:basedOn w:val="DefaultParagraphFont"/>
    <w:link w:val="Heading2"/>
    <w:rPr>
      <w:rFonts w:ascii="Times New Roman" w:eastAsia="Times New Roman" w:hAnsi="Times New Roman" w:cs="Times New Roman"/>
      <w:b/>
      <w:bCs/>
      <w:sz w:val="24"/>
      <w:szCs w:val="26"/>
      <w:lang w:val="x-none" w:eastAsia="x-none"/>
    </w:rPr>
  </w:style>
  <w:style w:type="character" w:customStyle="1" w:styleId="Heading3Char">
    <w:name w:val="Heading 3 Char"/>
    <w:basedOn w:val="DefaultParagraphFont"/>
    <w:link w:val="Heading3"/>
    <w:rPr>
      <w:rFonts w:ascii="Times New Roman" w:eastAsia="Calibri" w:hAnsi="Times New Roman" w:cs="Times New Roman"/>
      <w:bCs/>
      <w:i/>
      <w:sz w:val="24"/>
      <w:lang w:val="x-none" w:eastAsia="x-none"/>
    </w:rPr>
  </w:style>
  <w:style w:type="character" w:customStyle="1" w:styleId="Heading4Char">
    <w:name w:val="Heading 4 Char"/>
    <w:basedOn w:val="DefaultParagraphFont"/>
    <w:link w:val="Heading4"/>
    <w:rPr>
      <w:rFonts w:ascii="Times New Roman" w:eastAsia="Times New Roman" w:hAnsi="Times New Roman" w:cs="Times New Roman"/>
      <w:bCs/>
      <w:iCs/>
      <w:sz w:val="24"/>
      <w:lang w:val="x-none" w:eastAsia="x-none"/>
    </w:rPr>
  </w:style>
  <w:style w:type="paragraph" w:customStyle="1" w:styleId="Text1">
    <w:name w:val="Text 1"/>
    <w:basedOn w:val="Normal"/>
    <w:pPr>
      <w:spacing w:before="120" w:after="120" w:line="240" w:lineRule="auto"/>
      <w:ind w:left="850"/>
      <w:jc w:val="both"/>
    </w:pPr>
    <w:rPr>
      <w:rFonts w:ascii="Times New Roman" w:eastAsia="Calibri" w:hAnsi="Times New Roman" w:cs="Times New Roman"/>
      <w:sz w:val="24"/>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pPr>
      <w:spacing w:after="0" w:line="240" w:lineRule="auto"/>
    </w:pPr>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rPr>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
    <w:basedOn w:val="DefaultParagraphFont"/>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iret1">
    <w:name w:val="Tiret 1"/>
    <w:basedOn w:val="Normal"/>
    <w:pPr>
      <w:numPr>
        <w:numId w:val="2"/>
      </w:numPr>
      <w:spacing w:before="120" w:after="120" w:line="240" w:lineRule="auto"/>
      <w:jc w:val="both"/>
    </w:pPr>
    <w:rPr>
      <w:rFonts w:ascii="Times New Roman" w:eastAsia="Calibri"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sz w:val="28"/>
      <w:lang w:val="en-US" w:eastAsia="ja-JP"/>
    </w:rPr>
  </w:style>
  <w:style w:type="paragraph" w:styleId="TOC1">
    <w:name w:val="toc 1"/>
    <w:basedOn w:val="Normal"/>
    <w:next w:val="Normal"/>
    <w:autoRedefine/>
    <w:uiPriority w:val="39"/>
    <w:unhideWhenUsed/>
    <w:pPr>
      <w:tabs>
        <w:tab w:val="left" w:pos="440"/>
        <w:tab w:val="right" w:leader="dot" w:pos="9062"/>
      </w:tabs>
      <w:spacing w:after="100"/>
      <w:jc w:val="both"/>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link w:val="SubtitleChar"/>
    <w:uiPriority w:val="11"/>
    <w:qFormat/>
    <w:pPr>
      <w:numPr>
        <w:ilvl w:val="1"/>
      </w:numPr>
    </w:pPr>
    <w:rPr>
      <w:rFonts w:ascii="Times New Roman" w:eastAsiaTheme="majorEastAsia" w:hAnsi="Times New Roman" w:cstheme="majorBidi"/>
      <w:iCs/>
      <w:spacing w:val="15"/>
      <w:sz w:val="18"/>
      <w:szCs w:val="24"/>
    </w:rPr>
  </w:style>
  <w:style w:type="character" w:customStyle="1" w:styleId="SubtitleChar">
    <w:name w:val="Subtitle Char"/>
    <w:basedOn w:val="DefaultParagraphFont"/>
    <w:link w:val="Subtitle"/>
    <w:uiPriority w:val="11"/>
    <w:rPr>
      <w:rFonts w:ascii="Times New Roman" w:eastAsiaTheme="majorEastAsia" w:hAnsi="Times New Roman" w:cstheme="majorBidi"/>
      <w:iCs/>
      <w:spacing w:val="15"/>
      <w:sz w:val="18"/>
      <w:szCs w:val="24"/>
    </w:rPr>
  </w:style>
  <w:style w:type="paragraph" w:styleId="ListParagraph">
    <w:name w:val="List Paragraph"/>
    <w:basedOn w:val="Normal"/>
    <w:uiPriority w:val="34"/>
    <w:qFormat/>
    <w:pPr>
      <w:ind w:left="720"/>
      <w:contextualSpacing/>
    </w:pPr>
    <w:rPr>
      <w:lang w:val="it-I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TOC3">
    <w:name w:val="toc 3"/>
    <w:basedOn w:val="Normal"/>
    <w:next w:val="Normal"/>
    <w:autoRedefine/>
    <w:uiPriority w:val="39"/>
    <w:unhideWhenUsed/>
    <w:pPr>
      <w:spacing w:after="100"/>
      <w:ind w:left="440"/>
    </w:pPr>
  </w:style>
  <w:style w:type="paragraph" w:styleId="Title">
    <w:name w:val="Title"/>
    <w:basedOn w:val="Normal"/>
    <w:next w:val="Normal"/>
    <w:link w:val="TitleChar"/>
    <w:uiPriority w:val="10"/>
    <w:qFormat/>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styleId="SubtleReference">
    <w:name w:val="Subtle Reference"/>
    <w:basedOn w:val="DefaultParagraphFont"/>
    <w:uiPriority w:val="31"/>
    <w:qFormat/>
    <w:rPr>
      <w:smallCaps/>
      <w:color w:val="C0504D" w:themeColor="accent2"/>
      <w:u w:val="single"/>
    </w:rPr>
  </w:style>
  <w:style w:type="paragraph" w:styleId="Revision">
    <w:name w:val="Revision"/>
    <w:hidden/>
    <w:uiPriority w:val="99"/>
    <w:semiHidden/>
    <w:pPr>
      <w:spacing w:after="0" w:line="240" w:lineRule="auto"/>
    </w:pPr>
  </w:style>
  <w:style w:type="paragraph" w:customStyle="1" w:styleId="ListDash">
    <w:name w:val="List Dash"/>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character" w:styleId="Strong">
    <w:name w:val="Strong"/>
    <w:basedOn w:val="DefaultParagraphFont"/>
    <w:uiPriority w:val="22"/>
    <w:qFormat/>
    <w:rPr>
      <w:b/>
      <w:bCs/>
    </w:r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t">
    <w:name w:val="st"/>
    <w:basedOn w:val="DefaultParagraphFont"/>
  </w:style>
  <w:style w:type="character" w:customStyle="1" w:styleId="Caratteredellanota">
    <w:name w:val="Carattere della nota"/>
    <w:rPr>
      <w:vertAlign w:val="superscript"/>
    </w:rPr>
  </w:style>
  <w:style w:type="paragraph" w:customStyle="1" w:styleId="NoSpacing1">
    <w:name w:val="No Spacing1"/>
    <w:pPr>
      <w:suppressAutoHyphens/>
      <w:spacing w:after="0" w:line="240" w:lineRule="auto"/>
    </w:pPr>
    <w:rPr>
      <w:rFonts w:ascii="Calibri" w:eastAsia="Calibri" w:hAnsi="Calibri" w:cs="Times New Roman"/>
      <w:b/>
      <w:sz w:val="20"/>
      <w:szCs w:val="20"/>
      <w:lang w:eastAsia="ar-SA"/>
    </w:rPr>
  </w:style>
  <w:style w:type="character" w:customStyle="1" w:styleId="Heading5Char">
    <w:name w:val="Heading 5 Char"/>
    <w:basedOn w:val="DefaultParagraphFont"/>
    <w:link w:val="Heading5"/>
    <w:uiPriority w:val="9"/>
    <w:rPr>
      <w:rFonts w:ascii="Times New Roman" w:eastAsia="Times New Roman" w:hAnsi="Times New Roman" w:cstheme="majorBidi"/>
      <w:b/>
      <w:sz w:val="32"/>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
      </w:numPr>
      <w:spacing w:before="360" w:after="120" w:line="240" w:lineRule="auto"/>
      <w:jc w:val="both"/>
      <w:outlineLvl w:val="0"/>
    </w:pPr>
    <w:rPr>
      <w:rFonts w:ascii="Times New Roman" w:eastAsia="Times New Roman" w:hAnsi="Times New Roman" w:cs="Times New Roman"/>
      <w:b/>
      <w:bCs/>
      <w:smallCaps/>
      <w:sz w:val="24"/>
      <w:szCs w:val="28"/>
      <w:lang w:val="x-none" w:eastAsia="x-none"/>
    </w:rPr>
  </w:style>
  <w:style w:type="paragraph" w:styleId="Heading2">
    <w:name w:val="heading 2"/>
    <w:basedOn w:val="Normal"/>
    <w:next w:val="Text1"/>
    <w:link w:val="Heading2Char"/>
    <w:qFormat/>
    <w:pPr>
      <w:keepNext/>
      <w:numPr>
        <w:ilvl w:val="1"/>
        <w:numId w:val="1"/>
      </w:numPr>
      <w:spacing w:before="120" w:after="120" w:line="240" w:lineRule="auto"/>
      <w:jc w:val="both"/>
      <w:outlineLvl w:val="1"/>
    </w:pPr>
    <w:rPr>
      <w:rFonts w:ascii="Times New Roman" w:eastAsia="Times New Roman" w:hAnsi="Times New Roman" w:cs="Times New Roman"/>
      <w:b/>
      <w:bCs/>
      <w:sz w:val="24"/>
      <w:szCs w:val="26"/>
      <w:lang w:val="x-none" w:eastAsia="x-none"/>
    </w:rPr>
  </w:style>
  <w:style w:type="paragraph" w:styleId="Heading3">
    <w:name w:val="heading 3"/>
    <w:basedOn w:val="Normal"/>
    <w:next w:val="Text1"/>
    <w:link w:val="Heading3Char"/>
    <w:qFormat/>
    <w:pPr>
      <w:keepNext/>
      <w:numPr>
        <w:ilvl w:val="2"/>
        <w:numId w:val="1"/>
      </w:numPr>
      <w:spacing w:before="120" w:after="120" w:line="240" w:lineRule="auto"/>
      <w:jc w:val="both"/>
      <w:outlineLvl w:val="2"/>
    </w:pPr>
    <w:rPr>
      <w:rFonts w:ascii="Times New Roman" w:eastAsia="Calibri" w:hAnsi="Times New Roman" w:cs="Times New Roman"/>
      <w:bCs/>
      <w:i/>
      <w:sz w:val="24"/>
      <w:lang w:val="x-none" w:eastAsia="x-none"/>
    </w:rPr>
  </w:style>
  <w:style w:type="paragraph" w:styleId="Heading4">
    <w:name w:val="heading 4"/>
    <w:basedOn w:val="Normal"/>
    <w:next w:val="Text1"/>
    <w:link w:val="Heading4Char"/>
    <w:qFormat/>
    <w:pPr>
      <w:keepNext/>
      <w:numPr>
        <w:ilvl w:val="3"/>
        <w:numId w:val="1"/>
      </w:numPr>
      <w:spacing w:before="120" w:after="120" w:line="240" w:lineRule="auto"/>
      <w:jc w:val="both"/>
      <w:outlineLvl w:val="3"/>
    </w:pPr>
    <w:rPr>
      <w:rFonts w:ascii="Times New Roman" w:eastAsia="Times New Roman" w:hAnsi="Times New Roman" w:cs="Times New Roman"/>
      <w:bCs/>
      <w:iCs/>
      <w:sz w:val="24"/>
      <w:lang w:val="x-none" w:eastAsia="x-none"/>
    </w:rPr>
  </w:style>
  <w:style w:type="paragraph" w:styleId="Heading5">
    <w:name w:val="heading 5"/>
    <w:basedOn w:val="Normal"/>
    <w:next w:val="Normal"/>
    <w:link w:val="Heading5Char"/>
    <w:uiPriority w:val="9"/>
    <w:unhideWhenUsed/>
    <w:qFormat/>
    <w:pPr>
      <w:keepNext/>
      <w:keepLines/>
      <w:numPr>
        <w:numId w:val="14"/>
      </w:numPr>
      <w:spacing w:before="200" w:after="0"/>
      <w:outlineLvl w:val="4"/>
    </w:pPr>
    <w:rPr>
      <w:rFonts w:ascii="Times New Roman" w:eastAsia="Times New Roman" w:hAnsi="Times New Roman" w:cstheme="majorBidi"/>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28"/>
      <w:lang w:val="x-none" w:eastAsia="x-none"/>
    </w:rPr>
  </w:style>
  <w:style w:type="character" w:customStyle="1" w:styleId="Heading2Char">
    <w:name w:val="Heading 2 Char"/>
    <w:basedOn w:val="DefaultParagraphFont"/>
    <w:link w:val="Heading2"/>
    <w:rPr>
      <w:rFonts w:ascii="Times New Roman" w:eastAsia="Times New Roman" w:hAnsi="Times New Roman" w:cs="Times New Roman"/>
      <w:b/>
      <w:bCs/>
      <w:sz w:val="24"/>
      <w:szCs w:val="26"/>
      <w:lang w:val="x-none" w:eastAsia="x-none"/>
    </w:rPr>
  </w:style>
  <w:style w:type="character" w:customStyle="1" w:styleId="Heading3Char">
    <w:name w:val="Heading 3 Char"/>
    <w:basedOn w:val="DefaultParagraphFont"/>
    <w:link w:val="Heading3"/>
    <w:rPr>
      <w:rFonts w:ascii="Times New Roman" w:eastAsia="Calibri" w:hAnsi="Times New Roman" w:cs="Times New Roman"/>
      <w:bCs/>
      <w:i/>
      <w:sz w:val="24"/>
      <w:lang w:val="x-none" w:eastAsia="x-none"/>
    </w:rPr>
  </w:style>
  <w:style w:type="character" w:customStyle="1" w:styleId="Heading4Char">
    <w:name w:val="Heading 4 Char"/>
    <w:basedOn w:val="DefaultParagraphFont"/>
    <w:link w:val="Heading4"/>
    <w:rPr>
      <w:rFonts w:ascii="Times New Roman" w:eastAsia="Times New Roman" w:hAnsi="Times New Roman" w:cs="Times New Roman"/>
      <w:bCs/>
      <w:iCs/>
      <w:sz w:val="24"/>
      <w:lang w:val="x-none" w:eastAsia="x-none"/>
    </w:rPr>
  </w:style>
  <w:style w:type="paragraph" w:customStyle="1" w:styleId="Text1">
    <w:name w:val="Text 1"/>
    <w:basedOn w:val="Normal"/>
    <w:pPr>
      <w:spacing w:before="120" w:after="120" w:line="240" w:lineRule="auto"/>
      <w:ind w:left="850"/>
      <w:jc w:val="both"/>
    </w:pPr>
    <w:rPr>
      <w:rFonts w:ascii="Times New Roman" w:eastAsia="Calibri" w:hAnsi="Times New Roman" w:cs="Times New Roman"/>
      <w:sz w:val="24"/>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pPr>
      <w:spacing w:after="0" w:line="240" w:lineRule="auto"/>
    </w:pPr>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rPr>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
    <w:basedOn w:val="DefaultParagraphFont"/>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iret1">
    <w:name w:val="Tiret 1"/>
    <w:basedOn w:val="Normal"/>
    <w:pPr>
      <w:numPr>
        <w:numId w:val="2"/>
      </w:numPr>
      <w:spacing w:before="120" w:after="120" w:line="240" w:lineRule="auto"/>
      <w:jc w:val="both"/>
    </w:pPr>
    <w:rPr>
      <w:rFonts w:ascii="Times New Roman" w:eastAsia="Calibri"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sz w:val="28"/>
      <w:lang w:val="en-US" w:eastAsia="ja-JP"/>
    </w:rPr>
  </w:style>
  <w:style w:type="paragraph" w:styleId="TOC1">
    <w:name w:val="toc 1"/>
    <w:basedOn w:val="Normal"/>
    <w:next w:val="Normal"/>
    <w:autoRedefine/>
    <w:uiPriority w:val="39"/>
    <w:unhideWhenUsed/>
    <w:pPr>
      <w:tabs>
        <w:tab w:val="left" w:pos="440"/>
        <w:tab w:val="right" w:leader="dot" w:pos="9062"/>
      </w:tabs>
      <w:spacing w:after="100"/>
      <w:jc w:val="both"/>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link w:val="SubtitleChar"/>
    <w:uiPriority w:val="11"/>
    <w:qFormat/>
    <w:pPr>
      <w:numPr>
        <w:ilvl w:val="1"/>
      </w:numPr>
    </w:pPr>
    <w:rPr>
      <w:rFonts w:ascii="Times New Roman" w:eastAsiaTheme="majorEastAsia" w:hAnsi="Times New Roman" w:cstheme="majorBidi"/>
      <w:iCs/>
      <w:spacing w:val="15"/>
      <w:sz w:val="18"/>
      <w:szCs w:val="24"/>
    </w:rPr>
  </w:style>
  <w:style w:type="character" w:customStyle="1" w:styleId="SubtitleChar">
    <w:name w:val="Subtitle Char"/>
    <w:basedOn w:val="DefaultParagraphFont"/>
    <w:link w:val="Subtitle"/>
    <w:uiPriority w:val="11"/>
    <w:rPr>
      <w:rFonts w:ascii="Times New Roman" w:eastAsiaTheme="majorEastAsia" w:hAnsi="Times New Roman" w:cstheme="majorBidi"/>
      <w:iCs/>
      <w:spacing w:val="15"/>
      <w:sz w:val="18"/>
      <w:szCs w:val="24"/>
    </w:rPr>
  </w:style>
  <w:style w:type="paragraph" w:styleId="ListParagraph">
    <w:name w:val="List Paragraph"/>
    <w:basedOn w:val="Normal"/>
    <w:uiPriority w:val="34"/>
    <w:qFormat/>
    <w:pPr>
      <w:ind w:left="720"/>
      <w:contextualSpacing/>
    </w:pPr>
    <w:rPr>
      <w:lang w:val="it-I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TOC3">
    <w:name w:val="toc 3"/>
    <w:basedOn w:val="Normal"/>
    <w:next w:val="Normal"/>
    <w:autoRedefine/>
    <w:uiPriority w:val="39"/>
    <w:unhideWhenUsed/>
    <w:pPr>
      <w:spacing w:after="100"/>
      <w:ind w:left="440"/>
    </w:pPr>
  </w:style>
  <w:style w:type="paragraph" w:styleId="Title">
    <w:name w:val="Title"/>
    <w:basedOn w:val="Normal"/>
    <w:next w:val="Normal"/>
    <w:link w:val="TitleChar"/>
    <w:uiPriority w:val="10"/>
    <w:qFormat/>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styleId="SubtleReference">
    <w:name w:val="Subtle Reference"/>
    <w:basedOn w:val="DefaultParagraphFont"/>
    <w:uiPriority w:val="31"/>
    <w:qFormat/>
    <w:rPr>
      <w:smallCaps/>
      <w:color w:val="C0504D" w:themeColor="accent2"/>
      <w:u w:val="single"/>
    </w:rPr>
  </w:style>
  <w:style w:type="paragraph" w:styleId="Revision">
    <w:name w:val="Revision"/>
    <w:hidden/>
    <w:uiPriority w:val="99"/>
    <w:semiHidden/>
    <w:pPr>
      <w:spacing w:after="0" w:line="240" w:lineRule="auto"/>
    </w:pPr>
  </w:style>
  <w:style w:type="paragraph" w:customStyle="1" w:styleId="ListDash">
    <w:name w:val="List Dash"/>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character" w:styleId="Strong">
    <w:name w:val="Strong"/>
    <w:basedOn w:val="DefaultParagraphFont"/>
    <w:uiPriority w:val="22"/>
    <w:qFormat/>
    <w:rPr>
      <w:b/>
      <w:bCs/>
    </w:r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t">
    <w:name w:val="st"/>
    <w:basedOn w:val="DefaultParagraphFont"/>
  </w:style>
  <w:style w:type="character" w:customStyle="1" w:styleId="Caratteredellanota">
    <w:name w:val="Carattere della nota"/>
    <w:rPr>
      <w:vertAlign w:val="superscript"/>
    </w:rPr>
  </w:style>
  <w:style w:type="paragraph" w:customStyle="1" w:styleId="NoSpacing1">
    <w:name w:val="No Spacing1"/>
    <w:pPr>
      <w:suppressAutoHyphens/>
      <w:spacing w:after="0" w:line="240" w:lineRule="auto"/>
    </w:pPr>
    <w:rPr>
      <w:rFonts w:ascii="Calibri" w:eastAsia="Calibri" w:hAnsi="Calibri" w:cs="Times New Roman"/>
      <w:b/>
      <w:sz w:val="20"/>
      <w:szCs w:val="20"/>
      <w:lang w:eastAsia="ar-SA"/>
    </w:rPr>
  </w:style>
  <w:style w:type="character" w:customStyle="1" w:styleId="Heading5Char">
    <w:name w:val="Heading 5 Char"/>
    <w:basedOn w:val="DefaultParagraphFont"/>
    <w:link w:val="Heading5"/>
    <w:uiPriority w:val="9"/>
    <w:rPr>
      <w:rFonts w:ascii="Times New Roman" w:eastAsia="Times New Roman" w:hAnsi="Times New Roman" w:cstheme="majorBidi"/>
      <w:b/>
      <w:sz w:val="32"/>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234">
      <w:bodyDiv w:val="1"/>
      <w:marLeft w:val="0"/>
      <w:marRight w:val="0"/>
      <w:marTop w:val="0"/>
      <w:marBottom w:val="0"/>
      <w:divBdr>
        <w:top w:val="none" w:sz="0" w:space="0" w:color="auto"/>
        <w:left w:val="none" w:sz="0" w:space="0" w:color="auto"/>
        <w:bottom w:val="none" w:sz="0" w:space="0" w:color="auto"/>
        <w:right w:val="none" w:sz="0" w:space="0" w:color="auto"/>
      </w:divBdr>
    </w:div>
    <w:div w:id="58552820">
      <w:bodyDiv w:val="1"/>
      <w:marLeft w:val="0"/>
      <w:marRight w:val="0"/>
      <w:marTop w:val="0"/>
      <w:marBottom w:val="0"/>
      <w:divBdr>
        <w:top w:val="none" w:sz="0" w:space="0" w:color="auto"/>
        <w:left w:val="none" w:sz="0" w:space="0" w:color="auto"/>
        <w:bottom w:val="none" w:sz="0" w:space="0" w:color="auto"/>
        <w:right w:val="none" w:sz="0" w:space="0" w:color="auto"/>
      </w:divBdr>
    </w:div>
    <w:div w:id="74133844">
      <w:bodyDiv w:val="1"/>
      <w:marLeft w:val="0"/>
      <w:marRight w:val="0"/>
      <w:marTop w:val="0"/>
      <w:marBottom w:val="0"/>
      <w:divBdr>
        <w:top w:val="none" w:sz="0" w:space="0" w:color="auto"/>
        <w:left w:val="none" w:sz="0" w:space="0" w:color="auto"/>
        <w:bottom w:val="none" w:sz="0" w:space="0" w:color="auto"/>
        <w:right w:val="none" w:sz="0" w:space="0" w:color="auto"/>
      </w:divBdr>
    </w:div>
    <w:div w:id="167990730">
      <w:bodyDiv w:val="1"/>
      <w:marLeft w:val="0"/>
      <w:marRight w:val="0"/>
      <w:marTop w:val="0"/>
      <w:marBottom w:val="0"/>
      <w:divBdr>
        <w:top w:val="none" w:sz="0" w:space="0" w:color="auto"/>
        <w:left w:val="none" w:sz="0" w:space="0" w:color="auto"/>
        <w:bottom w:val="none" w:sz="0" w:space="0" w:color="auto"/>
        <w:right w:val="none" w:sz="0" w:space="0" w:color="auto"/>
      </w:divBdr>
    </w:div>
    <w:div w:id="273368248">
      <w:bodyDiv w:val="1"/>
      <w:marLeft w:val="0"/>
      <w:marRight w:val="0"/>
      <w:marTop w:val="0"/>
      <w:marBottom w:val="0"/>
      <w:divBdr>
        <w:top w:val="none" w:sz="0" w:space="0" w:color="auto"/>
        <w:left w:val="none" w:sz="0" w:space="0" w:color="auto"/>
        <w:bottom w:val="none" w:sz="0" w:space="0" w:color="auto"/>
        <w:right w:val="none" w:sz="0" w:space="0" w:color="auto"/>
      </w:divBdr>
    </w:div>
    <w:div w:id="341977582">
      <w:bodyDiv w:val="1"/>
      <w:marLeft w:val="0"/>
      <w:marRight w:val="0"/>
      <w:marTop w:val="0"/>
      <w:marBottom w:val="0"/>
      <w:divBdr>
        <w:top w:val="none" w:sz="0" w:space="0" w:color="auto"/>
        <w:left w:val="none" w:sz="0" w:space="0" w:color="auto"/>
        <w:bottom w:val="none" w:sz="0" w:space="0" w:color="auto"/>
        <w:right w:val="none" w:sz="0" w:space="0" w:color="auto"/>
      </w:divBdr>
    </w:div>
    <w:div w:id="408892773">
      <w:bodyDiv w:val="1"/>
      <w:marLeft w:val="0"/>
      <w:marRight w:val="0"/>
      <w:marTop w:val="0"/>
      <w:marBottom w:val="0"/>
      <w:divBdr>
        <w:top w:val="none" w:sz="0" w:space="0" w:color="auto"/>
        <w:left w:val="none" w:sz="0" w:space="0" w:color="auto"/>
        <w:bottom w:val="none" w:sz="0" w:space="0" w:color="auto"/>
        <w:right w:val="none" w:sz="0" w:space="0" w:color="auto"/>
      </w:divBdr>
    </w:div>
    <w:div w:id="494540881">
      <w:bodyDiv w:val="1"/>
      <w:marLeft w:val="0"/>
      <w:marRight w:val="0"/>
      <w:marTop w:val="0"/>
      <w:marBottom w:val="0"/>
      <w:divBdr>
        <w:top w:val="none" w:sz="0" w:space="0" w:color="auto"/>
        <w:left w:val="none" w:sz="0" w:space="0" w:color="auto"/>
        <w:bottom w:val="none" w:sz="0" w:space="0" w:color="auto"/>
        <w:right w:val="none" w:sz="0" w:space="0" w:color="auto"/>
      </w:divBdr>
    </w:div>
    <w:div w:id="564143366">
      <w:bodyDiv w:val="1"/>
      <w:marLeft w:val="0"/>
      <w:marRight w:val="0"/>
      <w:marTop w:val="0"/>
      <w:marBottom w:val="0"/>
      <w:divBdr>
        <w:top w:val="none" w:sz="0" w:space="0" w:color="auto"/>
        <w:left w:val="none" w:sz="0" w:space="0" w:color="auto"/>
        <w:bottom w:val="none" w:sz="0" w:space="0" w:color="auto"/>
        <w:right w:val="none" w:sz="0" w:space="0" w:color="auto"/>
      </w:divBdr>
    </w:div>
    <w:div w:id="1086077647">
      <w:bodyDiv w:val="1"/>
      <w:marLeft w:val="0"/>
      <w:marRight w:val="0"/>
      <w:marTop w:val="0"/>
      <w:marBottom w:val="0"/>
      <w:divBdr>
        <w:top w:val="none" w:sz="0" w:space="0" w:color="auto"/>
        <w:left w:val="none" w:sz="0" w:space="0" w:color="auto"/>
        <w:bottom w:val="none" w:sz="0" w:space="0" w:color="auto"/>
        <w:right w:val="none" w:sz="0" w:space="0" w:color="auto"/>
      </w:divBdr>
    </w:div>
    <w:div w:id="1123570992">
      <w:bodyDiv w:val="1"/>
      <w:marLeft w:val="0"/>
      <w:marRight w:val="0"/>
      <w:marTop w:val="0"/>
      <w:marBottom w:val="0"/>
      <w:divBdr>
        <w:top w:val="none" w:sz="0" w:space="0" w:color="auto"/>
        <w:left w:val="none" w:sz="0" w:space="0" w:color="auto"/>
        <w:bottom w:val="none" w:sz="0" w:space="0" w:color="auto"/>
        <w:right w:val="none" w:sz="0" w:space="0" w:color="auto"/>
      </w:divBdr>
    </w:div>
    <w:div w:id="1245071414">
      <w:bodyDiv w:val="1"/>
      <w:marLeft w:val="0"/>
      <w:marRight w:val="0"/>
      <w:marTop w:val="0"/>
      <w:marBottom w:val="0"/>
      <w:divBdr>
        <w:top w:val="none" w:sz="0" w:space="0" w:color="auto"/>
        <w:left w:val="none" w:sz="0" w:space="0" w:color="auto"/>
        <w:bottom w:val="none" w:sz="0" w:space="0" w:color="auto"/>
        <w:right w:val="none" w:sz="0" w:space="0" w:color="auto"/>
      </w:divBdr>
    </w:div>
    <w:div w:id="1264147444">
      <w:bodyDiv w:val="1"/>
      <w:marLeft w:val="0"/>
      <w:marRight w:val="0"/>
      <w:marTop w:val="0"/>
      <w:marBottom w:val="0"/>
      <w:divBdr>
        <w:top w:val="none" w:sz="0" w:space="0" w:color="auto"/>
        <w:left w:val="none" w:sz="0" w:space="0" w:color="auto"/>
        <w:bottom w:val="none" w:sz="0" w:space="0" w:color="auto"/>
        <w:right w:val="none" w:sz="0" w:space="0" w:color="auto"/>
      </w:divBdr>
      <w:divsChild>
        <w:div w:id="1391265771">
          <w:marLeft w:val="0"/>
          <w:marRight w:val="0"/>
          <w:marTop w:val="0"/>
          <w:marBottom w:val="0"/>
          <w:divBdr>
            <w:top w:val="none" w:sz="0" w:space="0" w:color="auto"/>
            <w:left w:val="none" w:sz="0" w:space="0" w:color="auto"/>
            <w:bottom w:val="none" w:sz="0" w:space="0" w:color="auto"/>
            <w:right w:val="none" w:sz="0" w:space="0" w:color="auto"/>
          </w:divBdr>
          <w:divsChild>
            <w:div w:id="1613047316">
              <w:marLeft w:val="0"/>
              <w:marRight w:val="0"/>
              <w:marTop w:val="0"/>
              <w:marBottom w:val="0"/>
              <w:divBdr>
                <w:top w:val="none" w:sz="0" w:space="0" w:color="auto"/>
                <w:left w:val="none" w:sz="0" w:space="0" w:color="auto"/>
                <w:bottom w:val="none" w:sz="0" w:space="0" w:color="auto"/>
                <w:right w:val="none" w:sz="0" w:space="0" w:color="auto"/>
              </w:divBdr>
              <w:divsChild>
                <w:div w:id="1377581599">
                  <w:marLeft w:val="75"/>
                  <w:marRight w:val="75"/>
                  <w:marTop w:val="15"/>
                  <w:marBottom w:val="0"/>
                  <w:divBdr>
                    <w:top w:val="single" w:sz="6" w:space="0" w:color="808080"/>
                    <w:left w:val="single" w:sz="6" w:space="0" w:color="808080"/>
                    <w:bottom w:val="single" w:sz="6" w:space="0" w:color="808080"/>
                    <w:right w:val="single" w:sz="6" w:space="0" w:color="808080"/>
                  </w:divBdr>
                  <w:divsChild>
                    <w:div w:id="352071395">
                      <w:marLeft w:val="3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67606350">
      <w:bodyDiv w:val="1"/>
      <w:marLeft w:val="0"/>
      <w:marRight w:val="0"/>
      <w:marTop w:val="0"/>
      <w:marBottom w:val="0"/>
      <w:divBdr>
        <w:top w:val="none" w:sz="0" w:space="0" w:color="auto"/>
        <w:left w:val="none" w:sz="0" w:space="0" w:color="auto"/>
        <w:bottom w:val="none" w:sz="0" w:space="0" w:color="auto"/>
        <w:right w:val="none" w:sz="0" w:space="0" w:color="auto"/>
      </w:divBdr>
    </w:div>
    <w:div w:id="1404453999">
      <w:bodyDiv w:val="1"/>
      <w:marLeft w:val="0"/>
      <w:marRight w:val="0"/>
      <w:marTop w:val="0"/>
      <w:marBottom w:val="0"/>
      <w:divBdr>
        <w:top w:val="none" w:sz="0" w:space="0" w:color="auto"/>
        <w:left w:val="none" w:sz="0" w:space="0" w:color="auto"/>
        <w:bottom w:val="none" w:sz="0" w:space="0" w:color="auto"/>
        <w:right w:val="none" w:sz="0" w:space="0" w:color="auto"/>
      </w:divBdr>
    </w:div>
    <w:div w:id="1467964685">
      <w:bodyDiv w:val="1"/>
      <w:marLeft w:val="0"/>
      <w:marRight w:val="0"/>
      <w:marTop w:val="0"/>
      <w:marBottom w:val="0"/>
      <w:divBdr>
        <w:top w:val="none" w:sz="0" w:space="0" w:color="auto"/>
        <w:left w:val="none" w:sz="0" w:space="0" w:color="auto"/>
        <w:bottom w:val="none" w:sz="0" w:space="0" w:color="auto"/>
        <w:right w:val="none" w:sz="0" w:space="0" w:color="auto"/>
      </w:divBdr>
    </w:div>
    <w:div w:id="1763212353">
      <w:bodyDiv w:val="1"/>
      <w:marLeft w:val="0"/>
      <w:marRight w:val="0"/>
      <w:marTop w:val="0"/>
      <w:marBottom w:val="0"/>
      <w:divBdr>
        <w:top w:val="none" w:sz="0" w:space="0" w:color="auto"/>
        <w:left w:val="none" w:sz="0" w:space="0" w:color="auto"/>
        <w:bottom w:val="none" w:sz="0" w:space="0" w:color="auto"/>
        <w:right w:val="none" w:sz="0" w:space="0" w:color="auto"/>
      </w:divBdr>
    </w:div>
    <w:div w:id="1877157186">
      <w:bodyDiv w:val="1"/>
      <w:marLeft w:val="0"/>
      <w:marRight w:val="0"/>
      <w:marTop w:val="0"/>
      <w:marBottom w:val="0"/>
      <w:divBdr>
        <w:top w:val="none" w:sz="0" w:space="0" w:color="auto"/>
        <w:left w:val="none" w:sz="0" w:space="0" w:color="auto"/>
        <w:bottom w:val="none" w:sz="0" w:space="0" w:color="auto"/>
        <w:right w:val="none" w:sz="0" w:space="0" w:color="auto"/>
      </w:divBdr>
    </w:div>
    <w:div w:id="1947880847">
      <w:bodyDiv w:val="1"/>
      <w:marLeft w:val="0"/>
      <w:marRight w:val="0"/>
      <w:marTop w:val="0"/>
      <w:marBottom w:val="0"/>
      <w:divBdr>
        <w:top w:val="none" w:sz="0" w:space="0" w:color="auto"/>
        <w:left w:val="none" w:sz="0" w:space="0" w:color="auto"/>
        <w:bottom w:val="none" w:sz="0" w:space="0" w:color="auto"/>
        <w:right w:val="none" w:sz="0" w:space="0" w:color="auto"/>
      </w:divBdr>
    </w:div>
    <w:div w:id="1959943014">
      <w:bodyDiv w:val="1"/>
      <w:marLeft w:val="0"/>
      <w:marRight w:val="0"/>
      <w:marTop w:val="0"/>
      <w:marBottom w:val="0"/>
      <w:divBdr>
        <w:top w:val="none" w:sz="0" w:space="0" w:color="auto"/>
        <w:left w:val="none" w:sz="0" w:space="0" w:color="auto"/>
        <w:bottom w:val="none" w:sz="0" w:space="0" w:color="auto"/>
        <w:right w:val="none" w:sz="0" w:space="0" w:color="auto"/>
      </w:divBdr>
    </w:div>
    <w:div w:id="213643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footer" Target="footer12.xml"/><Relationship Id="rId68" Type="http://schemas.openxmlformats.org/officeDocument/2006/relationships/image" Target="media/image36.emf"/><Relationship Id="rId76" Type="http://schemas.openxmlformats.org/officeDocument/2006/relationships/image" Target="media/image44.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4.xml"/><Relationship Id="rId53" Type="http://schemas.openxmlformats.org/officeDocument/2006/relationships/header" Target="header8.xml"/><Relationship Id="rId58" Type="http://schemas.openxmlformats.org/officeDocument/2006/relationships/header" Target="header10.xml"/><Relationship Id="rId66"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header" Target="header15.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5.xml"/><Relationship Id="rId56" Type="http://schemas.openxmlformats.org/officeDocument/2006/relationships/header" Target="header9.xml"/><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image" Target="media/image45.emf"/><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40.emf"/><Relationship Id="rId80" Type="http://schemas.openxmlformats.org/officeDocument/2006/relationships/footer" Target="footer1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5.xml"/><Relationship Id="rId59" Type="http://schemas.openxmlformats.org/officeDocument/2006/relationships/header" Target="header11.xml"/><Relationship Id="rId67" Type="http://schemas.openxmlformats.org/officeDocument/2006/relationships/image" Target="media/image35.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oter" Target="footer7.xml"/><Relationship Id="rId62" Type="http://schemas.openxmlformats.org/officeDocument/2006/relationships/header" Target="header12.xml"/><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6.xml"/><Relationship Id="rId57" Type="http://schemas.openxmlformats.org/officeDocument/2006/relationships/footer" Target="footer9.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header" Target="header7.xml"/><Relationship Id="rId60" Type="http://schemas.openxmlformats.org/officeDocument/2006/relationships/footer" Target="footer10.xml"/><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header" Target="header13.xml"/><Relationship Id="rId81"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www.indicators.odyssee-mure.eu/online-indicators.html" TargetMode="External"/><Relationship Id="rId2" Type="http://schemas.openxmlformats.org/officeDocument/2006/relationships/hyperlink" Target="http://www.eea.europa.eu/publications" TargetMode="External"/><Relationship Id="rId1" Type="http://schemas.openxmlformats.org/officeDocument/2006/relationships/hyperlink" Target="http://ec.europa.eu/economy_finance/publications/european_economy/2015/pdf/ee2_en.pdf" TargetMode="External"/><Relationship Id="rId5" Type="http://schemas.openxmlformats.org/officeDocument/2006/relationships/hyperlink" Target="http://ec.europa.eu/eurostat/c/portal/layout?p_l_id=4703568&amp;p_v_l_s_g_id=0" TargetMode="External"/><Relationship Id="rId4" Type="http://schemas.openxmlformats.org/officeDocument/2006/relationships/hyperlink" Target="http://ec.europa.eu/eurostat/web/energy/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2A6EF-E263-40EE-8BF9-06B1CCC2B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45</Pages>
  <Words>5129</Words>
  <Characters>27852</Characters>
  <Application>Microsoft Office Word</Application>
  <DocSecurity>0</DocSecurity>
  <Lines>679</Lines>
  <Paragraphs>340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21</cp:revision>
  <cp:lastPrinted>2015-11-10T10:46:00Z</cp:lastPrinted>
  <dcterms:created xsi:type="dcterms:W3CDTF">2015-11-10T10:40:00Z</dcterms:created>
  <dcterms:modified xsi:type="dcterms:W3CDTF">2015-11-17T15:30:00Z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2</vt:lpwstr>
  </property>
  <property fmtid="{D5CDD505-2E9C-101B-9397-08002B2CF9AE}" pid="4" name="DocStatus">
    <vt:lpwstr>Green</vt:lpwstr>
  </property>
  <property fmtid="{D5CDD505-2E9C-101B-9397-08002B2CF9AE}" pid="5" name="Classification">
    <vt:lpwstr> </vt:lpwstr>
  </property>
</Properties>
</file>