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AAB71DB0FEE4DAA90F6553D23230170" style="width:450.75pt;height:44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ПРИЛОЖЕНИЯ</w:t>
      </w:r>
    </w:p>
    <w:p>
      <w:pPr>
        <w:pStyle w:val="Titreobjet"/>
        <w:rPr>
          <w:noProof/>
        </w:rPr>
      </w:pPr>
      <w:r>
        <w:rPr>
          <w:noProof/>
        </w:rPr>
        <w:t>Позиция на Съюза в рамките на Парижкия меморандум за разбирателство за държавния пристанищен контрол</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относно позицията, която да бъде заета от името на Съюза в рамките на Комитета за държавен пристанищен контрол на Парижкия меморандум за разбирателство за държавния пристанищен контрол</w:t>
      </w:r>
    </w:p>
    <w:p>
      <w:pPr>
        <w:keepNext/>
        <w:tabs>
          <w:tab w:val="left" w:pos="850"/>
        </w:tabs>
        <w:spacing w:before="360"/>
        <w:ind w:left="850" w:hanging="850"/>
        <w:outlineLvl w:val="0"/>
        <w:rPr>
          <w:b/>
          <w:smallCaps/>
          <w:noProof/>
        </w:rPr>
      </w:pPr>
      <w:r>
        <w:rPr>
          <w:b/>
          <w:smallCaps/>
          <w:noProof/>
        </w:rPr>
        <w:t>Ръководни принципи</w:t>
      </w:r>
    </w:p>
    <w:p>
      <w:pPr>
        <w:rPr>
          <w:noProof/>
        </w:rPr>
      </w:pPr>
      <w:r>
        <w:rPr>
          <w:noProof/>
        </w:rPr>
        <w:t>В рамките на Парижкия меморандум за разбирателство за държавния пристанищен контрол (Парижкия МР) Съюзът:</w:t>
      </w:r>
    </w:p>
    <w:p>
      <w:pPr>
        <w:ind w:left="851" w:hanging="851"/>
        <w:rPr>
          <w:noProof/>
        </w:rPr>
      </w:pPr>
      <w:r>
        <w:rPr>
          <w:noProof/>
        </w:rPr>
        <w:t>a)</w:t>
      </w:r>
      <w:r>
        <w:rPr>
          <w:noProof/>
        </w:rPr>
        <w:tab/>
        <w:t>действа в съответствие с целите си, по-специално за подобряване на морската безопасност и условията на живот и работа на борда на корабите и предотвратяване на замърсяването посредством драстично намаляване на броя на корабите, които са под стандартите, чрез стриктно прилагане на международните конвенции и кодекси;</w:t>
      </w:r>
    </w:p>
    <w:p>
      <w:pPr>
        <w:ind w:left="851" w:hanging="851"/>
        <w:rPr>
          <w:noProof/>
        </w:rPr>
      </w:pPr>
      <w:r>
        <w:rPr>
          <w:noProof/>
        </w:rPr>
        <w:t>б)</w:t>
      </w:r>
      <w:r>
        <w:rPr>
          <w:noProof/>
        </w:rPr>
        <w:tab/>
        <w:t xml:space="preserve">насърчава използването на хармонизиран подход от страна на членовете на Парижкия МР за осигуряване на ефективно прилагане на тези международни стандарти по отношение на корабите, плаващи във води под тяхната юрисдикция и използващи техни пристанища; </w:t>
      </w:r>
    </w:p>
    <w:p>
      <w:pPr>
        <w:ind w:left="851" w:hanging="851"/>
        <w:rPr>
          <w:noProof/>
        </w:rPr>
      </w:pPr>
      <w:r>
        <w:rPr>
          <w:noProof/>
        </w:rPr>
        <w:t>в)</w:t>
      </w:r>
      <w:r>
        <w:rPr>
          <w:noProof/>
        </w:rPr>
        <w:tab/>
        <w:t xml:space="preserve">работи заедно с Парижкия МР за прилагането на всеобхватна схема за проверки и за справедливо поделяне на обема на проверки, по-специално чрез приемането на годишни задължения за проверки, изготвени в съответствие с одобрената методика, поместена в приложение 11 към Парижкия МР; </w:t>
      </w:r>
    </w:p>
    <w:p>
      <w:pPr>
        <w:ind w:left="851" w:hanging="851"/>
        <w:rPr>
          <w:noProof/>
        </w:rPr>
      </w:pPr>
      <w:r>
        <w:rPr>
          <w:noProof/>
        </w:rPr>
        <w:t>г)</w:t>
      </w:r>
      <w:r>
        <w:rPr>
          <w:noProof/>
        </w:rPr>
        <w:tab/>
        <w:t>работи заедно с Парижкия МР за насърчаване на назначаването, задържането на работа и обучението от страна на членовете на Парижкия МР на необходимия брой персонал, включително квалифицирани инспектори, като се отчитат обемът и характеристиките на трафика на плавателните съдове във всяко пристанище;</w:t>
      </w:r>
    </w:p>
    <w:p>
      <w:pPr>
        <w:ind w:left="851" w:hanging="851"/>
        <w:rPr>
          <w:noProof/>
        </w:rPr>
      </w:pPr>
      <w:r>
        <w:rPr>
          <w:noProof/>
        </w:rPr>
        <w:t>д)</w:t>
      </w:r>
      <w:r>
        <w:rPr>
          <w:noProof/>
        </w:rPr>
        <w:tab/>
        <w:t>гарантира, че мерките, приети в рамките на Парижкия МР, са съобразени с международното право, и по-специално с международните конвенции и кодекси, отнасящи се за морската безопасност, предотвратяването на замърсяването и условията на живот и работа на борда;</w:t>
      </w:r>
    </w:p>
    <w:p>
      <w:pPr>
        <w:ind w:left="851" w:hanging="851"/>
        <w:rPr>
          <w:noProof/>
        </w:rPr>
      </w:pPr>
      <w:r>
        <w:rPr>
          <w:noProof/>
        </w:rPr>
        <w:t>е)</w:t>
      </w:r>
      <w:r>
        <w:rPr>
          <w:noProof/>
        </w:rPr>
        <w:tab/>
        <w:t>насърчава изготвянето на общи подходи с други органи, извършващи държавен пристанищен контрол;</w:t>
      </w:r>
    </w:p>
    <w:p>
      <w:pPr>
        <w:ind w:left="851" w:hanging="851"/>
        <w:rPr>
          <w:noProof/>
        </w:rPr>
      </w:pPr>
      <w:r>
        <w:rPr>
          <w:noProof/>
        </w:rPr>
        <w:t>ж)</w:t>
      </w:r>
      <w:r>
        <w:rPr>
          <w:noProof/>
        </w:rPr>
        <w:tab/>
        <w:t>осигурява съгласуваност с другите политики на Съюза, по-конкретно в областта на външните отношения, сигурността, околната среда и други.</w:t>
      </w:r>
    </w:p>
    <w:p>
      <w:pPr>
        <w:keepNext/>
        <w:tabs>
          <w:tab w:val="left" w:pos="850"/>
        </w:tabs>
        <w:spacing w:before="360"/>
        <w:ind w:left="850" w:hanging="850"/>
        <w:outlineLvl w:val="0"/>
        <w:rPr>
          <w:b/>
          <w:smallCaps/>
          <w:noProof/>
        </w:rPr>
      </w:pPr>
      <w:r>
        <w:rPr>
          <w:b/>
          <w:smallCaps/>
          <w:noProof/>
        </w:rPr>
        <w:lastRenderedPageBreak/>
        <w:t>Насоки</w:t>
      </w:r>
    </w:p>
    <w:p>
      <w:pPr>
        <w:rPr>
          <w:noProof/>
        </w:rPr>
      </w:pPr>
      <w:r>
        <w:rPr>
          <w:noProof/>
        </w:rPr>
        <w:t>Съюзът се стреми да подкрепя приемането на следните мерки от страна на Парижкия меморандум за разбирателство:</w:t>
      </w:r>
    </w:p>
    <w:p>
      <w:pPr>
        <w:ind w:left="720" w:hanging="720"/>
        <w:rPr>
          <w:noProof/>
        </w:rPr>
      </w:pPr>
      <w:r>
        <w:rPr>
          <w:noProof/>
        </w:rPr>
        <w:t xml:space="preserve">А. </w:t>
      </w:r>
      <w:r>
        <w:rPr>
          <w:noProof/>
        </w:rPr>
        <w:tab/>
        <w:t>С цел да се осигури ежегодното гладко функциониране на режима на ЕС за държавен пристанищен контрол в съответствие с Директива 2009/16/ЕО:</w:t>
      </w:r>
    </w:p>
    <w:p>
      <w:pPr>
        <w:ind w:left="1417" w:hanging="697"/>
        <w:rPr>
          <w:noProof/>
        </w:rPr>
      </w:pPr>
      <w:r>
        <w:rPr>
          <w:noProof/>
        </w:rPr>
        <w:t>1.</w:t>
      </w:r>
      <w:r>
        <w:rPr>
          <w:noProof/>
        </w:rPr>
        <w:tab/>
        <w:t>да се вземат предвид следните елементи на рисковия профил на корабите, използван да се определи кои плавателните съдове да бъдат проверени:</w:t>
      </w:r>
    </w:p>
    <w:p>
      <w:pPr>
        <w:ind w:left="2880" w:hanging="896"/>
        <w:rPr>
          <w:noProof/>
        </w:rPr>
      </w:pPr>
      <w:r>
        <w:rPr>
          <w:noProof/>
        </w:rPr>
        <w:t>a)</w:t>
      </w:r>
      <w:r>
        <w:rPr>
          <w:noProof/>
        </w:rPr>
        <w:tab/>
        <w:t>белият, сивият и черният списък на държавите на знамето в съответствие с формулата, разработена от Парижкия МР и посочена в приложението към Регламент (ЕС) № 801/2010 на Комисията от 13 септември 2010 г. за прилагане на член 10, параграф 3 от Директива 2009/16/ЕО на Европейския парламент и на Съвета по отношение на критериите за държавата на знамето</w:t>
      </w:r>
      <w:r>
        <w:rPr>
          <w:rStyle w:val="FootnoteReference"/>
          <w:noProof/>
        </w:rPr>
        <w:footnoteReference w:id="1"/>
      </w:r>
      <w:r>
        <w:rPr>
          <w:noProof/>
        </w:rPr>
        <w:t xml:space="preserve">; </w:t>
      </w:r>
    </w:p>
    <w:p>
      <w:pPr>
        <w:ind w:left="2880" w:hanging="896"/>
        <w:rPr>
          <w:noProof/>
        </w:rPr>
      </w:pPr>
      <w:r>
        <w:rPr>
          <w:noProof/>
        </w:rPr>
        <w:t>б)</w:t>
      </w:r>
      <w:r>
        <w:rPr>
          <w:noProof/>
        </w:rPr>
        <w:tab/>
        <w:t>списъкът с постигнатите резултати на признати организации в съответствие с методиката, приета от КДПК на 37-ото заседание от м. май 2004 г. (точка 4.5.2 от дневния ред);</w:t>
      </w:r>
    </w:p>
    <w:p>
      <w:pPr>
        <w:ind w:left="2880" w:hanging="896"/>
        <w:rPr>
          <w:noProof/>
        </w:rPr>
      </w:pPr>
      <w:r>
        <w:rPr>
          <w:noProof/>
        </w:rPr>
        <w:t>в)</w:t>
      </w:r>
      <w:r>
        <w:rPr>
          <w:noProof/>
        </w:rPr>
        <w:tab/>
        <w:t>средното съотношение на неизправностите и задържанията във формулата за изчисляване на показателите на дружеството въз основа на приложението към Регламент (ЕС) № 802/2010 на Комисията от 13 септември 2010 г. за прилагане на член 10, параграф 3 и член 27 от Директива 2009/16/ЕО на Европейския парламент и на Съвета по отношение на показателите на дружеството</w:t>
      </w:r>
      <w:r>
        <w:rPr>
          <w:rStyle w:val="FootnoteReference"/>
          <w:noProof/>
        </w:rPr>
        <w:footnoteReference w:id="2"/>
      </w:r>
      <w:r>
        <w:rPr>
          <w:noProof/>
        </w:rPr>
        <w:t xml:space="preserve"> (изменен).</w:t>
      </w:r>
    </w:p>
    <w:p>
      <w:pPr>
        <w:ind w:left="1417" w:hanging="697"/>
        <w:rPr>
          <w:noProof/>
        </w:rPr>
      </w:pPr>
      <w:r>
        <w:rPr>
          <w:noProof/>
        </w:rPr>
        <w:t>2.</w:t>
      </w:r>
      <w:r>
        <w:rPr>
          <w:noProof/>
        </w:rPr>
        <w:tab/>
        <w:t>да се гарантира, че всички промени или актуализации на процедурите и насоките на Парижкия МР са в съответствие с целите на Съюза, по-специално целите за подобряване на морската безопасност и условията на живот и работа на борда на корабите и за предотвратяване на замърсяването.</w:t>
      </w:r>
    </w:p>
    <w:p>
      <w:pPr>
        <w:ind w:left="720" w:hanging="720"/>
        <w:rPr>
          <w:noProof/>
        </w:rPr>
      </w:pPr>
      <w:r>
        <w:rPr>
          <w:noProof/>
        </w:rPr>
        <w:t>Б.</w:t>
      </w:r>
      <w:r>
        <w:rPr>
          <w:noProof/>
        </w:rPr>
        <w:tab/>
        <w:t xml:space="preserve">В средносрочен план — изготвяне на алтернативен метод на съставяне на белия, сивия и черния списък на държавите на знамето, с цел третирането в него да стане по-справедливо, по-специално по отношение на държавите на знамето с малки флоти.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241, 14.9.2010 г., стр. 1.</w:t>
      </w:r>
    </w:p>
  </w:footnote>
  <w:footnote w:id="2">
    <w:p>
      <w:pPr>
        <w:pStyle w:val="FootnoteText"/>
        <w:rPr>
          <w:lang w:val="en-US"/>
        </w:rPr>
      </w:pPr>
      <w:r>
        <w:rPr>
          <w:rStyle w:val="FootnoteReference"/>
        </w:rPr>
        <w:footnoteRef/>
      </w:r>
      <w:r>
        <w:tab/>
        <w:t>ОВ L 241, 14.9.2010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B4DE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0474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7E70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022E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4E6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2047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E0A5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E8A23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5 10:09: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AAB71DB0FEE4DAA90F6553D23230170"/>
    <w:docVar w:name="LW_CROSSREFERENCE" w:val="&lt;UNUSED&gt;"/>
    <w:docVar w:name="LW_DocType" w:val="ANNEX"/>
    <w:docVar w:name="LW_EMISSION" w:val="18.12.2015"/>
    <w:docVar w:name="LW_EMISSION_ISODATE" w:val="2015-12-1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80?\u1084?\u1077?\u1090?\u1086? \u1085?\u1072? \u1057?\u1098?\u1102?\u1079?\u1072? \u1074? \u1088?\u1072?\u1084?\u1082?\u1080?\u1090?\u1077? \u1085?\u1072? \u1050?\u1086?\u1084?\u1080?\u1090?\u1077?\u1090?\u1072? \u1079?\u1072? \u1076?\u1098?\u1088?\u1078?\u1072?\u1074?\u1077?\u1085? \u1087?\u1088?\u1080?\u1089?\u1090?\u1072?\u1085?\u1080?\u1097?\u1077?\u1085? \u1082?\u1086?\u1085?\u1090?\u1088?\u1086?\u1083? \u1085?\u1072? \u1055?\u1072?\u1088?\u1080?\u1078?\u1082?\u1080?\u1103? \u1084?\u1077?\u1084?\u1086?\u1088?\u1072?\u1085?\u1076?\u1091?\u1084? \u1079?\u1072? \u1088?\u1072?\u1079?\u1073?\u1080?\u1088?\u1072?\u1090?\u1077?\u1083?\u1089?\u1090?\u1074?\u1086? \u1079?\u1072? \u1076?\u1098?\u1088?\u1078?\u1072?\u1074?\u1085?\u1080?\u1103? \u1087?\u1088?\u1080?\u1089?\u1090?\u1072?\u1085?\u1080?\u1097?\u1077?\u1085? \u1082?\u1086?\u1085?\u1090?\u1088?\u1086?\u1083?"/>
    <w:docVar w:name="LW_PART_NBR" w:val="1"/>
    <w:docVar w:name="LW_PART_NBR_TOTAL" w:val="1"/>
    <w:docVar w:name="LW_REF.INST.NEW" w:val="COM"/>
    <w:docVar w:name="LW_REF.INST.NEW_ADOPTED" w:val="final"/>
    <w:docVar w:name="LW_REF.INST.NEW_TEXT" w:val="(2015) 664"/>
    <w:docVar w:name="LW_REF.INTERNE" w:val="&lt;UNUSED&gt;"/>
    <w:docVar w:name="LW_SUPERTITRE" w:val="&lt;UNUSED&gt;"/>
    <w:docVar w:name="LW_TITRE.OBJ.CP" w:val="\u1055?\u1086?\u1079?\u1080?\u1094?\u1080?\u1103? \u1085?\u1072? \u1057?\u1098?\u1102?\u1079?\u1072? \u1074? \u1088?\u1072?\u1084?\u1082?\u1080?\u1090?\u1077? \u1085?\u1072? \u1055?\u1072?\u1088?\u1080?\u1078?\u1082?\u1080?\u1103? \u1084?\u1077?\u1084?\u1086?\u1088?\u1072?\u1085?\u1076?\u1091?\u1084? \u1079?\u1072? \u1088?\u1072?\u1079?\u1073?\u1080?\u1088?\u1072?\u1090?\u1077?\u1083?\u1089?\u1090?\u1074?\u1086? \u1079?\u1072? \u1076?\u1098?\u1088?\u1078?\u1072?\u1074?\u1085?\u1080?\u1103? \u1087?\u1088?\u1080?\u1089?\u1090?\u1072?\u1085?\u1080?\u1097?\u1077?\u1085? \u1082?\u1086?\u1085?\u1090?\u1088?\u1086?\u1083?"/>
    <w:docVar w:name="LW_TYPE.DOC.CP" w:val="\u1055?\u1056?\u1048?\u1051?\u1054?\u1046?\u1045?\u1053?\u1048?\u1071?"/>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590</Words>
  <Characters>3366</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TIGANITAKI Maria (MOVE)</dc:creator>
  <cp:keywords/>
  <cp:lastModifiedBy>DIGIT/A3</cp:lastModifiedBy>
  <cp:revision>7</cp:revision>
  <cp:lastPrinted>2015-11-12T14:29:00Z</cp:lastPrinted>
  <dcterms:created xsi:type="dcterms:W3CDTF">2015-12-14T09:17:00Z</dcterms:created>
  <dcterms:modified xsi:type="dcterms:W3CDTF">2015-12-15T09:09:00Z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