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99202B535C41ECA1721A760D7DCEC4"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SUR LES DENRÉES ET INGRÉDIENTS ALIMENTAIRES TRAITÉS PAR IONISATION</w:t>
      </w:r>
      <w:r>
        <w:rPr>
          <w:noProof/>
        </w:rPr>
        <w:br/>
      </w:r>
      <w:r>
        <w:rPr>
          <w:noProof/>
        </w:rPr>
        <w:br/>
        <w:t>EN 2014</w:t>
      </w:r>
    </w:p>
    <w:p>
      <w:pPr>
        <w:pStyle w:val="Point0"/>
        <w:ind w:left="567" w:hanging="567"/>
        <w:rPr>
          <w:b/>
          <w:smallCaps/>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pPr>
    </w:p>
    <w:p>
      <w:pPr>
        <w:pStyle w:val="Point0"/>
        <w:ind w:left="567" w:hanging="567"/>
        <w:rPr>
          <w:b/>
          <w:smallCaps/>
          <w:noProof/>
        </w:rPr>
      </w:pPr>
      <w:r>
        <w:rPr>
          <w:b/>
          <w:smallCaps/>
          <w:noProof/>
        </w:rPr>
        <w:t>1.</w:t>
      </w:r>
      <w:r>
        <w:rPr>
          <w:noProof/>
        </w:rPr>
        <w:tab/>
      </w:r>
      <w:r>
        <w:rPr>
          <w:b/>
          <w:smallCaps/>
          <w:noProof/>
        </w:rPr>
        <w:t>Introduction</w:t>
      </w:r>
    </w:p>
    <w:p>
      <w:pPr>
        <w:pStyle w:val="Text1"/>
        <w:spacing w:before="120" w:after="120"/>
        <w:ind w:left="567"/>
        <w:rPr>
          <w:noProof/>
        </w:rPr>
      </w:pPr>
      <w:r>
        <w:rPr>
          <w:noProof/>
        </w:rPr>
        <w:t>Le présent rapport, dont l’établissement est prévu par l’article 7, paragraphe 4, de la directive 1999/2/CE du Parlement européen et du Conseil relative au rapprochement des législations des États membres sur les denrées et ingrédients alimentaires traités par ionisation</w:t>
      </w:r>
      <w:r>
        <w:rPr>
          <w:rStyle w:val="FootnoteReference"/>
          <w:noProof/>
        </w:rPr>
        <w:footnoteReference w:id="1"/>
      </w:r>
      <w:r>
        <w:rPr>
          <w:noProof/>
        </w:rPr>
        <w:t>, couvre la période allant du 1</w:t>
      </w:r>
      <w:r>
        <w:rPr>
          <w:noProof/>
          <w:vertAlign w:val="superscript"/>
        </w:rPr>
        <w:t>er</w:t>
      </w:r>
      <w:r>
        <w:rPr>
          <w:noProof/>
        </w:rPr>
        <w:t> janvier au 31 décembre 2014. Il réunit les renseignements transmis à la Commission européenne par vingt-sept États membres et un État de l’AELE. La Croatie n’a pas fourni de données pour 2014.</w:t>
      </w:r>
    </w:p>
    <w:p>
      <w:pPr>
        <w:pStyle w:val="Point0"/>
        <w:ind w:left="567" w:hanging="567"/>
        <w:rPr>
          <w:b/>
          <w:smallCaps/>
          <w:noProof/>
        </w:rPr>
      </w:pPr>
      <w:r>
        <w:rPr>
          <w:b/>
          <w:smallCaps/>
          <w:noProof/>
        </w:rPr>
        <w:t>2.</w:t>
      </w:r>
      <w:r>
        <w:rPr>
          <w:noProof/>
        </w:rPr>
        <w:tab/>
      </w:r>
      <w:r>
        <w:rPr>
          <w:b/>
          <w:smallCaps/>
          <w:noProof/>
        </w:rPr>
        <w:t>Base juridique et contexte</w:t>
      </w:r>
    </w:p>
    <w:p>
      <w:pPr>
        <w:pStyle w:val="Text1"/>
        <w:spacing w:before="120" w:after="120"/>
        <w:ind w:left="567"/>
        <w:rPr>
          <w:noProof/>
        </w:rPr>
      </w:pPr>
      <w:r>
        <w:rPr>
          <w:noProof/>
        </w:rPr>
        <w:t>L’article 7, paragraphe 3, de la directive 1999/2/CE prévoit que, chaque année, les États membres transmettent à la Commission:</w:t>
      </w:r>
    </w:p>
    <w:p>
      <w:pPr>
        <w:pStyle w:val="Tiret1"/>
        <w:tabs>
          <w:tab w:val="clear" w:pos="1417"/>
          <w:tab w:val="num" w:pos="993"/>
        </w:tabs>
        <w:ind w:left="993" w:hanging="426"/>
        <w:rPr>
          <w:noProof/>
        </w:rPr>
      </w:pPr>
      <w:r>
        <w:rPr>
          <w:noProof/>
        </w:rPr>
        <w:t>les résultats des contrôles effectués dans les unités d’irradiation, notamment en ce qui concerne les catégories et les quantités de denrées et d’ingrédients alimentaires traités et les doses appliquées</w:t>
      </w:r>
    </w:p>
    <w:p>
      <w:pPr>
        <w:pStyle w:val="Text1"/>
        <w:spacing w:before="120" w:after="120"/>
        <w:ind w:left="567"/>
        <w:rPr>
          <w:noProof/>
        </w:rPr>
      </w:pPr>
      <w:r>
        <w:rPr>
          <w:noProof/>
        </w:rPr>
        <w:t>et</w:t>
      </w:r>
    </w:p>
    <w:p>
      <w:pPr>
        <w:pStyle w:val="Tiret1"/>
        <w:tabs>
          <w:tab w:val="clear" w:pos="1417"/>
          <w:tab w:val="num" w:pos="993"/>
        </w:tabs>
        <w:ind w:left="993" w:hanging="426"/>
        <w:rPr>
          <w:noProof/>
        </w:rPr>
      </w:pPr>
      <w:r>
        <w:rPr>
          <w:noProof/>
        </w:rPr>
        <w:t>les résultats des contrôles effectués au stade de la commercialisation du produit, ainsi que les méthodes utilisées pour détecter si un produit a été traité par ionisation.</w:t>
      </w:r>
    </w:p>
    <w:p>
      <w:pPr>
        <w:pStyle w:val="Text1"/>
        <w:spacing w:before="120" w:after="120"/>
        <w:ind w:left="567"/>
        <w:rPr>
          <w:i/>
          <w:noProof/>
        </w:rPr>
      </w:pPr>
      <w:r>
        <w:rPr>
          <w:noProof/>
        </w:rPr>
        <w:t xml:space="preserve">Conformément à l’article 7, paragraphe 4, de ladite directive, la Commission est tenue de publier au </w:t>
      </w:r>
      <w:r>
        <w:rPr>
          <w:i/>
          <w:noProof/>
        </w:rPr>
        <w:t>Journal officiel de l’Union européenne</w:t>
      </w:r>
      <w:r>
        <w:rPr>
          <w:noProof/>
        </w:rPr>
        <w:t>:</w:t>
      </w:r>
    </w:p>
    <w:p>
      <w:pPr>
        <w:pStyle w:val="Tiret1"/>
        <w:tabs>
          <w:tab w:val="clear" w:pos="1417"/>
          <w:tab w:val="num" w:pos="993"/>
        </w:tabs>
        <w:ind w:left="993" w:hanging="426"/>
        <w:rPr>
          <w:noProof/>
        </w:rPr>
      </w:pPr>
      <w:r>
        <w:rPr>
          <w:noProof/>
        </w:rPr>
        <w:t>des informations détaillées concernant les unités d’irradiation agréées dans les États membres ainsi que toute modification de leur situation,</w:t>
      </w:r>
    </w:p>
    <w:p>
      <w:pPr>
        <w:pStyle w:val="Tiret1"/>
        <w:tabs>
          <w:tab w:val="clear" w:pos="1417"/>
          <w:tab w:val="num" w:pos="993"/>
        </w:tabs>
        <w:ind w:left="993" w:hanging="426"/>
        <w:rPr>
          <w:noProof/>
        </w:rPr>
      </w:pPr>
      <w:r>
        <w:rPr>
          <w:noProof/>
        </w:rPr>
        <w:t>un rapport fondé sur les renseignements fournis chaque année par les autorités nationales de contrôle.</w:t>
      </w:r>
    </w:p>
    <w:p>
      <w:pPr>
        <w:pStyle w:val="Text1"/>
        <w:spacing w:before="120" w:after="120"/>
        <w:ind w:left="567"/>
        <w:rPr>
          <w:noProof/>
        </w:rPr>
      </w:pPr>
      <w:r>
        <w:rPr>
          <w:noProof/>
        </w:rPr>
        <w:t>Le site web de la direction générale de la santé et des consommateurs de la Commission</w:t>
      </w:r>
      <w:r>
        <w:rPr>
          <w:rStyle w:val="FootnoteReference"/>
          <w:noProof/>
        </w:rPr>
        <w:footnoteReference w:id="2"/>
      </w:r>
      <w:r>
        <w:rPr>
          <w:noProof/>
        </w:rPr>
        <w:t xml:space="preserve"> contient des informations générales sur l’irradiation des denrées alimentaires.</w:t>
      </w:r>
    </w:p>
    <w:p>
      <w:pPr>
        <w:pStyle w:val="Point1"/>
        <w:ind w:left="1276" w:hanging="709"/>
        <w:rPr>
          <w:b/>
          <w:noProof/>
        </w:rPr>
      </w:pPr>
      <w:r>
        <w:rPr>
          <w:b/>
          <w:noProof/>
        </w:rPr>
        <w:t>2.1.</w:t>
      </w:r>
      <w:r>
        <w:rPr>
          <w:noProof/>
        </w:rPr>
        <w:tab/>
      </w:r>
      <w:r>
        <w:rPr>
          <w:b/>
          <w:noProof/>
        </w:rPr>
        <w:t>Unités d’irradiation</w:t>
      </w:r>
    </w:p>
    <w:p>
      <w:pPr>
        <w:pStyle w:val="Text2"/>
        <w:spacing w:before="120" w:after="120"/>
        <w:ind w:left="1276"/>
        <w:rPr>
          <w:noProof/>
        </w:rPr>
      </w:pPr>
      <w:r>
        <w:rPr>
          <w:noProof/>
        </w:rPr>
        <w:t>Les denrées et les ingrédients alimentaires ne peuvent être irradiés que dans des unités agréées. Pour les unités implantées dans l’Union européenne, l’agrément est accordé par les autorités compétentes des États membres. L’article 7, paragraphe 3, de la directive 1999/2/CE prévoit que les États membres transmettent à la Commission la liste de leurs unités d’irradiation agréées.</w:t>
      </w:r>
    </w:p>
    <w:p>
      <w:pPr>
        <w:pStyle w:val="Text2"/>
        <w:spacing w:before="120" w:after="120"/>
        <w:ind w:left="1276"/>
        <w:rPr>
          <w:noProof/>
        </w:rPr>
      </w:pPr>
      <w:r>
        <w:rPr>
          <w:noProof/>
        </w:rPr>
        <w:t>L’irradiation des denrées et ingrédients alimentaires ne peut être effectuée qu’au moyen des sources suivantes, énumérées à l’annexe II de la directive:</w:t>
      </w:r>
    </w:p>
    <w:p>
      <w:pPr>
        <w:pStyle w:val="Tiret1"/>
        <w:tabs>
          <w:tab w:val="clear" w:pos="1417"/>
          <w:tab w:val="left" w:pos="1701"/>
        </w:tabs>
        <w:ind w:left="1701" w:hanging="425"/>
        <w:rPr>
          <w:noProof/>
        </w:rPr>
      </w:pPr>
      <w:r>
        <w:rPr>
          <w:noProof/>
        </w:rPr>
        <w:t>rayons gamma émis par les radionucléides cobalt 60 ou césium 137;</w:t>
      </w:r>
    </w:p>
    <w:p>
      <w:pPr>
        <w:pStyle w:val="Tiret1"/>
        <w:tabs>
          <w:tab w:val="clear" w:pos="1417"/>
          <w:tab w:val="left" w:pos="1701"/>
        </w:tabs>
        <w:ind w:left="1701" w:hanging="425"/>
        <w:rPr>
          <w:noProof/>
        </w:rPr>
      </w:pPr>
      <w:r>
        <w:rPr>
          <w:noProof/>
        </w:rPr>
        <w:t>rayons X produits par des appareils délivrant une énergie nominale (énergie quantique maximale) inférieure ou égale à 5 MeV;</w:t>
      </w:r>
    </w:p>
    <w:p>
      <w:pPr>
        <w:pStyle w:val="Tiret1"/>
        <w:tabs>
          <w:tab w:val="clear" w:pos="1417"/>
          <w:tab w:val="left" w:pos="1701"/>
        </w:tabs>
        <w:ind w:left="1701" w:hanging="425"/>
        <w:rPr>
          <w:noProof/>
        </w:rPr>
      </w:pPr>
      <w:r>
        <w:rPr>
          <w:noProof/>
        </w:rPr>
        <w:t>électrons produits par des appareils délivrant une énergie nominale (énergie quantique maximale) inférieure ou égale à 10 MeV.</w:t>
      </w:r>
    </w:p>
    <w:p>
      <w:pPr>
        <w:pStyle w:val="Text2"/>
        <w:spacing w:before="120" w:after="120"/>
        <w:ind w:left="1276"/>
        <w:rPr>
          <w:b/>
          <w:i/>
          <w:noProof/>
        </w:rPr>
      </w:pPr>
      <w:r>
        <w:rPr>
          <w:noProof/>
        </w:rPr>
        <w:t>La liste des unités d’irradiation agréées dans les États membres est à la disposition du public, dans la mesure où elle a été publiée par la Commission</w:t>
      </w:r>
      <w:r>
        <w:rPr>
          <w:rStyle w:val="FootnoteReference"/>
          <w:noProof/>
        </w:rPr>
        <w:footnoteReference w:id="3"/>
      </w:r>
      <w:r>
        <w:rPr>
          <w:noProof/>
        </w:rPr>
        <w:t>.</w:t>
      </w:r>
    </w:p>
    <w:p>
      <w:pPr>
        <w:pStyle w:val="Point1"/>
        <w:keepNext/>
        <w:ind w:left="1276" w:hanging="709"/>
        <w:rPr>
          <w:b/>
          <w:noProof/>
        </w:rPr>
      </w:pPr>
      <w:r>
        <w:rPr>
          <w:b/>
          <w:noProof/>
        </w:rPr>
        <w:t>2.2.</w:t>
      </w:r>
      <w:r>
        <w:rPr>
          <w:noProof/>
        </w:rPr>
        <w:tab/>
      </w:r>
      <w:r>
        <w:rPr>
          <w:b/>
          <w:noProof/>
        </w:rPr>
        <w:t>Denrées et ingrédients alimentaires irradiés</w:t>
      </w:r>
    </w:p>
    <w:p>
      <w:pPr>
        <w:pStyle w:val="Text2"/>
        <w:spacing w:before="120" w:after="120"/>
        <w:ind w:left="1276"/>
        <w:rPr>
          <w:noProof/>
        </w:rPr>
      </w:pPr>
      <w:r>
        <w:rPr>
          <w:noProof/>
        </w:rPr>
        <w:t>La directive 1999/3/CE du Parlement européen et du Conseil établissant une liste communautaire de denrées et ingrédients alimentaires traités par ionisation autorise, à l’échelon de l’Union, le traitement par ionisation des herbes aromatiques séchées, des épices et des condiments végétaux</w:t>
      </w:r>
      <w:r>
        <w:rPr>
          <w:noProof/>
          <w:vertAlign w:val="superscript"/>
        </w:rPr>
        <w:footnoteReference w:id="4"/>
      </w:r>
      <w:r>
        <w:rPr>
          <w:noProof/>
        </w:rPr>
        <w:t>. En outre, sept États membres ont fait savoir à la Commission qu’ils maintenaient leurs autorisations nationales pour certaines denrées et certains ingrédients alimentaires, conformément à l’article 4, paragraphe 4, de la directive 1999/2/CE. La liste des autorisations nationales a été publiée par la Commission</w:t>
      </w:r>
      <w:r>
        <w:rPr>
          <w:noProof/>
          <w:vertAlign w:val="superscript"/>
        </w:rPr>
        <w:footnoteReference w:id="5"/>
      </w:r>
      <w:r>
        <w:rPr>
          <w:noProof/>
        </w:rPr>
        <w:t>.</w:t>
      </w:r>
    </w:p>
    <w:p>
      <w:pPr>
        <w:pStyle w:val="Text2"/>
        <w:spacing w:before="120" w:after="120"/>
        <w:ind w:left="1276"/>
        <w:rPr>
          <w:noProof/>
        </w:rPr>
      </w:pPr>
      <w:r>
        <w:rPr>
          <w:noProof/>
        </w:rPr>
        <w:t>L’étiquette des denrées alimentaires irradiées contenant un ou plusieurs ingrédients alimentaires irradiés doit porter la mention «traité par rayonnements ionisants» ou «traité par ionisation». Si un produit irradié est utilisé comme ingrédient dans un aliment composé, la même mention doit accompagner sa dénomination dans la liste des ingrédients. Pour les produits vendus en vrac, cette mention figure, avec la dénomination du produit, sur une affiche ou sur un écriteau placé au-dessus ou à côté du récipient qui les contient.</w:t>
      </w:r>
    </w:p>
    <w:p>
      <w:pPr>
        <w:pStyle w:val="Text2"/>
        <w:spacing w:before="120" w:after="120"/>
        <w:ind w:left="1276"/>
        <w:rPr>
          <w:noProof/>
        </w:rPr>
      </w:pPr>
      <w:r>
        <w:rPr>
          <w:noProof/>
        </w:rPr>
        <w:t>Afin de garantir un étiquetage correct ou de détecter les produits non autorisés, le Comité européen de normalisation (CEN), mandaté à cet effet par la Commission, a normalisé une série de méthodes d’analyse.</w:t>
      </w:r>
    </w:p>
    <w:p>
      <w:pPr>
        <w:pStyle w:val="Point0"/>
        <w:keepNext/>
        <w:keepLines/>
        <w:ind w:left="567" w:hanging="567"/>
        <w:rPr>
          <w:b/>
          <w:smallCaps/>
          <w:noProof/>
        </w:rPr>
      </w:pPr>
      <w:r>
        <w:rPr>
          <w:b/>
          <w:smallCaps/>
          <w:noProof/>
        </w:rPr>
        <w:t>3.</w:t>
      </w:r>
      <w:r>
        <w:rPr>
          <w:noProof/>
        </w:rPr>
        <w:tab/>
      </w:r>
      <w:r>
        <w:rPr>
          <w:b/>
          <w:smallCaps/>
          <w:noProof/>
        </w:rPr>
        <w:t>Résultats des contrôles effectués dans les unités d’irradiation et doses appliquées</w:t>
      </w:r>
    </w:p>
    <w:p>
      <w:pPr>
        <w:pStyle w:val="Text1"/>
        <w:keepNext/>
        <w:keepLines/>
        <w:spacing w:before="120" w:after="120"/>
        <w:ind w:left="567"/>
        <w:rPr>
          <w:noProof/>
        </w:rPr>
      </w:pPr>
      <w:r>
        <w:rPr>
          <w:noProof/>
        </w:rPr>
        <w:t>Cette section du rapport traite des résultats des contrôles effectués dans les unités d’irradiation, notamment en ce qui concerne les catégories et les quantités de produits traités et les doses appliquées. Selon les informations fournies par les États membres, les contrôles effectués par les autorités compétentes ont confirmé que les unités d’irradiation agréées observaient les prescriptions de la directive 1999/2/CE.</w:t>
      </w:r>
    </w:p>
    <w:p>
      <w:pPr>
        <w:pStyle w:val="Text1"/>
        <w:spacing w:before="120" w:after="120"/>
        <w:ind w:left="567"/>
        <w:rPr>
          <w:noProof/>
        </w:rPr>
      </w:pPr>
      <w:r>
        <w:rPr>
          <w:noProof/>
        </w:rPr>
        <w:t>Les tableaux et les graphiques figurant ci-après montrent les résultats des contrôles effectués dans les unités d’irradiation agréées en Europe en 2014, notamment en ce qui concerne les catégories et les quantités de denrées et d’ingrédients alimentaires traités et les doses appliquées.</w:t>
      </w:r>
    </w:p>
    <w:p>
      <w:pPr>
        <w:pStyle w:val="Point1"/>
        <w:keepNext/>
        <w:keepLines/>
        <w:ind w:left="1276" w:hanging="709"/>
        <w:rPr>
          <w:b/>
          <w:noProof/>
        </w:rPr>
      </w:pPr>
      <w:r>
        <w:rPr>
          <w:b/>
          <w:noProof/>
        </w:rPr>
        <w:t>3.1.</w:t>
      </w:r>
      <w:r>
        <w:rPr>
          <w:noProof/>
        </w:rPr>
        <w:tab/>
      </w:r>
      <w:r>
        <w:rPr>
          <w:b/>
          <w:noProof/>
        </w:rPr>
        <w:t>Résumé pour l’ensemble de l’UE</w:t>
      </w:r>
    </w:p>
    <w:p>
      <w:pPr>
        <w:pStyle w:val="Text2"/>
        <w:keepNext/>
        <w:keepLines/>
        <w:spacing w:before="120" w:after="120"/>
        <w:ind w:left="1276"/>
        <w:rPr>
          <w:noProof/>
        </w:rPr>
      </w:pPr>
      <w:r>
        <w:rPr>
          <w:noProof/>
        </w:rPr>
        <w:t>Le tableau ci-dessous récapitule les quantités de denrées alimentaires (en tonnes) traitées par ionisation dans les unités d’irradiation agréées situées dans treize États membres de l’Union:</w:t>
      </w:r>
    </w:p>
    <w:tbl>
      <w:tblPr>
        <w:tblW w:w="737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3260"/>
      </w:tblGrid>
      <w:tr>
        <w:trPr>
          <w:trHeight w:val="624"/>
        </w:trPr>
        <w:tc>
          <w:tcPr>
            <w:tcW w:w="1985" w:type="dxa"/>
            <w:shd w:val="clear" w:color="auto" w:fill="auto"/>
            <w:noWrap/>
            <w:vAlign w:val="center"/>
          </w:tcPr>
          <w:p>
            <w:pPr>
              <w:keepNext/>
              <w:keepLines/>
              <w:spacing w:before="40" w:after="40"/>
              <w:jc w:val="center"/>
              <w:rPr>
                <w:b/>
                <w:bCs/>
                <w:noProof/>
                <w:sz w:val="20"/>
              </w:rPr>
            </w:pPr>
            <w:r>
              <w:rPr>
                <w:b/>
                <w:noProof/>
                <w:sz w:val="20"/>
              </w:rPr>
              <w:t>État membre</w:t>
            </w:r>
          </w:p>
        </w:tc>
        <w:tc>
          <w:tcPr>
            <w:tcW w:w="2126" w:type="dxa"/>
            <w:shd w:val="clear" w:color="auto" w:fill="auto"/>
            <w:vAlign w:val="center"/>
          </w:tcPr>
          <w:p>
            <w:pPr>
              <w:keepNext/>
              <w:keepLines/>
              <w:spacing w:before="40" w:after="40"/>
              <w:jc w:val="center"/>
              <w:rPr>
                <w:b/>
                <w:bCs/>
                <w:noProof/>
                <w:sz w:val="20"/>
              </w:rPr>
            </w:pPr>
            <w:r>
              <w:rPr>
                <w:b/>
                <w:noProof/>
                <w:sz w:val="20"/>
              </w:rPr>
              <w:t>Nombre d’unités d’irradiation agréées</w:t>
            </w:r>
          </w:p>
        </w:tc>
        <w:tc>
          <w:tcPr>
            <w:tcW w:w="3260" w:type="dxa"/>
            <w:shd w:val="clear" w:color="auto" w:fill="auto"/>
            <w:vAlign w:val="center"/>
          </w:tcPr>
          <w:p>
            <w:pPr>
              <w:keepNext/>
              <w:keepLines/>
              <w:spacing w:before="40" w:after="40"/>
              <w:jc w:val="center"/>
              <w:rPr>
                <w:b/>
                <w:bCs/>
                <w:noProof/>
                <w:sz w:val="20"/>
              </w:rPr>
            </w:pPr>
            <w:r>
              <w:rPr>
                <w:b/>
                <w:noProof/>
                <w:sz w:val="20"/>
              </w:rPr>
              <w:t>Quantité traitée (tonnes)</w:t>
            </w:r>
          </w:p>
        </w:tc>
      </w:tr>
      <w:tr>
        <w:trPr>
          <w:trHeight w:val="416"/>
        </w:trPr>
        <w:tc>
          <w:tcPr>
            <w:tcW w:w="1985" w:type="dxa"/>
            <w:shd w:val="clear" w:color="auto" w:fill="auto"/>
            <w:noWrap/>
            <w:vAlign w:val="center"/>
          </w:tcPr>
          <w:p>
            <w:pPr>
              <w:keepNext/>
              <w:keepLines/>
              <w:spacing w:before="40" w:after="40"/>
              <w:jc w:val="left"/>
              <w:rPr>
                <w:noProof/>
                <w:sz w:val="20"/>
              </w:rPr>
            </w:pPr>
            <w:r>
              <w:rPr>
                <w:noProof/>
                <w:sz w:val="20"/>
              </w:rPr>
              <w:t>Belgique</w:t>
            </w:r>
          </w:p>
        </w:tc>
        <w:tc>
          <w:tcPr>
            <w:tcW w:w="2126" w:type="dxa"/>
            <w:shd w:val="clear" w:color="auto" w:fill="auto"/>
            <w:noWrap/>
            <w:vAlign w:val="center"/>
          </w:tcPr>
          <w:p>
            <w:pPr>
              <w:keepNext/>
              <w:keepLines/>
              <w:spacing w:before="40" w:after="40"/>
              <w:jc w:val="center"/>
              <w:rPr>
                <w:noProof/>
                <w:sz w:val="20"/>
              </w:rPr>
            </w:pPr>
            <w:r>
              <w:rPr>
                <w:noProof/>
                <w:sz w:val="20"/>
              </w:rPr>
              <w:t>1</w:t>
            </w:r>
          </w:p>
        </w:tc>
        <w:tc>
          <w:tcPr>
            <w:tcW w:w="3260" w:type="dxa"/>
            <w:shd w:val="clear" w:color="auto" w:fill="auto"/>
            <w:noWrap/>
            <w:vAlign w:val="center"/>
          </w:tcPr>
          <w:p>
            <w:pPr>
              <w:keepNext/>
              <w:keepLines/>
              <w:spacing w:before="40" w:after="40"/>
              <w:jc w:val="center"/>
              <w:rPr>
                <w:noProof/>
                <w:sz w:val="20"/>
              </w:rPr>
            </w:pPr>
            <w:r>
              <w:rPr>
                <w:noProof/>
                <w:sz w:val="20"/>
              </w:rPr>
              <w:t>3 289,6</w:t>
            </w:r>
          </w:p>
        </w:tc>
      </w:tr>
      <w:tr>
        <w:trPr>
          <w:trHeight w:val="416"/>
        </w:trPr>
        <w:tc>
          <w:tcPr>
            <w:tcW w:w="1985" w:type="dxa"/>
            <w:shd w:val="clear" w:color="auto" w:fill="auto"/>
            <w:noWrap/>
            <w:vAlign w:val="center"/>
          </w:tcPr>
          <w:p>
            <w:pPr>
              <w:spacing w:before="40" w:after="40"/>
              <w:jc w:val="left"/>
              <w:rPr>
                <w:noProof/>
                <w:sz w:val="20"/>
              </w:rPr>
            </w:pPr>
            <w:r>
              <w:rPr>
                <w:noProof/>
                <w:sz w:val="20"/>
              </w:rPr>
              <w:t>Bulgarie</w:t>
            </w:r>
          </w:p>
        </w:tc>
        <w:tc>
          <w:tcPr>
            <w:tcW w:w="2126" w:type="dxa"/>
            <w:shd w:val="clear" w:color="auto" w:fill="auto"/>
            <w:noWrap/>
            <w:vAlign w:val="center"/>
          </w:tcPr>
          <w:p>
            <w:pPr>
              <w:spacing w:before="40" w:after="40"/>
              <w:jc w:val="center"/>
              <w:rPr>
                <w:noProof/>
                <w:sz w:val="20"/>
              </w:rPr>
            </w:pPr>
            <w:r>
              <w:rPr>
                <w:noProof/>
                <w:sz w:val="20"/>
              </w:rPr>
              <w:t>2</w:t>
            </w:r>
          </w:p>
        </w:tc>
        <w:tc>
          <w:tcPr>
            <w:tcW w:w="3260" w:type="dxa"/>
            <w:shd w:val="clear" w:color="auto" w:fill="auto"/>
            <w:noWrap/>
            <w:vAlign w:val="center"/>
          </w:tcPr>
          <w:p>
            <w:pPr>
              <w:spacing w:before="40" w:after="40"/>
              <w:jc w:val="center"/>
              <w:rPr>
                <w:noProof/>
                <w:sz w:val="20"/>
              </w:rPr>
            </w:pPr>
            <w:r>
              <w:rPr>
                <w:noProof/>
                <w:sz w:val="20"/>
              </w:rPr>
              <w:t>Pas de denrées alimentaires irradiées</w:t>
            </w:r>
          </w:p>
        </w:tc>
      </w:tr>
      <w:tr>
        <w:trPr>
          <w:trHeight w:val="416"/>
        </w:trPr>
        <w:tc>
          <w:tcPr>
            <w:tcW w:w="1985" w:type="dxa"/>
            <w:shd w:val="clear" w:color="auto" w:fill="auto"/>
            <w:noWrap/>
            <w:vAlign w:val="center"/>
          </w:tcPr>
          <w:p>
            <w:pPr>
              <w:spacing w:before="40" w:after="40"/>
              <w:jc w:val="left"/>
              <w:rPr>
                <w:noProof/>
                <w:sz w:val="20"/>
              </w:rPr>
            </w:pPr>
            <w:r>
              <w:rPr>
                <w:noProof/>
                <w:sz w:val="20"/>
              </w:rPr>
              <w:t>République tchèque</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20,1</w:t>
            </w:r>
          </w:p>
        </w:tc>
      </w:tr>
      <w:tr>
        <w:trPr>
          <w:trHeight w:val="416"/>
        </w:trPr>
        <w:tc>
          <w:tcPr>
            <w:tcW w:w="1985" w:type="dxa"/>
            <w:shd w:val="clear" w:color="auto" w:fill="auto"/>
            <w:noWrap/>
            <w:vAlign w:val="center"/>
          </w:tcPr>
          <w:p>
            <w:pPr>
              <w:spacing w:before="40" w:after="40"/>
              <w:jc w:val="left"/>
              <w:rPr>
                <w:noProof/>
                <w:sz w:val="20"/>
              </w:rPr>
            </w:pPr>
            <w:r>
              <w:rPr>
                <w:noProof/>
                <w:sz w:val="20"/>
              </w:rPr>
              <w:t>Allemagne</w:t>
            </w:r>
          </w:p>
        </w:tc>
        <w:tc>
          <w:tcPr>
            <w:tcW w:w="2126" w:type="dxa"/>
            <w:shd w:val="clear" w:color="auto" w:fill="auto"/>
            <w:noWrap/>
            <w:vAlign w:val="center"/>
          </w:tcPr>
          <w:p>
            <w:pPr>
              <w:spacing w:before="40" w:after="40"/>
              <w:jc w:val="center"/>
              <w:rPr>
                <w:noProof/>
                <w:sz w:val="20"/>
              </w:rPr>
            </w:pPr>
            <w:r>
              <w:rPr>
                <w:noProof/>
                <w:sz w:val="20"/>
              </w:rPr>
              <w:t>4</w:t>
            </w:r>
          </w:p>
        </w:tc>
        <w:tc>
          <w:tcPr>
            <w:tcW w:w="3260" w:type="dxa"/>
            <w:shd w:val="clear" w:color="auto" w:fill="auto"/>
            <w:noWrap/>
            <w:vAlign w:val="center"/>
          </w:tcPr>
          <w:p>
            <w:pPr>
              <w:spacing w:before="40" w:after="40"/>
              <w:jc w:val="center"/>
              <w:rPr>
                <w:noProof/>
                <w:sz w:val="20"/>
              </w:rPr>
            </w:pPr>
            <w:r>
              <w:rPr>
                <w:noProof/>
                <w:sz w:val="20"/>
              </w:rPr>
              <w:t>97,3</w:t>
            </w:r>
          </w:p>
        </w:tc>
      </w:tr>
      <w:tr>
        <w:trPr>
          <w:trHeight w:val="416"/>
        </w:trPr>
        <w:tc>
          <w:tcPr>
            <w:tcW w:w="1985" w:type="dxa"/>
            <w:shd w:val="clear" w:color="auto" w:fill="auto"/>
            <w:noWrap/>
            <w:vAlign w:val="center"/>
          </w:tcPr>
          <w:p>
            <w:pPr>
              <w:spacing w:before="40" w:after="40"/>
              <w:jc w:val="left"/>
              <w:rPr>
                <w:noProof/>
                <w:sz w:val="20"/>
              </w:rPr>
            </w:pPr>
            <w:r>
              <w:rPr>
                <w:noProof/>
                <w:sz w:val="20"/>
              </w:rPr>
              <w:t>Estonie</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33,7</w:t>
            </w:r>
          </w:p>
        </w:tc>
      </w:tr>
      <w:tr>
        <w:trPr>
          <w:trHeight w:val="416"/>
        </w:trPr>
        <w:tc>
          <w:tcPr>
            <w:tcW w:w="1985" w:type="dxa"/>
            <w:shd w:val="clear" w:color="auto" w:fill="auto"/>
            <w:noWrap/>
            <w:vAlign w:val="center"/>
          </w:tcPr>
          <w:p>
            <w:pPr>
              <w:spacing w:before="40" w:after="40"/>
              <w:jc w:val="left"/>
              <w:rPr>
                <w:noProof/>
                <w:sz w:val="20"/>
              </w:rPr>
            </w:pPr>
            <w:r>
              <w:rPr>
                <w:noProof/>
                <w:sz w:val="20"/>
              </w:rPr>
              <w:t>Espagne</w:t>
            </w:r>
          </w:p>
        </w:tc>
        <w:tc>
          <w:tcPr>
            <w:tcW w:w="2126" w:type="dxa"/>
            <w:shd w:val="clear" w:color="auto" w:fill="auto"/>
            <w:noWrap/>
            <w:vAlign w:val="center"/>
          </w:tcPr>
          <w:p>
            <w:pPr>
              <w:spacing w:before="40" w:after="40"/>
              <w:jc w:val="center"/>
              <w:rPr>
                <w:noProof/>
                <w:sz w:val="20"/>
              </w:rPr>
            </w:pPr>
            <w:r>
              <w:rPr>
                <w:noProof/>
                <w:sz w:val="20"/>
              </w:rPr>
              <w:t>3</w:t>
            </w:r>
            <w:r>
              <w:rPr>
                <w:noProof/>
                <w:sz w:val="20"/>
                <w:vertAlign w:val="superscript"/>
              </w:rPr>
              <w:t>*</w:t>
            </w:r>
          </w:p>
        </w:tc>
        <w:tc>
          <w:tcPr>
            <w:tcW w:w="3260" w:type="dxa"/>
            <w:shd w:val="clear" w:color="auto" w:fill="auto"/>
            <w:noWrap/>
            <w:vAlign w:val="center"/>
          </w:tcPr>
          <w:p>
            <w:pPr>
              <w:spacing w:before="40" w:after="40"/>
              <w:jc w:val="center"/>
              <w:rPr>
                <w:noProof/>
                <w:sz w:val="20"/>
              </w:rPr>
            </w:pPr>
            <w:r>
              <w:rPr>
                <w:noProof/>
                <w:sz w:val="20"/>
              </w:rPr>
              <w:t>233,1</w:t>
            </w:r>
          </w:p>
        </w:tc>
      </w:tr>
      <w:tr>
        <w:trPr>
          <w:trHeight w:val="416"/>
        </w:trPr>
        <w:tc>
          <w:tcPr>
            <w:tcW w:w="1985" w:type="dxa"/>
            <w:shd w:val="clear" w:color="auto" w:fill="auto"/>
            <w:noWrap/>
            <w:vAlign w:val="center"/>
          </w:tcPr>
          <w:p>
            <w:pPr>
              <w:spacing w:before="40" w:after="40"/>
              <w:jc w:val="left"/>
              <w:rPr>
                <w:noProof/>
                <w:sz w:val="20"/>
              </w:rPr>
            </w:pPr>
            <w:r>
              <w:rPr>
                <w:noProof/>
                <w:sz w:val="20"/>
              </w:rPr>
              <w:t>France</w:t>
            </w:r>
          </w:p>
        </w:tc>
        <w:tc>
          <w:tcPr>
            <w:tcW w:w="2126" w:type="dxa"/>
            <w:shd w:val="clear" w:color="auto" w:fill="auto"/>
            <w:noWrap/>
            <w:vAlign w:val="center"/>
          </w:tcPr>
          <w:p>
            <w:pPr>
              <w:spacing w:before="40" w:after="40"/>
              <w:jc w:val="center"/>
              <w:rPr>
                <w:noProof/>
                <w:sz w:val="20"/>
              </w:rPr>
            </w:pPr>
            <w:r>
              <w:rPr>
                <w:noProof/>
                <w:sz w:val="20"/>
              </w:rPr>
              <w:t>5</w:t>
            </w:r>
          </w:p>
        </w:tc>
        <w:tc>
          <w:tcPr>
            <w:tcW w:w="3260" w:type="dxa"/>
            <w:shd w:val="clear" w:color="auto" w:fill="auto"/>
            <w:noWrap/>
            <w:vAlign w:val="center"/>
          </w:tcPr>
          <w:p>
            <w:pPr>
              <w:spacing w:before="40" w:after="40"/>
              <w:jc w:val="center"/>
              <w:rPr>
                <w:noProof/>
                <w:sz w:val="20"/>
              </w:rPr>
            </w:pPr>
            <w:r>
              <w:rPr>
                <w:noProof/>
                <w:sz w:val="20"/>
              </w:rPr>
              <w:t>463,3</w:t>
            </w:r>
          </w:p>
        </w:tc>
      </w:tr>
      <w:tr>
        <w:trPr>
          <w:trHeight w:val="416"/>
        </w:trPr>
        <w:tc>
          <w:tcPr>
            <w:tcW w:w="1985" w:type="dxa"/>
            <w:shd w:val="clear" w:color="auto" w:fill="auto"/>
            <w:noWrap/>
            <w:vAlign w:val="center"/>
          </w:tcPr>
          <w:p>
            <w:pPr>
              <w:spacing w:before="40" w:after="40"/>
              <w:jc w:val="left"/>
              <w:rPr>
                <w:noProof/>
                <w:sz w:val="20"/>
              </w:rPr>
            </w:pPr>
            <w:r>
              <w:rPr>
                <w:noProof/>
                <w:sz w:val="20"/>
              </w:rPr>
              <w:t>Italie</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Pas de denrées alimentaires irradiées</w:t>
            </w:r>
          </w:p>
        </w:tc>
      </w:tr>
      <w:tr>
        <w:trPr>
          <w:trHeight w:val="416"/>
        </w:trPr>
        <w:tc>
          <w:tcPr>
            <w:tcW w:w="1985" w:type="dxa"/>
            <w:shd w:val="clear" w:color="auto" w:fill="auto"/>
            <w:noWrap/>
            <w:vAlign w:val="center"/>
          </w:tcPr>
          <w:p>
            <w:pPr>
              <w:spacing w:before="40" w:after="40"/>
              <w:jc w:val="left"/>
              <w:rPr>
                <w:noProof/>
                <w:sz w:val="20"/>
              </w:rPr>
            </w:pPr>
            <w:r>
              <w:rPr>
                <w:noProof/>
                <w:sz w:val="20"/>
              </w:rPr>
              <w:t>Hongrie</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70,0</w:t>
            </w:r>
          </w:p>
        </w:tc>
      </w:tr>
      <w:tr>
        <w:trPr>
          <w:trHeight w:val="416"/>
        </w:trPr>
        <w:tc>
          <w:tcPr>
            <w:tcW w:w="1985" w:type="dxa"/>
            <w:shd w:val="clear" w:color="auto" w:fill="auto"/>
            <w:noWrap/>
            <w:vAlign w:val="center"/>
          </w:tcPr>
          <w:p>
            <w:pPr>
              <w:spacing w:before="40" w:after="40"/>
              <w:jc w:val="left"/>
              <w:rPr>
                <w:noProof/>
                <w:sz w:val="20"/>
              </w:rPr>
            </w:pPr>
            <w:r>
              <w:rPr>
                <w:noProof/>
                <w:sz w:val="20"/>
              </w:rPr>
              <w:t>Pays-Bas</w:t>
            </w:r>
          </w:p>
        </w:tc>
        <w:tc>
          <w:tcPr>
            <w:tcW w:w="2126" w:type="dxa"/>
            <w:shd w:val="clear" w:color="auto" w:fill="auto"/>
            <w:noWrap/>
            <w:vAlign w:val="center"/>
          </w:tcPr>
          <w:p>
            <w:pPr>
              <w:spacing w:before="40" w:after="40"/>
              <w:jc w:val="center"/>
              <w:rPr>
                <w:noProof/>
                <w:sz w:val="20"/>
              </w:rPr>
            </w:pPr>
            <w:r>
              <w:rPr>
                <w:noProof/>
                <w:sz w:val="20"/>
              </w:rPr>
              <w:t>2</w:t>
            </w:r>
          </w:p>
        </w:tc>
        <w:tc>
          <w:tcPr>
            <w:tcW w:w="3260" w:type="dxa"/>
            <w:shd w:val="clear" w:color="auto" w:fill="auto"/>
            <w:noWrap/>
            <w:vAlign w:val="center"/>
          </w:tcPr>
          <w:p>
            <w:pPr>
              <w:spacing w:before="40" w:after="40"/>
              <w:jc w:val="center"/>
              <w:rPr>
                <w:noProof/>
                <w:sz w:val="20"/>
              </w:rPr>
            </w:pPr>
            <w:r>
              <w:rPr>
                <w:noProof/>
                <w:sz w:val="20"/>
              </w:rPr>
              <w:t>1 308,2</w:t>
            </w:r>
          </w:p>
        </w:tc>
      </w:tr>
      <w:tr>
        <w:trPr>
          <w:trHeight w:val="416"/>
        </w:trPr>
        <w:tc>
          <w:tcPr>
            <w:tcW w:w="1985" w:type="dxa"/>
            <w:shd w:val="clear" w:color="auto" w:fill="auto"/>
            <w:noWrap/>
            <w:vAlign w:val="center"/>
          </w:tcPr>
          <w:p>
            <w:pPr>
              <w:spacing w:before="40" w:after="40"/>
              <w:jc w:val="left"/>
              <w:rPr>
                <w:noProof/>
                <w:sz w:val="20"/>
              </w:rPr>
            </w:pPr>
            <w:r>
              <w:rPr>
                <w:noProof/>
                <w:sz w:val="20"/>
              </w:rPr>
              <w:t>Pologne</w:t>
            </w:r>
          </w:p>
        </w:tc>
        <w:tc>
          <w:tcPr>
            <w:tcW w:w="2126" w:type="dxa"/>
            <w:shd w:val="clear" w:color="auto" w:fill="auto"/>
            <w:noWrap/>
            <w:vAlign w:val="center"/>
          </w:tcPr>
          <w:p>
            <w:pPr>
              <w:spacing w:before="40" w:after="40"/>
              <w:jc w:val="center"/>
              <w:rPr>
                <w:noProof/>
                <w:sz w:val="20"/>
              </w:rPr>
            </w:pPr>
            <w:r>
              <w:rPr>
                <w:noProof/>
                <w:sz w:val="20"/>
              </w:rPr>
              <w:t>2</w:t>
            </w:r>
            <w:r>
              <w:rPr>
                <w:noProof/>
                <w:sz w:val="20"/>
                <w:vertAlign w:val="superscript"/>
              </w:rPr>
              <w:t>*</w:t>
            </w:r>
          </w:p>
        </w:tc>
        <w:tc>
          <w:tcPr>
            <w:tcW w:w="3260" w:type="dxa"/>
            <w:shd w:val="clear" w:color="auto" w:fill="auto"/>
            <w:noWrap/>
            <w:vAlign w:val="center"/>
          </w:tcPr>
          <w:p>
            <w:pPr>
              <w:spacing w:before="40" w:after="40"/>
              <w:jc w:val="center"/>
              <w:rPr>
                <w:noProof/>
                <w:sz w:val="20"/>
              </w:rPr>
            </w:pPr>
            <w:r>
              <w:rPr>
                <w:noProof/>
                <w:sz w:val="20"/>
              </w:rPr>
              <w:t>55,0</w:t>
            </w:r>
          </w:p>
        </w:tc>
      </w:tr>
      <w:tr>
        <w:trPr>
          <w:trHeight w:val="416"/>
        </w:trPr>
        <w:tc>
          <w:tcPr>
            <w:tcW w:w="1985" w:type="dxa"/>
            <w:shd w:val="clear" w:color="auto" w:fill="auto"/>
            <w:noWrap/>
            <w:vAlign w:val="center"/>
          </w:tcPr>
          <w:p>
            <w:pPr>
              <w:spacing w:before="40" w:after="40"/>
              <w:jc w:val="left"/>
              <w:rPr>
                <w:noProof/>
                <w:sz w:val="20"/>
              </w:rPr>
            </w:pPr>
            <w:r>
              <w:rPr>
                <w:noProof/>
                <w:sz w:val="20"/>
              </w:rPr>
              <w:t>Roumanie</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Pas de denrées alimentaires irradiées</w:t>
            </w:r>
          </w:p>
        </w:tc>
      </w:tr>
      <w:tr>
        <w:trPr>
          <w:trHeight w:val="416"/>
        </w:trPr>
        <w:tc>
          <w:tcPr>
            <w:tcW w:w="1985" w:type="dxa"/>
            <w:shd w:val="clear" w:color="auto" w:fill="auto"/>
            <w:noWrap/>
            <w:vAlign w:val="center"/>
          </w:tcPr>
          <w:p>
            <w:pPr>
              <w:spacing w:before="40" w:after="40"/>
              <w:jc w:val="left"/>
              <w:rPr>
                <w:noProof/>
                <w:sz w:val="20"/>
              </w:rPr>
            </w:pPr>
            <w:r>
              <w:rPr>
                <w:noProof/>
                <w:sz w:val="20"/>
              </w:rPr>
              <w:t>Royaume-Uni</w:t>
            </w:r>
          </w:p>
        </w:tc>
        <w:tc>
          <w:tcPr>
            <w:tcW w:w="2126" w:type="dxa"/>
            <w:shd w:val="clear" w:color="auto" w:fill="auto"/>
            <w:noWrap/>
            <w:vAlign w:val="center"/>
          </w:tcPr>
          <w:p>
            <w:pPr>
              <w:spacing w:before="40" w:after="40"/>
              <w:jc w:val="center"/>
              <w:rPr>
                <w:noProof/>
                <w:sz w:val="20"/>
              </w:rPr>
            </w:pPr>
            <w:r>
              <w:rPr>
                <w:noProof/>
                <w:sz w:val="20"/>
              </w:rPr>
              <w:t>1</w:t>
            </w:r>
          </w:p>
        </w:tc>
        <w:tc>
          <w:tcPr>
            <w:tcW w:w="3260" w:type="dxa"/>
            <w:shd w:val="clear" w:color="auto" w:fill="auto"/>
            <w:noWrap/>
            <w:vAlign w:val="center"/>
          </w:tcPr>
          <w:p>
            <w:pPr>
              <w:spacing w:before="40" w:after="40"/>
              <w:jc w:val="center"/>
              <w:rPr>
                <w:noProof/>
                <w:sz w:val="20"/>
              </w:rPr>
            </w:pPr>
            <w:r>
              <w:rPr>
                <w:noProof/>
                <w:sz w:val="20"/>
              </w:rPr>
              <w:t>Pas de denrées alimentaires irradiées</w:t>
            </w:r>
          </w:p>
        </w:tc>
      </w:tr>
      <w:tr>
        <w:trPr>
          <w:trHeight w:val="416"/>
        </w:trPr>
        <w:tc>
          <w:tcPr>
            <w:tcW w:w="1985" w:type="dxa"/>
            <w:shd w:val="clear" w:color="auto" w:fill="auto"/>
            <w:noWrap/>
            <w:vAlign w:val="center"/>
          </w:tcPr>
          <w:p>
            <w:pPr>
              <w:spacing w:before="40" w:after="40"/>
              <w:jc w:val="left"/>
              <w:rPr>
                <w:b/>
                <w:bCs/>
                <w:noProof/>
                <w:sz w:val="20"/>
              </w:rPr>
            </w:pPr>
            <w:r>
              <w:rPr>
                <w:noProof/>
                <w:sz w:val="20"/>
              </w:rPr>
              <w:t xml:space="preserve">Total </w:t>
            </w:r>
            <w:r>
              <w:rPr>
                <w:b/>
                <w:noProof/>
                <w:sz w:val="20"/>
              </w:rPr>
              <w:t>États membres de l’UE</w:t>
            </w:r>
            <w:r>
              <w:rPr>
                <w:noProof/>
                <w:sz w:val="20"/>
              </w:rPr>
              <w:t>:</w:t>
            </w:r>
          </w:p>
        </w:tc>
        <w:tc>
          <w:tcPr>
            <w:tcW w:w="2126" w:type="dxa"/>
            <w:shd w:val="clear" w:color="auto" w:fill="auto"/>
            <w:noWrap/>
            <w:vAlign w:val="center"/>
          </w:tcPr>
          <w:p>
            <w:pPr>
              <w:spacing w:before="40" w:after="40"/>
              <w:jc w:val="center"/>
              <w:rPr>
                <w:b/>
                <w:bCs/>
                <w:noProof/>
                <w:sz w:val="20"/>
              </w:rPr>
            </w:pPr>
            <w:r>
              <w:rPr>
                <w:b/>
                <w:noProof/>
                <w:sz w:val="20"/>
              </w:rPr>
              <w:t>25</w:t>
            </w:r>
          </w:p>
        </w:tc>
        <w:tc>
          <w:tcPr>
            <w:tcW w:w="3260" w:type="dxa"/>
            <w:shd w:val="clear" w:color="auto" w:fill="auto"/>
            <w:noWrap/>
            <w:vAlign w:val="center"/>
          </w:tcPr>
          <w:p>
            <w:pPr>
              <w:spacing w:before="40" w:after="40"/>
              <w:jc w:val="center"/>
              <w:rPr>
                <w:b/>
                <w:bCs/>
                <w:noProof/>
                <w:sz w:val="20"/>
              </w:rPr>
            </w:pPr>
            <w:r>
              <w:rPr>
                <w:b/>
                <w:noProof/>
                <w:sz w:val="20"/>
              </w:rPr>
              <w:t>5 543,3</w:t>
            </w:r>
          </w:p>
        </w:tc>
      </w:tr>
      <w:tr>
        <w:trPr>
          <w:trHeight w:val="416"/>
        </w:trPr>
        <w:tc>
          <w:tcPr>
            <w:tcW w:w="1985" w:type="dxa"/>
            <w:shd w:val="clear" w:color="auto" w:fill="auto"/>
            <w:noWrap/>
            <w:vAlign w:val="center"/>
          </w:tcPr>
          <w:p>
            <w:pPr>
              <w:spacing w:before="40" w:after="40"/>
              <w:jc w:val="left"/>
              <w:rPr>
                <w:bCs/>
                <w:noProof/>
                <w:sz w:val="20"/>
              </w:rPr>
            </w:pPr>
            <w:r>
              <w:rPr>
                <w:noProof/>
                <w:sz w:val="20"/>
              </w:rPr>
              <w:t>Norvège</w:t>
            </w:r>
          </w:p>
        </w:tc>
        <w:tc>
          <w:tcPr>
            <w:tcW w:w="2126" w:type="dxa"/>
            <w:shd w:val="clear" w:color="auto" w:fill="auto"/>
            <w:noWrap/>
            <w:vAlign w:val="center"/>
          </w:tcPr>
          <w:p>
            <w:pPr>
              <w:spacing w:before="40" w:after="40"/>
              <w:jc w:val="center"/>
              <w:rPr>
                <w:bCs/>
                <w:noProof/>
                <w:sz w:val="20"/>
              </w:rPr>
            </w:pPr>
            <w:r>
              <w:rPr>
                <w:noProof/>
                <w:sz w:val="20"/>
              </w:rPr>
              <w:t>1</w:t>
            </w:r>
          </w:p>
        </w:tc>
        <w:tc>
          <w:tcPr>
            <w:tcW w:w="3260" w:type="dxa"/>
            <w:shd w:val="clear" w:color="auto" w:fill="auto"/>
            <w:noWrap/>
            <w:vAlign w:val="center"/>
          </w:tcPr>
          <w:p>
            <w:pPr>
              <w:spacing w:before="40" w:after="40"/>
              <w:jc w:val="center"/>
              <w:rPr>
                <w:bCs/>
                <w:noProof/>
                <w:sz w:val="20"/>
              </w:rPr>
            </w:pPr>
            <w:r>
              <w:rPr>
                <w:noProof/>
                <w:sz w:val="20"/>
              </w:rPr>
              <w:t>7,6</w:t>
            </w:r>
          </w:p>
        </w:tc>
      </w:tr>
      <w:tr>
        <w:trPr>
          <w:trHeight w:val="416"/>
        </w:trPr>
        <w:tc>
          <w:tcPr>
            <w:tcW w:w="1985" w:type="dxa"/>
            <w:shd w:val="clear" w:color="auto" w:fill="auto"/>
            <w:noWrap/>
            <w:vAlign w:val="center"/>
          </w:tcPr>
          <w:p>
            <w:pPr>
              <w:spacing w:before="40" w:after="40"/>
              <w:jc w:val="left"/>
              <w:rPr>
                <w:b/>
                <w:bCs/>
                <w:noProof/>
                <w:sz w:val="20"/>
              </w:rPr>
            </w:pPr>
            <w:r>
              <w:rPr>
                <w:noProof/>
                <w:sz w:val="20"/>
              </w:rPr>
              <w:t>Total:</w:t>
            </w:r>
          </w:p>
        </w:tc>
        <w:tc>
          <w:tcPr>
            <w:tcW w:w="2126" w:type="dxa"/>
            <w:shd w:val="clear" w:color="auto" w:fill="auto"/>
            <w:noWrap/>
            <w:vAlign w:val="center"/>
          </w:tcPr>
          <w:p>
            <w:pPr>
              <w:spacing w:before="40" w:after="40"/>
              <w:jc w:val="center"/>
              <w:rPr>
                <w:b/>
                <w:bCs/>
                <w:noProof/>
                <w:sz w:val="20"/>
              </w:rPr>
            </w:pPr>
            <w:r>
              <w:rPr>
                <w:b/>
                <w:noProof/>
                <w:sz w:val="20"/>
              </w:rPr>
              <w:t>26</w:t>
            </w:r>
          </w:p>
        </w:tc>
        <w:tc>
          <w:tcPr>
            <w:tcW w:w="3260" w:type="dxa"/>
            <w:shd w:val="clear" w:color="auto" w:fill="auto"/>
            <w:noWrap/>
            <w:vAlign w:val="center"/>
          </w:tcPr>
          <w:p>
            <w:pPr>
              <w:spacing w:before="40" w:after="40"/>
              <w:jc w:val="center"/>
              <w:rPr>
                <w:b/>
                <w:bCs/>
                <w:noProof/>
                <w:sz w:val="20"/>
              </w:rPr>
            </w:pPr>
            <w:r>
              <w:rPr>
                <w:b/>
                <w:noProof/>
                <w:sz w:val="20"/>
              </w:rPr>
              <w:t>5 550,9</w:t>
            </w:r>
          </w:p>
        </w:tc>
      </w:tr>
    </w:tbl>
    <w:p>
      <w:pPr>
        <w:pStyle w:val="Text1"/>
        <w:spacing w:before="120" w:after="120"/>
        <w:ind w:left="1701" w:hanging="425"/>
        <w:rPr>
          <w:rStyle w:val="Corpsdutexte"/>
          <w:noProof/>
          <w:color w:val="000000"/>
          <w:sz w:val="20"/>
        </w:rPr>
      </w:pPr>
      <w:r>
        <w:rPr>
          <w:noProof/>
          <w:sz w:val="20"/>
          <w:vertAlign w:val="superscript"/>
        </w:rPr>
        <w:t>*</w:t>
      </w:r>
      <w:r>
        <w:rPr>
          <w:noProof/>
        </w:rPr>
        <w:tab/>
      </w:r>
      <w:r>
        <w:rPr>
          <w:rStyle w:val="Corpsdutexte"/>
          <w:noProof/>
          <w:color w:val="000000"/>
          <w:sz w:val="20"/>
        </w:rPr>
        <w:t>les denrées alimentaires ont été irradiées dans une seule unité d’irradiation agréée.</w:t>
      </w:r>
    </w:p>
    <w:p>
      <w:pPr>
        <w:pStyle w:val="Text2"/>
        <w:spacing w:before="120" w:after="120"/>
        <w:ind w:left="1276"/>
        <w:rPr>
          <w:noProof/>
        </w:rPr>
      </w:pPr>
      <w:r>
        <w:rPr>
          <w:rStyle w:val="Corpsdutexte"/>
          <w:noProof/>
          <w:color w:val="000000"/>
          <w:sz w:val="24"/>
        </w:rPr>
        <w:t>Il existe vingt-cinq unités d’irradiation agréées, situées dans treize États membres de l’Union européenne. Seuls huit États membres sur treize ont irradié des denrées alimentaires en 2014.</w:t>
      </w:r>
    </w:p>
    <w:p>
      <w:pPr>
        <w:pStyle w:val="Text2"/>
        <w:spacing w:before="120" w:after="120"/>
        <w:ind w:left="1276"/>
        <w:rPr>
          <w:noProof/>
        </w:rPr>
      </w:pPr>
      <w:r>
        <w:rPr>
          <w:noProof/>
        </w:rPr>
        <w:t>L’histogramme ci-dessous récapitule les quantités de denrées alimentaires (exprimées en tonnes) et les catégories de produits traités par ionisation en 2014 dans les unités d’irradiation agréées situées sur le territoire de l’Union européenne:</w:t>
      </w:r>
    </w:p>
    <w:p>
      <w:pPr>
        <w:pStyle w:val="Text1"/>
        <w:keepNext/>
        <w:keepLines/>
        <w:ind w:left="142"/>
        <w:jc w:val="center"/>
        <w:rPr>
          <w:b/>
          <w:noProof/>
        </w:rPr>
      </w:pPr>
      <w:r>
        <w:rPr>
          <w:noProof/>
          <w:lang w:val="en-US" w:eastAsia="en-US" w:bidi="ar-SA"/>
        </w:rPr>
        <w:drawing>
          <wp:inline distT="0" distB="0" distL="0" distR="0">
            <wp:extent cx="5325745" cy="4688840"/>
            <wp:effectExtent l="0" t="0" r="0" b="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Text2"/>
        <w:spacing w:before="120" w:after="120"/>
        <w:ind w:left="1276"/>
        <w:rPr>
          <w:noProof/>
        </w:rPr>
      </w:pPr>
      <w:r>
        <w:rPr>
          <w:noProof/>
        </w:rPr>
        <w:t>Il n’existe aucune unité d’irradiation agréée dans les États membres suivants: Danemark, Irlande, Grèce, Chypre, Lettonie, Lituanie, Luxembourg, Autriche, Slovénie, Slovaquie, Finlande, Suède, Portugal. Aucune information n’est disponible à ce jour en ce qui concerne la situation en Croatie et à Malte.</w:t>
      </w:r>
    </w:p>
    <w:p>
      <w:pPr>
        <w:pStyle w:val="Text2"/>
        <w:spacing w:before="120" w:after="120"/>
        <w:ind w:left="1276"/>
        <w:rPr>
          <w:noProof/>
        </w:rPr>
      </w:pPr>
      <w:r>
        <w:rPr>
          <w:noProof/>
        </w:rPr>
        <w:t>Les tableaux ci-dessous indiquent les catégories de produits irradiés dans les États membres concernés et les doses appliquées.</w:t>
      </w:r>
    </w:p>
    <w:p>
      <w:pPr>
        <w:pStyle w:val="Point1"/>
        <w:keepNext/>
        <w:ind w:left="1276" w:hanging="709"/>
        <w:rPr>
          <w:noProof/>
        </w:rPr>
      </w:pPr>
      <w:r>
        <w:rPr>
          <w:b/>
          <w:noProof/>
        </w:rPr>
        <w:t>3.2.</w:t>
      </w:r>
      <w:r>
        <w:rPr>
          <w:noProof/>
        </w:rPr>
        <w:tab/>
      </w:r>
      <w:r>
        <w:rPr>
          <w:b/>
          <w:noProof/>
        </w:rPr>
        <w:t>Belgique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2315"/>
      </w:tblGrid>
      <w:tr>
        <w:trPr>
          <w:trHeight w:val="545"/>
        </w:trPr>
        <w:tc>
          <w:tcPr>
            <w:tcW w:w="5481" w:type="dxa"/>
            <w:shd w:val="clear" w:color="auto" w:fill="auto"/>
            <w:vAlign w:val="center"/>
          </w:tcPr>
          <w:p>
            <w:pPr>
              <w:spacing w:before="40" w:after="40"/>
              <w:jc w:val="left"/>
              <w:rPr>
                <w:b/>
                <w:bCs/>
                <w:noProof/>
                <w:sz w:val="22"/>
              </w:rPr>
            </w:pPr>
            <w:r>
              <w:rPr>
                <w:b/>
                <w:noProof/>
                <w:sz w:val="22"/>
              </w:rPr>
              <w:t>Denrées alimentaires</w:t>
            </w:r>
          </w:p>
        </w:tc>
        <w:tc>
          <w:tcPr>
            <w:tcW w:w="2315" w:type="dxa"/>
            <w:shd w:val="clear" w:color="auto" w:fill="auto"/>
            <w:vAlign w:val="center"/>
          </w:tcPr>
          <w:p>
            <w:pPr>
              <w:spacing w:before="40" w:after="40"/>
              <w:jc w:val="center"/>
              <w:rPr>
                <w:b/>
                <w:bCs/>
                <w:noProof/>
                <w:sz w:val="22"/>
              </w:rPr>
            </w:pPr>
            <w:r>
              <w:rPr>
                <w:b/>
                <w:noProof/>
                <w:sz w:val="22"/>
              </w:rPr>
              <w:t>Dose absorbée (kGy)</w:t>
            </w:r>
          </w:p>
        </w:tc>
      </w:tr>
      <w:tr>
        <w:trPr>
          <w:trHeight w:val="371"/>
        </w:trPr>
        <w:tc>
          <w:tcPr>
            <w:tcW w:w="5481" w:type="dxa"/>
            <w:shd w:val="clear" w:color="auto" w:fill="auto"/>
            <w:vAlign w:val="center"/>
          </w:tcPr>
          <w:p>
            <w:pPr>
              <w:spacing w:before="40" w:after="40"/>
              <w:rPr>
                <w:noProof/>
                <w:sz w:val="22"/>
              </w:rPr>
            </w:pPr>
            <w:r>
              <w:rPr>
                <w:noProof/>
                <w:sz w:val="22"/>
              </w:rPr>
              <w:t>Sang séché, plasma, coagulats</w:t>
            </w:r>
          </w:p>
        </w:tc>
        <w:tc>
          <w:tcPr>
            <w:tcW w:w="2315" w:type="dxa"/>
            <w:shd w:val="clear" w:color="auto" w:fill="auto"/>
            <w:noWrap/>
            <w:vAlign w:val="center"/>
          </w:tcPr>
          <w:p>
            <w:pPr>
              <w:spacing w:before="40" w:after="40"/>
              <w:jc w:val="center"/>
              <w:rPr>
                <w:noProof/>
                <w:sz w:val="22"/>
              </w:rPr>
            </w:pPr>
            <w:r>
              <w:rPr>
                <w:noProof/>
                <w:sz w:val="22"/>
              </w:rPr>
              <w:t>4,9 – 6,4</w:t>
            </w:r>
          </w:p>
        </w:tc>
      </w:tr>
      <w:tr>
        <w:trPr>
          <w:trHeight w:val="480"/>
        </w:trPr>
        <w:tc>
          <w:tcPr>
            <w:tcW w:w="5481" w:type="dxa"/>
            <w:shd w:val="clear" w:color="auto" w:fill="auto"/>
            <w:vAlign w:val="center"/>
          </w:tcPr>
          <w:p>
            <w:pPr>
              <w:spacing w:before="40" w:after="40"/>
              <w:rPr>
                <w:noProof/>
                <w:sz w:val="22"/>
              </w:rPr>
            </w:pPr>
            <w:r>
              <w:rPr>
                <w:noProof/>
                <w:sz w:val="22"/>
              </w:rPr>
              <w:t>Cuisses de grenouilles congelées</w:t>
            </w:r>
          </w:p>
        </w:tc>
        <w:tc>
          <w:tcPr>
            <w:tcW w:w="2315" w:type="dxa"/>
            <w:shd w:val="clear" w:color="auto" w:fill="auto"/>
            <w:noWrap/>
            <w:vAlign w:val="center"/>
          </w:tcPr>
          <w:p>
            <w:pPr>
              <w:spacing w:before="40" w:after="40"/>
              <w:jc w:val="center"/>
              <w:rPr>
                <w:noProof/>
                <w:sz w:val="22"/>
              </w:rPr>
            </w:pPr>
            <w:r>
              <w:rPr>
                <w:noProof/>
                <w:sz w:val="22"/>
              </w:rPr>
              <w:t>3,9 – 4,8</w:t>
            </w:r>
          </w:p>
        </w:tc>
      </w:tr>
      <w:tr>
        <w:trPr>
          <w:trHeight w:val="202"/>
        </w:trPr>
        <w:tc>
          <w:tcPr>
            <w:tcW w:w="5481" w:type="dxa"/>
            <w:shd w:val="clear" w:color="auto" w:fill="auto"/>
            <w:vAlign w:val="center"/>
          </w:tcPr>
          <w:p>
            <w:pPr>
              <w:spacing w:before="40" w:after="40"/>
              <w:rPr>
                <w:noProof/>
                <w:sz w:val="22"/>
              </w:rPr>
            </w:pPr>
            <w:r>
              <w:rPr>
                <w:noProof/>
                <w:sz w:val="22"/>
              </w:rPr>
              <w:t>Abats de volaille</w:t>
            </w:r>
          </w:p>
        </w:tc>
        <w:tc>
          <w:tcPr>
            <w:tcW w:w="2315" w:type="dxa"/>
            <w:shd w:val="clear" w:color="auto" w:fill="auto"/>
            <w:noWrap/>
            <w:vAlign w:val="center"/>
          </w:tcPr>
          <w:p>
            <w:pPr>
              <w:spacing w:before="40" w:after="40"/>
              <w:jc w:val="center"/>
              <w:rPr>
                <w:noProof/>
                <w:sz w:val="22"/>
              </w:rPr>
            </w:pPr>
            <w:r>
              <w:rPr>
                <w:noProof/>
                <w:sz w:val="22"/>
              </w:rPr>
              <w:t>3,5 – 4,8</w:t>
            </w:r>
          </w:p>
        </w:tc>
      </w:tr>
    </w:tbl>
    <w:p>
      <w:pPr>
        <w:pStyle w:val="Point1"/>
        <w:keepNext/>
        <w:keepLines/>
        <w:ind w:left="1276" w:hanging="709"/>
        <w:rPr>
          <w:noProof/>
        </w:rPr>
      </w:pPr>
      <w:r>
        <w:rPr>
          <w:b/>
          <w:noProof/>
        </w:rPr>
        <w:t>3.3.</w:t>
      </w:r>
      <w:r>
        <w:rPr>
          <w:noProof/>
        </w:rPr>
        <w:tab/>
      </w:r>
      <w:r>
        <w:rPr>
          <w:b/>
          <w:noProof/>
        </w:rPr>
        <w:t>République tchèque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213"/>
        </w:trPr>
        <w:tc>
          <w:tcPr>
            <w:tcW w:w="5528" w:type="dxa"/>
            <w:shd w:val="clear" w:color="auto" w:fill="auto"/>
            <w:vAlign w:val="center"/>
          </w:tcPr>
          <w:p>
            <w:pPr>
              <w:keepNext/>
              <w:keepLines/>
              <w:spacing w:before="40" w:after="40"/>
              <w:jc w:val="left"/>
              <w:rPr>
                <w:b/>
                <w:bCs/>
                <w:noProof/>
                <w:sz w:val="22"/>
              </w:rPr>
            </w:pPr>
            <w:r>
              <w:rPr>
                <w:b/>
                <w:noProof/>
                <w:sz w:val="22"/>
              </w:rPr>
              <w:t>Denrées alimentaires</w:t>
            </w:r>
          </w:p>
        </w:tc>
        <w:tc>
          <w:tcPr>
            <w:tcW w:w="2268" w:type="dxa"/>
            <w:shd w:val="clear" w:color="auto" w:fill="auto"/>
            <w:vAlign w:val="center"/>
          </w:tcPr>
          <w:p>
            <w:pPr>
              <w:keepNext/>
              <w:keepLines/>
              <w:spacing w:before="40" w:after="40"/>
              <w:jc w:val="center"/>
              <w:rPr>
                <w:b/>
                <w:bCs/>
                <w:noProof/>
                <w:sz w:val="22"/>
              </w:rPr>
            </w:pPr>
            <w:r>
              <w:rPr>
                <w:b/>
                <w:noProof/>
                <w:sz w:val="22"/>
              </w:rPr>
              <w:t>Dose absorbée (kGy)</w:t>
            </w:r>
          </w:p>
        </w:tc>
      </w:tr>
      <w:tr>
        <w:trPr>
          <w:trHeight w:val="287"/>
        </w:trPr>
        <w:tc>
          <w:tcPr>
            <w:tcW w:w="5528" w:type="dxa"/>
            <w:shd w:val="clear" w:color="auto" w:fill="auto"/>
            <w:vAlign w:val="center"/>
          </w:tcPr>
          <w:p>
            <w:pPr>
              <w:keepNext/>
              <w:keepLines/>
              <w:spacing w:before="40" w:after="40"/>
              <w:jc w:val="left"/>
              <w:rPr>
                <w:noProof/>
                <w:sz w:val="22"/>
              </w:rPr>
            </w:pPr>
            <w:r>
              <w:rPr>
                <w:noProof/>
                <w:sz w:val="22"/>
              </w:rPr>
              <w:t>Herbes aromatiques, épices et condiments végétaux (séchés)</w:t>
            </w:r>
          </w:p>
        </w:tc>
        <w:tc>
          <w:tcPr>
            <w:tcW w:w="2268" w:type="dxa"/>
            <w:shd w:val="clear" w:color="auto" w:fill="auto"/>
            <w:noWrap/>
          </w:tcPr>
          <w:p>
            <w:pPr>
              <w:spacing w:before="40" w:after="40"/>
              <w:jc w:val="center"/>
              <w:rPr>
                <w:noProof/>
                <w:sz w:val="22"/>
              </w:rPr>
            </w:pPr>
            <w:r>
              <w:rPr>
                <w:noProof/>
                <w:sz w:val="22"/>
              </w:rPr>
              <w:t>4,04 – 9,95</w:t>
            </w:r>
          </w:p>
        </w:tc>
      </w:tr>
    </w:tbl>
    <w:p>
      <w:pPr>
        <w:pStyle w:val="Point1"/>
        <w:keepNext/>
        <w:ind w:left="1276" w:hanging="709"/>
        <w:rPr>
          <w:b/>
          <w:noProof/>
        </w:rPr>
      </w:pPr>
      <w:r>
        <w:rPr>
          <w:b/>
          <w:noProof/>
        </w:rPr>
        <w:t>3.4.</w:t>
      </w:r>
      <w:r>
        <w:rPr>
          <w:noProof/>
        </w:rPr>
        <w:tab/>
      </w:r>
      <w:r>
        <w:rPr>
          <w:b/>
          <w:noProof/>
        </w:rPr>
        <w:t>Allemagne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213"/>
        </w:trPr>
        <w:tc>
          <w:tcPr>
            <w:tcW w:w="5528" w:type="dxa"/>
            <w:shd w:val="clear" w:color="auto" w:fill="auto"/>
            <w:vAlign w:val="center"/>
          </w:tcPr>
          <w:p>
            <w:pPr>
              <w:keepNext/>
              <w:keepLines/>
              <w:spacing w:before="40" w:after="40"/>
              <w:jc w:val="left"/>
              <w:rPr>
                <w:b/>
                <w:bCs/>
                <w:noProof/>
                <w:sz w:val="22"/>
              </w:rPr>
            </w:pPr>
            <w:r>
              <w:rPr>
                <w:b/>
                <w:noProof/>
                <w:sz w:val="22"/>
              </w:rPr>
              <w:t>Denrées alimentaires</w:t>
            </w:r>
          </w:p>
        </w:tc>
        <w:tc>
          <w:tcPr>
            <w:tcW w:w="2268" w:type="dxa"/>
            <w:shd w:val="clear" w:color="auto" w:fill="auto"/>
            <w:vAlign w:val="center"/>
          </w:tcPr>
          <w:p>
            <w:pPr>
              <w:keepNext/>
              <w:keepLines/>
              <w:spacing w:before="40" w:after="40"/>
              <w:jc w:val="center"/>
              <w:rPr>
                <w:b/>
                <w:bCs/>
                <w:noProof/>
                <w:sz w:val="22"/>
              </w:rPr>
            </w:pPr>
            <w:r>
              <w:rPr>
                <w:b/>
                <w:noProof/>
                <w:sz w:val="22"/>
              </w:rPr>
              <w:t>Dose absorbée (kGy)</w:t>
            </w:r>
          </w:p>
        </w:tc>
      </w:tr>
      <w:tr>
        <w:trPr>
          <w:trHeight w:val="287"/>
        </w:trPr>
        <w:tc>
          <w:tcPr>
            <w:tcW w:w="5528" w:type="dxa"/>
            <w:shd w:val="clear" w:color="auto" w:fill="auto"/>
            <w:vAlign w:val="center"/>
          </w:tcPr>
          <w:p>
            <w:pPr>
              <w:keepNext/>
              <w:keepLines/>
              <w:spacing w:before="40" w:after="40"/>
              <w:jc w:val="left"/>
              <w:rPr>
                <w:noProof/>
                <w:sz w:val="22"/>
              </w:rPr>
            </w:pPr>
            <w:r>
              <w:rPr>
                <w:noProof/>
                <w:sz w:val="22"/>
              </w:rPr>
              <w:t>Herbes aromatiques, épices et condiments végétaux (séchés)</w:t>
            </w:r>
          </w:p>
        </w:tc>
        <w:tc>
          <w:tcPr>
            <w:tcW w:w="2268" w:type="dxa"/>
            <w:shd w:val="clear" w:color="auto" w:fill="auto"/>
            <w:noWrap/>
          </w:tcPr>
          <w:p>
            <w:pPr>
              <w:spacing w:before="40" w:after="40"/>
              <w:jc w:val="center"/>
              <w:rPr>
                <w:noProof/>
                <w:sz w:val="22"/>
              </w:rPr>
            </w:pPr>
            <w:r>
              <w:rPr>
                <w:noProof/>
                <w:sz w:val="22"/>
              </w:rPr>
              <w:t>10</w:t>
            </w:r>
          </w:p>
        </w:tc>
      </w:tr>
    </w:tbl>
    <w:p>
      <w:pPr>
        <w:pStyle w:val="Point1"/>
        <w:keepNext/>
        <w:ind w:left="1276" w:hanging="709"/>
        <w:rPr>
          <w:b/>
          <w:noProof/>
        </w:rPr>
      </w:pPr>
      <w:r>
        <w:rPr>
          <w:b/>
          <w:noProof/>
        </w:rPr>
        <w:t>3.5.</w:t>
      </w:r>
      <w:r>
        <w:rPr>
          <w:noProof/>
        </w:rPr>
        <w:tab/>
      </w:r>
      <w:r>
        <w:rPr>
          <w:b/>
          <w:noProof/>
        </w:rPr>
        <w:t>Estonie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372"/>
        </w:trPr>
        <w:tc>
          <w:tcPr>
            <w:tcW w:w="5528" w:type="dxa"/>
            <w:shd w:val="clear" w:color="auto" w:fill="auto"/>
          </w:tcPr>
          <w:p>
            <w:pPr>
              <w:tabs>
                <w:tab w:val="left" w:pos="1521"/>
              </w:tabs>
              <w:spacing w:before="40" w:after="40"/>
              <w:ind w:left="34" w:firstLine="11"/>
              <w:rPr>
                <w:b/>
                <w:bCs/>
                <w:noProof/>
                <w:sz w:val="22"/>
              </w:rPr>
            </w:pPr>
            <w:r>
              <w:rPr>
                <w:b/>
                <w:noProof/>
                <w:sz w:val="22"/>
              </w:rPr>
              <w:t>Denrées alimentaires</w:t>
            </w:r>
          </w:p>
        </w:tc>
        <w:tc>
          <w:tcPr>
            <w:tcW w:w="2268" w:type="dxa"/>
            <w:shd w:val="clear" w:color="auto" w:fill="auto"/>
          </w:tcPr>
          <w:p>
            <w:pPr>
              <w:spacing w:before="40" w:after="40"/>
              <w:ind w:firstLine="34"/>
              <w:jc w:val="center"/>
              <w:rPr>
                <w:b/>
                <w:bCs/>
                <w:noProof/>
                <w:sz w:val="22"/>
              </w:rPr>
            </w:pPr>
            <w:r>
              <w:rPr>
                <w:b/>
                <w:noProof/>
                <w:sz w:val="22"/>
              </w:rPr>
              <w:t>Dose absorbée (kGy)</w:t>
            </w:r>
          </w:p>
        </w:tc>
      </w:tr>
      <w:tr>
        <w:trPr>
          <w:trHeight w:val="248"/>
        </w:trPr>
        <w:tc>
          <w:tcPr>
            <w:tcW w:w="5528" w:type="dxa"/>
            <w:shd w:val="clear" w:color="auto" w:fill="auto"/>
          </w:tcPr>
          <w:p>
            <w:pPr>
              <w:spacing w:before="40" w:after="40"/>
              <w:ind w:firstLine="34"/>
              <w:rPr>
                <w:noProof/>
                <w:sz w:val="22"/>
              </w:rPr>
            </w:pPr>
            <w:r>
              <w:rPr>
                <w:noProof/>
                <w:sz w:val="22"/>
              </w:rPr>
              <w:t>Herbes aromatiques, épices et condiments végétaux (séchés)</w:t>
            </w:r>
          </w:p>
        </w:tc>
        <w:tc>
          <w:tcPr>
            <w:tcW w:w="2268" w:type="dxa"/>
            <w:shd w:val="clear" w:color="auto" w:fill="auto"/>
            <w:noWrap/>
          </w:tcPr>
          <w:p>
            <w:pPr>
              <w:spacing w:before="40" w:after="40"/>
              <w:ind w:firstLine="34"/>
              <w:jc w:val="center"/>
              <w:rPr>
                <w:noProof/>
                <w:sz w:val="22"/>
              </w:rPr>
            </w:pPr>
            <w:r>
              <w:rPr>
                <w:noProof/>
                <w:sz w:val="22"/>
              </w:rPr>
              <w:t>10</w:t>
            </w:r>
          </w:p>
        </w:tc>
      </w:tr>
    </w:tbl>
    <w:p>
      <w:pPr>
        <w:pStyle w:val="Point1"/>
        <w:keepNext/>
        <w:ind w:left="1276" w:hanging="709"/>
        <w:rPr>
          <w:b/>
          <w:noProof/>
        </w:rPr>
      </w:pPr>
      <w:r>
        <w:rPr>
          <w:b/>
          <w:noProof/>
        </w:rPr>
        <w:t>3.6.</w:t>
      </w:r>
      <w:r>
        <w:rPr>
          <w:noProof/>
        </w:rPr>
        <w:tab/>
      </w:r>
      <w:r>
        <w:rPr>
          <w:b/>
          <w:noProof/>
        </w:rPr>
        <w:t>Espagne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268"/>
      </w:tblGrid>
      <w:tr>
        <w:trPr>
          <w:trHeight w:val="495"/>
        </w:trPr>
        <w:tc>
          <w:tcPr>
            <w:tcW w:w="5528" w:type="dxa"/>
            <w:shd w:val="clear" w:color="auto" w:fill="auto"/>
          </w:tcPr>
          <w:p>
            <w:pPr>
              <w:spacing w:before="40" w:after="40"/>
              <w:rPr>
                <w:b/>
                <w:bCs/>
                <w:noProof/>
                <w:sz w:val="22"/>
              </w:rPr>
            </w:pPr>
            <w:r>
              <w:rPr>
                <w:b/>
                <w:noProof/>
                <w:sz w:val="22"/>
              </w:rPr>
              <w:t>Denrées alimentaires</w:t>
            </w:r>
          </w:p>
        </w:tc>
        <w:tc>
          <w:tcPr>
            <w:tcW w:w="2268" w:type="dxa"/>
            <w:shd w:val="clear" w:color="auto" w:fill="auto"/>
          </w:tcPr>
          <w:p>
            <w:pPr>
              <w:spacing w:before="40" w:after="40"/>
              <w:jc w:val="center"/>
              <w:rPr>
                <w:b/>
                <w:bCs/>
                <w:noProof/>
                <w:sz w:val="22"/>
              </w:rPr>
            </w:pPr>
            <w:r>
              <w:rPr>
                <w:b/>
                <w:noProof/>
                <w:sz w:val="22"/>
              </w:rPr>
              <w:t>Dose absorbée (kGy)</w:t>
            </w:r>
          </w:p>
        </w:tc>
      </w:tr>
      <w:tr>
        <w:trPr>
          <w:trHeight w:val="174"/>
        </w:trPr>
        <w:tc>
          <w:tcPr>
            <w:tcW w:w="5528" w:type="dxa"/>
            <w:shd w:val="clear" w:color="auto" w:fill="auto"/>
          </w:tcPr>
          <w:p>
            <w:pPr>
              <w:spacing w:before="40" w:after="40"/>
              <w:jc w:val="left"/>
              <w:rPr>
                <w:noProof/>
                <w:sz w:val="22"/>
              </w:rPr>
            </w:pPr>
            <w:r>
              <w:rPr>
                <w:noProof/>
                <w:sz w:val="22"/>
              </w:rPr>
              <w:t>Herbes aromatiques, épices et condiments végétaux (séchés)</w:t>
            </w:r>
          </w:p>
        </w:tc>
        <w:tc>
          <w:tcPr>
            <w:tcW w:w="2268" w:type="dxa"/>
            <w:shd w:val="clear" w:color="auto" w:fill="auto"/>
            <w:noWrap/>
          </w:tcPr>
          <w:p>
            <w:pPr>
              <w:spacing w:before="40" w:after="40"/>
              <w:jc w:val="center"/>
              <w:rPr>
                <w:noProof/>
                <w:sz w:val="22"/>
              </w:rPr>
            </w:pPr>
            <w:r>
              <w:rPr>
                <w:noProof/>
                <w:sz w:val="22"/>
              </w:rPr>
              <w:t>8,98 – 10</w:t>
            </w:r>
          </w:p>
        </w:tc>
      </w:tr>
    </w:tbl>
    <w:p>
      <w:pPr>
        <w:pStyle w:val="Point1"/>
        <w:keepNext/>
        <w:keepLines/>
        <w:ind w:left="1276" w:hanging="709"/>
        <w:rPr>
          <w:b/>
          <w:noProof/>
        </w:rPr>
      </w:pPr>
      <w:r>
        <w:rPr>
          <w:b/>
          <w:noProof/>
        </w:rPr>
        <w:t>3.7.</w:t>
      </w:r>
      <w:r>
        <w:rPr>
          <w:noProof/>
        </w:rPr>
        <w:tab/>
      </w:r>
      <w:r>
        <w:rPr>
          <w:b/>
          <w:noProof/>
        </w:rPr>
        <w:t>France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288"/>
        </w:trPr>
        <w:tc>
          <w:tcPr>
            <w:tcW w:w="5387" w:type="dxa"/>
            <w:shd w:val="clear" w:color="auto" w:fill="auto"/>
          </w:tcPr>
          <w:p>
            <w:pPr>
              <w:keepNext/>
              <w:keepLines/>
              <w:spacing w:before="40" w:after="40"/>
              <w:rPr>
                <w:b/>
                <w:bCs/>
                <w:noProof/>
                <w:sz w:val="22"/>
              </w:rPr>
            </w:pPr>
            <w:r>
              <w:rPr>
                <w:b/>
                <w:noProof/>
                <w:sz w:val="22"/>
              </w:rPr>
              <w:t>Denrées alimentaires</w:t>
            </w:r>
          </w:p>
        </w:tc>
        <w:tc>
          <w:tcPr>
            <w:tcW w:w="2409" w:type="dxa"/>
            <w:shd w:val="clear" w:color="auto" w:fill="auto"/>
          </w:tcPr>
          <w:p>
            <w:pPr>
              <w:keepNext/>
              <w:keepLines/>
              <w:spacing w:before="40" w:after="40"/>
              <w:jc w:val="center"/>
              <w:rPr>
                <w:b/>
                <w:bCs/>
                <w:noProof/>
                <w:sz w:val="22"/>
              </w:rPr>
            </w:pPr>
            <w:r>
              <w:rPr>
                <w:b/>
                <w:noProof/>
                <w:sz w:val="22"/>
              </w:rPr>
              <w:t>Dose absorbée (kGy)</w:t>
            </w:r>
          </w:p>
        </w:tc>
      </w:tr>
      <w:tr>
        <w:trPr>
          <w:trHeight w:val="228"/>
        </w:trPr>
        <w:tc>
          <w:tcPr>
            <w:tcW w:w="5387" w:type="dxa"/>
            <w:shd w:val="clear" w:color="auto" w:fill="auto"/>
          </w:tcPr>
          <w:p>
            <w:pPr>
              <w:keepNext/>
              <w:keepLines/>
              <w:spacing w:before="40" w:after="40"/>
              <w:rPr>
                <w:noProof/>
                <w:sz w:val="22"/>
              </w:rPr>
            </w:pPr>
            <w:r>
              <w:rPr>
                <w:noProof/>
                <w:sz w:val="22"/>
              </w:rPr>
              <w:t>Herbes aromatiques, épices et condiments végétaux (séchés)</w:t>
            </w:r>
          </w:p>
        </w:tc>
        <w:tc>
          <w:tcPr>
            <w:tcW w:w="2409" w:type="dxa"/>
            <w:shd w:val="clear" w:color="auto" w:fill="auto"/>
            <w:noWrap/>
          </w:tcPr>
          <w:p>
            <w:pPr>
              <w:keepNext/>
              <w:keepLines/>
              <w:spacing w:before="40" w:after="40"/>
              <w:jc w:val="center"/>
              <w:rPr>
                <w:noProof/>
                <w:sz w:val="22"/>
              </w:rPr>
            </w:pPr>
            <w:r>
              <w:rPr>
                <w:noProof/>
                <w:sz w:val="22"/>
              </w:rPr>
              <w:t>5 – 10</w:t>
            </w:r>
          </w:p>
        </w:tc>
      </w:tr>
      <w:tr>
        <w:trPr>
          <w:trHeight w:val="150"/>
        </w:trPr>
        <w:tc>
          <w:tcPr>
            <w:tcW w:w="5387" w:type="dxa"/>
            <w:shd w:val="clear" w:color="auto" w:fill="auto"/>
          </w:tcPr>
          <w:p>
            <w:pPr>
              <w:keepNext/>
              <w:keepLines/>
              <w:spacing w:before="40" w:after="40"/>
              <w:rPr>
                <w:noProof/>
                <w:sz w:val="22"/>
              </w:rPr>
            </w:pPr>
            <w:r>
              <w:rPr>
                <w:noProof/>
                <w:sz w:val="22"/>
              </w:rPr>
              <w:t>Cuisses de grenouilles congelées</w:t>
            </w:r>
          </w:p>
        </w:tc>
        <w:tc>
          <w:tcPr>
            <w:tcW w:w="2409" w:type="dxa"/>
            <w:shd w:val="clear" w:color="auto" w:fill="auto"/>
            <w:noWrap/>
          </w:tcPr>
          <w:p>
            <w:pPr>
              <w:keepNext/>
              <w:keepLines/>
              <w:spacing w:before="40" w:after="40"/>
              <w:jc w:val="center"/>
              <w:rPr>
                <w:noProof/>
                <w:sz w:val="22"/>
              </w:rPr>
            </w:pPr>
            <w:r>
              <w:rPr>
                <w:noProof/>
                <w:sz w:val="22"/>
              </w:rPr>
              <w:t>1 – 10</w:t>
            </w:r>
          </w:p>
        </w:tc>
      </w:tr>
    </w:tbl>
    <w:p>
      <w:pPr>
        <w:pStyle w:val="Point1"/>
        <w:ind w:left="1276" w:hanging="709"/>
        <w:rPr>
          <w:noProof/>
        </w:rPr>
      </w:pPr>
      <w:r>
        <w:rPr>
          <w:b/>
          <w:noProof/>
        </w:rPr>
        <w:t>3.8.</w:t>
      </w:r>
      <w:r>
        <w:rPr>
          <w:noProof/>
        </w:rPr>
        <w:tab/>
      </w:r>
      <w:r>
        <w:rPr>
          <w:b/>
          <w:noProof/>
        </w:rPr>
        <w:t>Hongrie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59"/>
        </w:trPr>
        <w:tc>
          <w:tcPr>
            <w:tcW w:w="5387" w:type="dxa"/>
            <w:shd w:val="clear" w:color="auto" w:fill="auto"/>
          </w:tcPr>
          <w:p>
            <w:pPr>
              <w:spacing w:before="40" w:after="40"/>
              <w:rPr>
                <w:b/>
                <w:bCs/>
                <w:noProof/>
                <w:sz w:val="22"/>
              </w:rPr>
            </w:pPr>
            <w:r>
              <w:rPr>
                <w:b/>
                <w:noProof/>
                <w:sz w:val="22"/>
              </w:rPr>
              <w:t>Denrées alimentaires</w:t>
            </w:r>
          </w:p>
        </w:tc>
        <w:tc>
          <w:tcPr>
            <w:tcW w:w="2409" w:type="dxa"/>
            <w:shd w:val="clear" w:color="auto" w:fill="auto"/>
          </w:tcPr>
          <w:p>
            <w:pPr>
              <w:spacing w:before="40" w:after="40"/>
              <w:jc w:val="center"/>
              <w:rPr>
                <w:b/>
                <w:bCs/>
                <w:noProof/>
                <w:sz w:val="22"/>
              </w:rPr>
            </w:pPr>
            <w:r>
              <w:rPr>
                <w:b/>
                <w:noProof/>
                <w:sz w:val="22"/>
              </w:rPr>
              <w:t>Dose absorbée (kGy)</w:t>
            </w:r>
          </w:p>
        </w:tc>
      </w:tr>
      <w:tr>
        <w:trPr>
          <w:trHeight w:val="332"/>
        </w:trPr>
        <w:tc>
          <w:tcPr>
            <w:tcW w:w="5387" w:type="dxa"/>
            <w:shd w:val="clear" w:color="auto" w:fill="auto"/>
          </w:tcPr>
          <w:p>
            <w:pPr>
              <w:spacing w:before="40" w:after="40"/>
              <w:rPr>
                <w:noProof/>
                <w:sz w:val="22"/>
              </w:rPr>
            </w:pPr>
            <w:r>
              <w:rPr>
                <w:noProof/>
                <w:sz w:val="22"/>
              </w:rPr>
              <w:t>Herbes aromatiques, épices et condiments végétaux (séchés)</w:t>
            </w:r>
          </w:p>
        </w:tc>
        <w:tc>
          <w:tcPr>
            <w:tcW w:w="2409" w:type="dxa"/>
            <w:shd w:val="clear" w:color="auto" w:fill="auto"/>
            <w:noWrap/>
          </w:tcPr>
          <w:p>
            <w:pPr>
              <w:spacing w:before="40" w:after="40"/>
              <w:jc w:val="center"/>
              <w:rPr>
                <w:noProof/>
                <w:sz w:val="22"/>
              </w:rPr>
            </w:pPr>
            <w:r>
              <w:rPr>
                <w:noProof/>
                <w:sz w:val="22"/>
              </w:rPr>
              <w:t>2 – 8</w:t>
            </w:r>
          </w:p>
        </w:tc>
      </w:tr>
    </w:tbl>
    <w:p>
      <w:pPr>
        <w:pStyle w:val="Point1"/>
        <w:ind w:left="1276" w:hanging="709"/>
        <w:rPr>
          <w:b/>
          <w:noProof/>
        </w:rPr>
      </w:pPr>
      <w:r>
        <w:rPr>
          <w:b/>
          <w:noProof/>
        </w:rPr>
        <w:t>3.9.</w:t>
      </w:r>
      <w:r>
        <w:rPr>
          <w:noProof/>
        </w:rPr>
        <w:tab/>
      </w:r>
      <w:r>
        <w:rPr>
          <w:b/>
          <w:noProof/>
        </w:rPr>
        <w:t>Pays-Bas</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96"/>
        </w:trPr>
        <w:tc>
          <w:tcPr>
            <w:tcW w:w="5387" w:type="dxa"/>
            <w:shd w:val="clear" w:color="auto" w:fill="auto"/>
          </w:tcPr>
          <w:p>
            <w:pPr>
              <w:spacing w:before="40" w:after="40"/>
              <w:rPr>
                <w:b/>
                <w:bCs/>
                <w:noProof/>
                <w:sz w:val="22"/>
              </w:rPr>
            </w:pPr>
            <w:r>
              <w:rPr>
                <w:b/>
                <w:noProof/>
                <w:sz w:val="22"/>
              </w:rPr>
              <w:t>Denrées alimentaires</w:t>
            </w:r>
          </w:p>
        </w:tc>
        <w:tc>
          <w:tcPr>
            <w:tcW w:w="2409" w:type="dxa"/>
            <w:shd w:val="clear" w:color="auto" w:fill="auto"/>
          </w:tcPr>
          <w:p>
            <w:pPr>
              <w:spacing w:before="40" w:after="40"/>
              <w:jc w:val="center"/>
              <w:rPr>
                <w:b/>
                <w:bCs/>
                <w:noProof/>
                <w:sz w:val="22"/>
              </w:rPr>
            </w:pPr>
            <w:r>
              <w:rPr>
                <w:b/>
                <w:noProof/>
                <w:sz w:val="22"/>
              </w:rPr>
              <w:t>Dose absorbée (kGy)</w:t>
            </w:r>
          </w:p>
        </w:tc>
      </w:tr>
      <w:tr>
        <w:trPr>
          <w:trHeight w:val="480"/>
        </w:trPr>
        <w:tc>
          <w:tcPr>
            <w:tcW w:w="5387" w:type="dxa"/>
            <w:shd w:val="clear" w:color="auto" w:fill="auto"/>
          </w:tcPr>
          <w:p>
            <w:pPr>
              <w:spacing w:before="40" w:after="40"/>
              <w:rPr>
                <w:noProof/>
                <w:sz w:val="22"/>
              </w:rPr>
            </w:pPr>
            <w:r>
              <w:rPr>
                <w:noProof/>
                <w:sz w:val="22"/>
              </w:rPr>
              <w:t>Herbes aromatiques, épices et condiments végétaux (séchés)</w:t>
            </w:r>
          </w:p>
        </w:tc>
        <w:tc>
          <w:tcPr>
            <w:tcW w:w="2409" w:type="dxa"/>
            <w:shd w:val="clear" w:color="auto" w:fill="auto"/>
            <w:noWrap/>
          </w:tcPr>
          <w:p>
            <w:pPr>
              <w:spacing w:before="40" w:after="40"/>
              <w:jc w:val="center"/>
              <w:rPr>
                <w:noProof/>
                <w:sz w:val="22"/>
              </w:rPr>
            </w:pPr>
            <w:r>
              <w:rPr>
                <w:noProof/>
                <w:sz w:val="22"/>
              </w:rPr>
              <w:t>4 – 8</w:t>
            </w:r>
          </w:p>
        </w:tc>
      </w:tr>
      <w:tr>
        <w:trPr>
          <w:trHeight w:val="180"/>
        </w:trPr>
        <w:tc>
          <w:tcPr>
            <w:tcW w:w="5387" w:type="dxa"/>
            <w:shd w:val="clear" w:color="auto" w:fill="auto"/>
          </w:tcPr>
          <w:p>
            <w:pPr>
              <w:spacing w:before="40" w:after="40"/>
              <w:rPr>
                <w:noProof/>
                <w:sz w:val="22"/>
              </w:rPr>
            </w:pPr>
            <w:r>
              <w:rPr>
                <w:noProof/>
                <w:sz w:val="22"/>
              </w:rPr>
              <w:t>Viande de poulet</w:t>
            </w:r>
          </w:p>
        </w:tc>
        <w:tc>
          <w:tcPr>
            <w:tcW w:w="2409" w:type="dxa"/>
            <w:shd w:val="clear" w:color="auto" w:fill="auto"/>
            <w:noWrap/>
          </w:tcPr>
          <w:p>
            <w:pPr>
              <w:spacing w:before="40" w:after="40"/>
              <w:jc w:val="center"/>
              <w:rPr>
                <w:noProof/>
                <w:sz w:val="22"/>
              </w:rPr>
            </w:pPr>
            <w:r>
              <w:rPr>
                <w:noProof/>
                <w:sz w:val="22"/>
              </w:rPr>
              <w:t>5</w:t>
            </w:r>
          </w:p>
        </w:tc>
      </w:tr>
      <w:tr>
        <w:trPr>
          <w:trHeight w:val="244"/>
        </w:trPr>
        <w:tc>
          <w:tcPr>
            <w:tcW w:w="5387" w:type="dxa"/>
            <w:shd w:val="clear" w:color="auto" w:fill="auto"/>
          </w:tcPr>
          <w:p>
            <w:pPr>
              <w:spacing w:before="40" w:after="40"/>
              <w:rPr>
                <w:noProof/>
                <w:sz w:val="22"/>
              </w:rPr>
            </w:pPr>
            <w:r>
              <w:rPr>
                <w:noProof/>
                <w:sz w:val="22"/>
              </w:rPr>
              <w:t>Légumes et fruits séchés</w:t>
            </w:r>
          </w:p>
        </w:tc>
        <w:tc>
          <w:tcPr>
            <w:tcW w:w="2409" w:type="dxa"/>
            <w:shd w:val="clear" w:color="auto" w:fill="auto"/>
            <w:noWrap/>
          </w:tcPr>
          <w:p>
            <w:pPr>
              <w:spacing w:before="40" w:after="40"/>
              <w:jc w:val="center"/>
              <w:rPr>
                <w:noProof/>
                <w:sz w:val="22"/>
              </w:rPr>
            </w:pPr>
            <w:r>
              <w:rPr>
                <w:noProof/>
                <w:sz w:val="22"/>
              </w:rPr>
              <w:t>2 – 8</w:t>
            </w:r>
          </w:p>
        </w:tc>
      </w:tr>
      <w:tr>
        <w:trPr>
          <w:trHeight w:val="270"/>
        </w:trPr>
        <w:tc>
          <w:tcPr>
            <w:tcW w:w="5387" w:type="dxa"/>
            <w:shd w:val="clear" w:color="auto" w:fill="auto"/>
          </w:tcPr>
          <w:p>
            <w:pPr>
              <w:spacing w:before="40" w:after="40"/>
              <w:rPr>
                <w:noProof/>
                <w:sz w:val="22"/>
              </w:rPr>
            </w:pPr>
            <w:r>
              <w:rPr>
                <w:noProof/>
                <w:sz w:val="22"/>
              </w:rPr>
              <w:t>Cuisses de grenouilles congelées</w:t>
            </w:r>
          </w:p>
        </w:tc>
        <w:tc>
          <w:tcPr>
            <w:tcW w:w="2409" w:type="dxa"/>
            <w:shd w:val="clear" w:color="auto" w:fill="auto"/>
            <w:noWrap/>
          </w:tcPr>
          <w:p>
            <w:pPr>
              <w:spacing w:before="40" w:after="40"/>
              <w:jc w:val="center"/>
              <w:rPr>
                <w:noProof/>
                <w:sz w:val="22"/>
              </w:rPr>
            </w:pPr>
            <w:r>
              <w:rPr>
                <w:noProof/>
                <w:sz w:val="22"/>
              </w:rPr>
              <w:t>4</w:t>
            </w:r>
          </w:p>
        </w:tc>
      </w:tr>
      <w:tr>
        <w:trPr>
          <w:trHeight w:val="270"/>
        </w:trPr>
        <w:tc>
          <w:tcPr>
            <w:tcW w:w="5387" w:type="dxa"/>
            <w:shd w:val="clear" w:color="auto" w:fill="auto"/>
          </w:tcPr>
          <w:p>
            <w:pPr>
              <w:spacing w:before="40" w:after="40"/>
              <w:rPr>
                <w:noProof/>
                <w:sz w:val="22"/>
              </w:rPr>
            </w:pPr>
            <w:r>
              <w:rPr>
                <w:noProof/>
                <w:sz w:val="22"/>
              </w:rPr>
              <w:t>Crevettes</w:t>
            </w:r>
          </w:p>
        </w:tc>
        <w:tc>
          <w:tcPr>
            <w:tcW w:w="2409" w:type="dxa"/>
            <w:shd w:val="clear" w:color="auto" w:fill="auto"/>
            <w:noWrap/>
          </w:tcPr>
          <w:p>
            <w:pPr>
              <w:spacing w:before="40" w:after="40"/>
              <w:jc w:val="center"/>
              <w:rPr>
                <w:noProof/>
                <w:sz w:val="22"/>
              </w:rPr>
            </w:pPr>
            <w:r>
              <w:rPr>
                <w:noProof/>
                <w:sz w:val="22"/>
              </w:rPr>
              <w:t>3</w:t>
            </w:r>
          </w:p>
        </w:tc>
      </w:tr>
    </w:tbl>
    <w:p>
      <w:pPr>
        <w:pStyle w:val="Point1"/>
        <w:keepNext/>
        <w:ind w:left="1276" w:hanging="709"/>
        <w:rPr>
          <w:b/>
          <w:noProof/>
        </w:rPr>
      </w:pPr>
      <w:r>
        <w:rPr>
          <w:b/>
          <w:noProof/>
        </w:rPr>
        <w:t>3.10.</w:t>
      </w:r>
      <w:r>
        <w:rPr>
          <w:noProof/>
        </w:rPr>
        <w:tab/>
      </w:r>
      <w:r>
        <w:rPr>
          <w:b/>
          <w:noProof/>
        </w:rPr>
        <w:t>Pologne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06"/>
        </w:trPr>
        <w:tc>
          <w:tcPr>
            <w:tcW w:w="5387" w:type="dxa"/>
            <w:shd w:val="clear" w:color="auto" w:fill="auto"/>
          </w:tcPr>
          <w:p>
            <w:pPr>
              <w:spacing w:before="40" w:after="40"/>
              <w:rPr>
                <w:b/>
                <w:bCs/>
                <w:noProof/>
                <w:sz w:val="22"/>
              </w:rPr>
            </w:pPr>
            <w:r>
              <w:rPr>
                <w:b/>
                <w:noProof/>
                <w:sz w:val="22"/>
              </w:rPr>
              <w:t>Denrées alimentaires</w:t>
            </w:r>
          </w:p>
        </w:tc>
        <w:tc>
          <w:tcPr>
            <w:tcW w:w="2409" w:type="dxa"/>
            <w:shd w:val="clear" w:color="auto" w:fill="auto"/>
          </w:tcPr>
          <w:p>
            <w:pPr>
              <w:spacing w:before="40" w:after="40"/>
              <w:jc w:val="center"/>
              <w:rPr>
                <w:b/>
                <w:bCs/>
                <w:noProof/>
                <w:sz w:val="22"/>
              </w:rPr>
            </w:pPr>
            <w:r>
              <w:rPr>
                <w:b/>
                <w:noProof/>
                <w:sz w:val="22"/>
              </w:rPr>
              <w:t>Dose absorbée (kGy)</w:t>
            </w:r>
          </w:p>
        </w:tc>
      </w:tr>
      <w:tr>
        <w:trPr>
          <w:trHeight w:val="388"/>
        </w:trPr>
        <w:tc>
          <w:tcPr>
            <w:tcW w:w="5387" w:type="dxa"/>
            <w:shd w:val="clear" w:color="auto" w:fill="auto"/>
          </w:tcPr>
          <w:p>
            <w:pPr>
              <w:spacing w:before="40" w:after="40"/>
              <w:rPr>
                <w:noProof/>
                <w:sz w:val="22"/>
              </w:rPr>
            </w:pPr>
            <w:r>
              <w:rPr>
                <w:noProof/>
                <w:sz w:val="22"/>
              </w:rPr>
              <w:t>Herbes aromatiques, épices et condiments végétaux (séchés)</w:t>
            </w:r>
          </w:p>
        </w:tc>
        <w:tc>
          <w:tcPr>
            <w:tcW w:w="2409" w:type="dxa"/>
            <w:shd w:val="clear" w:color="auto" w:fill="auto"/>
            <w:noWrap/>
          </w:tcPr>
          <w:p>
            <w:pPr>
              <w:spacing w:before="40" w:after="40"/>
              <w:jc w:val="center"/>
              <w:rPr>
                <w:noProof/>
                <w:sz w:val="22"/>
              </w:rPr>
            </w:pPr>
            <w:r>
              <w:rPr>
                <w:noProof/>
                <w:sz w:val="22"/>
              </w:rPr>
              <w:t>5 – 10</w:t>
            </w:r>
          </w:p>
        </w:tc>
      </w:tr>
    </w:tbl>
    <w:p>
      <w:pPr>
        <w:pStyle w:val="Point1"/>
        <w:keepNext/>
        <w:ind w:left="1276" w:hanging="709"/>
        <w:rPr>
          <w:b/>
          <w:noProof/>
        </w:rPr>
      </w:pPr>
      <w:r>
        <w:rPr>
          <w:b/>
          <w:noProof/>
        </w:rPr>
        <w:t>3.11.</w:t>
      </w:r>
      <w:r>
        <w:rPr>
          <w:noProof/>
        </w:rPr>
        <w:tab/>
      </w:r>
      <w:r>
        <w:rPr>
          <w:b/>
          <w:noProof/>
        </w:rPr>
        <w:t>Norvège</w:t>
      </w: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409"/>
      </w:tblGrid>
      <w:tr>
        <w:trPr>
          <w:trHeight w:val="306"/>
        </w:trPr>
        <w:tc>
          <w:tcPr>
            <w:tcW w:w="5387" w:type="dxa"/>
            <w:shd w:val="clear" w:color="auto" w:fill="auto"/>
          </w:tcPr>
          <w:p>
            <w:pPr>
              <w:spacing w:before="40" w:after="40"/>
              <w:rPr>
                <w:b/>
                <w:bCs/>
                <w:noProof/>
                <w:sz w:val="22"/>
              </w:rPr>
            </w:pPr>
            <w:r>
              <w:rPr>
                <w:b/>
                <w:noProof/>
                <w:sz w:val="22"/>
              </w:rPr>
              <w:t>Denrées alimentaires</w:t>
            </w:r>
          </w:p>
        </w:tc>
        <w:tc>
          <w:tcPr>
            <w:tcW w:w="2409" w:type="dxa"/>
            <w:shd w:val="clear" w:color="auto" w:fill="auto"/>
          </w:tcPr>
          <w:p>
            <w:pPr>
              <w:spacing w:before="40" w:after="40"/>
              <w:jc w:val="center"/>
              <w:rPr>
                <w:b/>
                <w:bCs/>
                <w:noProof/>
                <w:sz w:val="22"/>
              </w:rPr>
            </w:pPr>
            <w:r>
              <w:rPr>
                <w:b/>
                <w:noProof/>
                <w:sz w:val="22"/>
              </w:rPr>
              <w:t>Dose absorbée (kGy)</w:t>
            </w:r>
          </w:p>
        </w:tc>
      </w:tr>
      <w:tr>
        <w:trPr>
          <w:trHeight w:val="388"/>
        </w:trPr>
        <w:tc>
          <w:tcPr>
            <w:tcW w:w="5387" w:type="dxa"/>
            <w:shd w:val="clear" w:color="auto" w:fill="auto"/>
          </w:tcPr>
          <w:p>
            <w:pPr>
              <w:spacing w:before="40" w:after="40"/>
              <w:rPr>
                <w:noProof/>
                <w:sz w:val="22"/>
              </w:rPr>
            </w:pPr>
            <w:r>
              <w:rPr>
                <w:noProof/>
                <w:sz w:val="22"/>
              </w:rPr>
              <w:t>Herbes aromatiques, épices et condiments végétaux (séchés)</w:t>
            </w:r>
          </w:p>
        </w:tc>
        <w:tc>
          <w:tcPr>
            <w:tcW w:w="2409" w:type="dxa"/>
            <w:shd w:val="clear" w:color="auto" w:fill="auto"/>
            <w:noWrap/>
          </w:tcPr>
          <w:p>
            <w:pPr>
              <w:spacing w:before="40" w:after="40"/>
              <w:jc w:val="center"/>
              <w:rPr>
                <w:noProof/>
                <w:sz w:val="22"/>
              </w:rPr>
            </w:pPr>
            <w:r>
              <w:rPr>
                <w:noProof/>
                <w:sz w:val="22"/>
              </w:rPr>
              <w:t>10</w:t>
            </w:r>
          </w:p>
        </w:tc>
      </w:tr>
    </w:tbl>
    <w:p>
      <w:pPr>
        <w:pStyle w:val="Point0"/>
        <w:ind w:left="567" w:hanging="567"/>
        <w:rPr>
          <w:b/>
          <w:smallCaps/>
          <w:noProof/>
        </w:rPr>
      </w:pPr>
    </w:p>
    <w:p>
      <w:pPr>
        <w:pStyle w:val="Point0"/>
        <w:ind w:left="567" w:hanging="567"/>
        <w:rPr>
          <w:b/>
          <w:smallCaps/>
          <w:noProof/>
        </w:rPr>
      </w:pPr>
      <w:r>
        <w:rPr>
          <w:b/>
          <w:smallCaps/>
          <w:noProof/>
        </w:rPr>
        <w:t>4.</w:t>
      </w:r>
      <w:r>
        <w:rPr>
          <w:noProof/>
        </w:rPr>
        <w:tab/>
      </w:r>
      <w:r>
        <w:rPr>
          <w:b/>
          <w:smallCaps/>
          <w:noProof/>
        </w:rPr>
        <w:t>Résultats des contrôles effectués au stade de la commercialisation du produit et méthodes utilisées pour détecter les denrées alimentaires irradiées</w:t>
      </w:r>
    </w:p>
    <w:p>
      <w:pPr>
        <w:pStyle w:val="Text1"/>
        <w:spacing w:before="120" w:after="120"/>
        <w:ind w:left="567"/>
        <w:rPr>
          <w:noProof/>
        </w:rPr>
      </w:pPr>
      <w:r>
        <w:rPr>
          <w:noProof/>
        </w:rPr>
        <w:t>Les tableaux ci-dessous présentent les résultats des contrôles effectués au stade de la commercialisation du produit et indiquent les méthodes utilisées pour détecter si un produit a été traité par ionisation.</w:t>
      </w:r>
    </w:p>
    <w:p>
      <w:pPr>
        <w:pStyle w:val="Point1"/>
        <w:keepNext/>
        <w:keepLines/>
        <w:ind w:left="1276" w:hanging="709"/>
        <w:rPr>
          <w:b/>
          <w:noProof/>
        </w:rPr>
      </w:pPr>
      <w:r>
        <w:rPr>
          <w:b/>
          <w:noProof/>
        </w:rPr>
        <w:t>4.1.</w:t>
      </w:r>
      <w:r>
        <w:rPr>
          <w:noProof/>
        </w:rPr>
        <w:tab/>
      </w:r>
      <w:r>
        <w:rPr>
          <w:b/>
          <w:noProof/>
        </w:rPr>
        <w:t>Résumé pour l’ensemble de l’UE</w:t>
      </w:r>
    </w:p>
    <w:p>
      <w:pPr>
        <w:pStyle w:val="Text2"/>
        <w:keepNext/>
        <w:keepLines/>
        <w:spacing w:before="120" w:after="120"/>
        <w:ind w:left="1276"/>
        <w:rPr>
          <w:noProof/>
        </w:rPr>
      </w:pPr>
      <w:r>
        <w:rPr>
          <w:noProof/>
        </w:rPr>
        <w:t>Le tableau ci-dessous indique le nombre d’échantillons analysés et les résultats obtenus pour l’Union européenne.</w:t>
      </w:r>
    </w:p>
    <w:tbl>
      <w:tblPr>
        <w:tblW w:w="7475" w:type="dxa"/>
        <w:tblInd w:w="1384" w:type="dxa"/>
        <w:tblLayout w:type="fixed"/>
        <w:tblLook w:val="04A0" w:firstRow="1" w:lastRow="0" w:firstColumn="1" w:lastColumn="0" w:noHBand="0" w:noVBand="1"/>
      </w:tblPr>
      <w:tblGrid>
        <w:gridCol w:w="1041"/>
        <w:gridCol w:w="1227"/>
        <w:gridCol w:w="1431"/>
        <w:gridCol w:w="1262"/>
        <w:gridCol w:w="992"/>
        <w:gridCol w:w="1522"/>
      </w:tblGrid>
      <w:tr>
        <w:trPr>
          <w:trHeight w:val="570"/>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État membre</w:t>
            </w:r>
          </w:p>
        </w:tc>
        <w:tc>
          <w:tcPr>
            <w:tcW w:w="1227"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Conformes</w:t>
            </w:r>
          </w:p>
        </w:tc>
        <w:tc>
          <w:tcPr>
            <w:tcW w:w="1431"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Non probants</w:t>
            </w:r>
          </w:p>
        </w:tc>
        <w:tc>
          <w:tcPr>
            <w:tcW w:w="126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Non conformes</w:t>
            </w:r>
          </w:p>
        </w:tc>
        <w:tc>
          <w:tcPr>
            <w:tcW w:w="99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Total des échantillons</w:t>
            </w:r>
          </w:p>
        </w:tc>
        <w:tc>
          <w:tcPr>
            <w:tcW w:w="1522" w:type="dxa"/>
            <w:tcBorders>
              <w:top w:val="single" w:sz="4" w:space="0" w:color="auto"/>
              <w:left w:val="nil"/>
              <w:bottom w:val="single" w:sz="4" w:space="0" w:color="auto"/>
              <w:right w:val="single" w:sz="4" w:space="0" w:color="auto"/>
            </w:tcBorders>
            <w:shd w:val="clear" w:color="auto" w:fill="auto"/>
            <w:vAlign w:val="center"/>
          </w:tcPr>
          <w:p>
            <w:pPr>
              <w:keepNext/>
              <w:keepLines/>
              <w:spacing w:before="40" w:after="40"/>
              <w:jc w:val="center"/>
              <w:rPr>
                <w:b/>
                <w:bCs/>
                <w:noProof/>
                <w:sz w:val="22"/>
                <w:szCs w:val="22"/>
              </w:rPr>
            </w:pPr>
            <w:r>
              <w:rPr>
                <w:b/>
                <w:noProof/>
                <w:sz w:val="22"/>
              </w:rPr>
              <w:t>% du total des échantillons dans l’UE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BE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92</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15</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109</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1,9 %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BG</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0,1 %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CZ</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30</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0,5 %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DK</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DE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3 179</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13</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3 214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55,6 %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IE</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80</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81</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1,4 %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EL</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ES</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204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FR</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174</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178</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3,1 %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HR</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ADT</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ADT</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ADT</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ADT</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IT</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533</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552</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9,6 %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CY</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ACE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LV</w:t>
            </w:r>
          </w:p>
        </w:tc>
        <w:tc>
          <w:tcPr>
            <w:tcW w:w="1227"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12</w:t>
            </w:r>
          </w:p>
        </w:tc>
        <w:tc>
          <w:tcPr>
            <w:tcW w:w="1431"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14</w:t>
            </w:r>
          </w:p>
        </w:tc>
        <w:tc>
          <w:tcPr>
            <w:tcW w:w="1522" w:type="dxa"/>
            <w:tcBorders>
              <w:top w:val="nil"/>
              <w:left w:val="nil"/>
              <w:bottom w:val="single" w:sz="4" w:space="0" w:color="auto"/>
              <w:right w:val="single" w:sz="4" w:space="0" w:color="auto"/>
            </w:tcBorders>
            <w:shd w:val="clear" w:color="auto" w:fill="auto"/>
            <w:noWrap/>
            <w:vAlign w:val="center"/>
          </w:tcPr>
          <w:p>
            <w:pPr>
              <w:keepNext/>
              <w:keepLines/>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LT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59</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1,0 %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LU</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HU</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125</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128</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MT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22</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30</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NL</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88</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88</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AT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64</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64</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PL</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372</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377</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6,5 %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PT</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11</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RO</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240</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243</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4,2 %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SI</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17</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0,3 %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SK</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24</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0,4 %</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spacing w:before="40" w:after="40"/>
              <w:jc w:val="left"/>
              <w:rPr>
                <w:noProof/>
                <w:sz w:val="22"/>
                <w:szCs w:val="22"/>
              </w:rPr>
            </w:pPr>
            <w:r>
              <w:rPr>
                <w:noProof/>
                <w:sz w:val="22"/>
              </w:rPr>
              <w:t>FI</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273</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6</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10</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289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5,0 %</w:t>
            </w:r>
          </w:p>
        </w:tc>
      </w:tr>
      <w:tr>
        <w:trPr>
          <w:trHeight w:val="27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SE</w:t>
            </w:r>
          </w:p>
        </w:tc>
        <w:tc>
          <w:tcPr>
            <w:tcW w:w="1227"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ACE</w:t>
            </w:r>
          </w:p>
        </w:tc>
        <w:tc>
          <w:tcPr>
            <w:tcW w:w="1431"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ACE</w:t>
            </w:r>
          </w:p>
        </w:tc>
        <w:tc>
          <w:tcPr>
            <w:tcW w:w="126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ACE</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ACE</w:t>
            </w:r>
          </w:p>
        </w:tc>
        <w:tc>
          <w:tcPr>
            <w:tcW w:w="1522" w:type="dxa"/>
            <w:tcBorders>
              <w:top w:val="single" w:sz="4" w:space="0" w:color="auto"/>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ACE</w:t>
            </w:r>
          </w:p>
        </w:tc>
      </w:tr>
      <w:tr>
        <w:trPr>
          <w:trHeight w:val="270"/>
        </w:trPr>
        <w:tc>
          <w:tcPr>
            <w:tcW w:w="1041" w:type="dxa"/>
            <w:tcBorders>
              <w:top w:val="nil"/>
              <w:left w:val="single" w:sz="4" w:space="0" w:color="auto"/>
              <w:bottom w:val="single" w:sz="4" w:space="0" w:color="auto"/>
              <w:right w:val="single" w:sz="4" w:space="0" w:color="auto"/>
            </w:tcBorders>
            <w:shd w:val="clear" w:color="auto" w:fill="auto"/>
            <w:noWrap/>
            <w:vAlign w:val="center"/>
          </w:tcPr>
          <w:p>
            <w:pPr>
              <w:keepNext/>
              <w:keepLines/>
              <w:spacing w:before="40" w:after="40"/>
              <w:jc w:val="left"/>
              <w:rPr>
                <w:noProof/>
                <w:sz w:val="22"/>
                <w:szCs w:val="22"/>
              </w:rPr>
            </w:pPr>
            <w:r>
              <w:rPr>
                <w:noProof/>
                <w:sz w:val="22"/>
              </w:rPr>
              <w:t>UK</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45</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1</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4</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50</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noProof/>
                <w:sz w:val="22"/>
                <w:szCs w:val="22"/>
              </w:rPr>
            </w:pPr>
            <w:r>
              <w:rPr>
                <w:noProof/>
                <w:sz w:val="22"/>
              </w:rPr>
              <w:t>0,9 %</w:t>
            </w:r>
          </w:p>
        </w:tc>
      </w:tr>
      <w:tr>
        <w:trPr>
          <w:trHeight w:val="360"/>
        </w:trPr>
        <w:tc>
          <w:tcPr>
            <w:tcW w:w="1041" w:type="dxa"/>
            <w:vMerge w:val="restart"/>
            <w:tcBorders>
              <w:top w:val="nil"/>
              <w:left w:val="single" w:sz="4" w:space="0" w:color="auto"/>
              <w:bottom w:val="single" w:sz="4" w:space="0" w:color="000000"/>
              <w:right w:val="single" w:sz="4" w:space="0" w:color="auto"/>
            </w:tcBorders>
            <w:shd w:val="clear" w:color="auto" w:fill="auto"/>
          </w:tcPr>
          <w:p>
            <w:pPr>
              <w:keepNext/>
              <w:keepLines/>
              <w:spacing w:before="40" w:after="40"/>
              <w:jc w:val="left"/>
              <w:rPr>
                <w:b/>
                <w:bCs/>
                <w:noProof/>
                <w:sz w:val="22"/>
                <w:szCs w:val="22"/>
              </w:rPr>
            </w:pPr>
            <w:r>
              <w:rPr>
                <w:b/>
                <w:noProof/>
                <w:sz w:val="22"/>
              </w:rPr>
              <w:t>Total UE</w:t>
            </w: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5 646</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59</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73</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5 779</w:t>
            </w:r>
          </w:p>
        </w:tc>
        <w:tc>
          <w:tcPr>
            <w:tcW w:w="152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100 %</w:t>
            </w:r>
          </w:p>
        </w:tc>
      </w:tr>
      <w:tr>
        <w:trPr>
          <w:trHeight w:val="360"/>
        </w:trPr>
        <w:tc>
          <w:tcPr>
            <w:tcW w:w="1041" w:type="dxa"/>
            <w:vMerge/>
            <w:tcBorders>
              <w:top w:val="nil"/>
              <w:left w:val="single" w:sz="4" w:space="0" w:color="auto"/>
              <w:bottom w:val="single" w:sz="4" w:space="0" w:color="000000"/>
              <w:right w:val="single" w:sz="4" w:space="0" w:color="auto"/>
            </w:tcBorders>
            <w:vAlign w:val="center"/>
          </w:tcPr>
          <w:p>
            <w:pPr>
              <w:keepNext/>
              <w:keepLines/>
              <w:spacing w:before="40" w:after="40"/>
              <w:jc w:val="left"/>
              <w:rPr>
                <w:b/>
                <w:bCs/>
                <w:noProof/>
                <w:sz w:val="22"/>
                <w:szCs w:val="22"/>
              </w:rPr>
            </w:pPr>
          </w:p>
        </w:tc>
        <w:tc>
          <w:tcPr>
            <w:tcW w:w="1227"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97,7 %</w:t>
            </w:r>
          </w:p>
        </w:tc>
        <w:tc>
          <w:tcPr>
            <w:tcW w:w="1431"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1,0 %</w:t>
            </w:r>
          </w:p>
        </w:tc>
        <w:tc>
          <w:tcPr>
            <w:tcW w:w="126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1,3 %</w:t>
            </w:r>
          </w:p>
        </w:tc>
        <w:tc>
          <w:tcPr>
            <w:tcW w:w="992" w:type="dxa"/>
            <w:tcBorders>
              <w:top w:val="nil"/>
              <w:left w:val="nil"/>
              <w:bottom w:val="single" w:sz="4" w:space="0" w:color="auto"/>
              <w:right w:val="single" w:sz="4" w:space="0" w:color="auto"/>
            </w:tcBorders>
            <w:shd w:val="clear" w:color="auto" w:fill="auto"/>
            <w:noWrap/>
            <w:vAlign w:val="center"/>
          </w:tcPr>
          <w:p>
            <w:pPr>
              <w:spacing w:before="40" w:after="40"/>
              <w:jc w:val="center"/>
              <w:rPr>
                <w:b/>
                <w:noProof/>
                <w:sz w:val="22"/>
                <w:szCs w:val="22"/>
              </w:rPr>
            </w:pPr>
            <w:r>
              <w:rPr>
                <w:b/>
                <w:noProof/>
                <w:sz w:val="22"/>
              </w:rPr>
              <w:t>100,0 %</w:t>
            </w:r>
          </w:p>
        </w:tc>
        <w:tc>
          <w:tcPr>
            <w:tcW w:w="1522" w:type="dxa"/>
            <w:tcBorders>
              <w:top w:val="nil"/>
              <w:left w:val="nil"/>
              <w:bottom w:val="single" w:sz="4" w:space="0" w:color="auto"/>
              <w:right w:val="single" w:sz="4" w:space="0" w:color="auto"/>
            </w:tcBorders>
            <w:shd w:val="clear" w:color="auto" w:fill="auto"/>
            <w:noWrap/>
          </w:tcPr>
          <w:p>
            <w:pPr>
              <w:spacing w:before="40" w:after="40"/>
              <w:jc w:val="center"/>
              <w:rPr>
                <w:b/>
                <w:noProof/>
                <w:sz w:val="22"/>
                <w:szCs w:val="22"/>
              </w:rPr>
            </w:pPr>
          </w:p>
        </w:tc>
      </w:tr>
    </w:tbl>
    <w:p>
      <w:pPr>
        <w:spacing w:before="120" w:after="0"/>
        <w:ind w:left="1276"/>
        <w:rPr>
          <w:noProof/>
          <w:sz w:val="22"/>
        </w:rPr>
      </w:pPr>
      <w:r>
        <w:rPr>
          <w:noProof/>
          <w:sz w:val="22"/>
        </w:rPr>
        <w:t>ADT: Aucune donnée transmise. ACE: Aucun contrôle effectué.</w:t>
      </w:r>
    </w:p>
    <w:p>
      <w:pPr>
        <w:rPr>
          <w:noProof/>
        </w:rPr>
      </w:pPr>
      <w:r>
        <w:rPr>
          <w:noProof/>
        </w:rPr>
        <w:br w:type="page"/>
      </w:r>
    </w:p>
    <w:p>
      <w:pPr>
        <w:pStyle w:val="Text2"/>
        <w:keepNext/>
        <w:keepLines/>
        <w:spacing w:before="120" w:after="120"/>
        <w:ind w:left="1276"/>
        <w:rPr>
          <w:noProof/>
        </w:rPr>
      </w:pPr>
      <w:r>
        <w:rPr>
          <w:noProof/>
        </w:rPr>
        <w:t>L’histogramme ci-dessous indique le nombre d’échantillons analysés et les résultats obtenus par État membre de l’UE.</w:t>
      </w:r>
    </w:p>
    <w:p>
      <w:pPr>
        <w:ind w:left="1276"/>
        <w:rPr>
          <w:noProof/>
        </w:rPr>
      </w:pPr>
      <w:r>
        <w:rPr>
          <w:noProof/>
          <w:lang w:val="en-US" w:eastAsia="en-US" w:bidi="ar-SA"/>
        </w:rPr>
        <w:drawing>
          <wp:inline distT="0" distB="0" distL="0" distR="0">
            <wp:extent cx="4896000" cy="69664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6000" cy="6966436"/>
                    </a:xfrm>
                    <a:prstGeom prst="rect">
                      <a:avLst/>
                    </a:prstGeom>
                    <a:noFill/>
                    <a:ln>
                      <a:noFill/>
                    </a:ln>
                  </pic:spPr>
                </pic:pic>
              </a:graphicData>
            </a:graphic>
          </wp:inline>
        </w:drawing>
      </w:r>
    </w:p>
    <w:p>
      <w:pPr>
        <w:pStyle w:val="Point1"/>
        <w:keepNext/>
        <w:keepLines/>
        <w:ind w:left="1276" w:hanging="709"/>
        <w:rPr>
          <w:b/>
          <w:noProof/>
        </w:rPr>
      </w:pPr>
      <w:r>
        <w:rPr>
          <w:b/>
          <w:noProof/>
        </w:rPr>
        <w:t>4.2.</w:t>
      </w:r>
      <w:r>
        <w:rPr>
          <w:noProof/>
        </w:rPr>
        <w:tab/>
      </w:r>
      <w:r>
        <w:rPr>
          <w:b/>
          <w:noProof/>
        </w:rPr>
        <w:t>Belgique. Nombre d’échantillons: 109</w:t>
      </w:r>
    </w:p>
    <w:tbl>
      <w:tblPr>
        <w:tblW w:w="865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3"/>
        <w:gridCol w:w="1135"/>
        <w:gridCol w:w="1418"/>
        <w:gridCol w:w="1137"/>
        <w:gridCol w:w="1279"/>
      </w:tblGrid>
      <w:tr>
        <w:trPr>
          <w:trHeight w:val="360"/>
        </w:trPr>
        <w:tc>
          <w:tcPr>
            <w:tcW w:w="1560" w:type="dxa"/>
            <w:shd w:val="clear" w:color="FFFFFF" w:fill="FFFFFF"/>
            <w:vAlign w:val="center"/>
            <w:hideMark/>
          </w:tcPr>
          <w:p>
            <w:pPr>
              <w:keepNext/>
              <w:keepLines/>
              <w:spacing w:before="40" w:after="40"/>
              <w:jc w:val="left"/>
              <w:rPr>
                <w:b/>
                <w:bCs/>
                <w:noProof/>
                <w:color w:val="000000"/>
                <w:sz w:val="20"/>
              </w:rPr>
            </w:pPr>
          </w:p>
        </w:tc>
        <w:tc>
          <w:tcPr>
            <w:tcW w:w="2123" w:type="dxa"/>
            <w:shd w:val="clear" w:color="FFFFFF" w:fill="FFFFFF"/>
            <w:vAlign w:val="center"/>
            <w:hideMark/>
          </w:tcPr>
          <w:p>
            <w:pPr>
              <w:keepNext/>
              <w:keepLines/>
              <w:spacing w:before="40" w:after="40"/>
              <w:jc w:val="left"/>
              <w:rPr>
                <w:b/>
                <w:bCs/>
                <w:noProof/>
                <w:color w:val="000000"/>
                <w:sz w:val="20"/>
              </w:rPr>
            </w:pPr>
          </w:p>
        </w:tc>
        <w:tc>
          <w:tcPr>
            <w:tcW w:w="3690" w:type="dxa"/>
            <w:gridSpan w:val="3"/>
            <w:shd w:val="clear" w:color="FFFFFF" w:fill="FFFFFF"/>
            <w:vAlign w:val="center"/>
            <w:hideMark/>
          </w:tcPr>
          <w:p>
            <w:pPr>
              <w:keepNext/>
              <w:keepLines/>
              <w:spacing w:before="40" w:after="40"/>
              <w:jc w:val="center"/>
              <w:rPr>
                <w:b/>
                <w:bCs/>
                <w:noProof/>
                <w:color w:val="000000"/>
                <w:sz w:val="20"/>
              </w:rPr>
            </w:pPr>
            <w:r>
              <w:rPr>
                <w:b/>
                <w:noProof/>
                <w:color w:val="000000"/>
                <w:sz w:val="20"/>
              </w:rPr>
              <w:t>Nombre d’échantillons: 109</w:t>
            </w:r>
          </w:p>
        </w:tc>
        <w:tc>
          <w:tcPr>
            <w:tcW w:w="1279" w:type="dxa"/>
            <w:shd w:val="clear" w:color="FFFFFF" w:fill="FFFFFF"/>
            <w:vAlign w:val="center"/>
            <w:hideMark/>
          </w:tcPr>
          <w:p>
            <w:pPr>
              <w:keepNext/>
              <w:keepLines/>
              <w:spacing w:before="40" w:after="40"/>
              <w:jc w:val="center"/>
              <w:rPr>
                <w:b/>
                <w:bCs/>
                <w:noProof/>
                <w:color w:val="000000"/>
                <w:sz w:val="20"/>
              </w:rPr>
            </w:pPr>
          </w:p>
        </w:tc>
      </w:tr>
      <w:tr>
        <w:trPr>
          <w:trHeight w:val="690"/>
        </w:trPr>
        <w:tc>
          <w:tcPr>
            <w:tcW w:w="156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Catégorie de denrées alimentaires</w:t>
            </w:r>
          </w:p>
        </w:tc>
        <w:tc>
          <w:tcPr>
            <w:tcW w:w="2123"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Denrées alimentaires analysées au stade de la commercialisation des produits</w:t>
            </w:r>
          </w:p>
        </w:tc>
        <w:tc>
          <w:tcPr>
            <w:tcW w:w="1135"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Conformes</w:t>
            </w:r>
          </w:p>
        </w:tc>
        <w:tc>
          <w:tcPr>
            <w:tcW w:w="1418"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Non probants</w:t>
            </w:r>
          </w:p>
        </w:tc>
        <w:tc>
          <w:tcPr>
            <w:tcW w:w="1137"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Non conformes</w:t>
            </w:r>
          </w:p>
        </w:tc>
        <w:tc>
          <w:tcPr>
            <w:tcW w:w="1279"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(séchés)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Champignons et produits à base de champignons (séchés)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Légumes et produits végétaux (séchés)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Poissons, crustacés, coquillages et leurs produits dérivés</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Crustacés, coquillages, moules et autres animaux aquatiques (y compris leurs produits dérivés)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26</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0"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 (congelées)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0"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Viandes et produits à base de viande</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Cuisses de grenouilles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Compléments alimentaires</w:t>
            </w:r>
          </w:p>
        </w:tc>
        <w:tc>
          <w:tcPr>
            <w:tcW w:w="113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13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27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683" w:type="dxa"/>
            <w:gridSpan w:val="2"/>
            <w:tcBorders>
              <w:top w:val="single" w:sz="4" w:space="0" w:color="auto"/>
            </w:tcBorders>
            <w:shd w:val="clear" w:color="FFFFFF" w:fill="FFFFFF"/>
            <w:noWrap/>
            <w:vAlign w:val="center"/>
            <w:hideMark/>
          </w:tcPr>
          <w:p>
            <w:pPr>
              <w:spacing w:before="40" w:after="40"/>
              <w:jc w:val="right"/>
              <w:rPr>
                <w:b/>
                <w:bCs/>
                <w:noProof/>
                <w:color w:val="000000"/>
                <w:sz w:val="20"/>
              </w:rPr>
            </w:pPr>
            <w:r>
              <w:rPr>
                <w:b/>
                <w:noProof/>
                <w:color w:val="000000"/>
                <w:sz w:val="20"/>
              </w:rPr>
              <w:t>Total:</w:t>
            </w:r>
          </w:p>
        </w:tc>
        <w:tc>
          <w:tcPr>
            <w:tcW w:w="1135"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92</w:t>
            </w:r>
          </w:p>
        </w:tc>
        <w:tc>
          <w:tcPr>
            <w:tcW w:w="1418"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15</w:t>
            </w:r>
          </w:p>
        </w:tc>
        <w:tc>
          <w:tcPr>
            <w:tcW w:w="1137" w:type="dxa"/>
            <w:tcBorders>
              <w:top w:val="single" w:sz="4" w:space="0" w:color="auto"/>
            </w:tcBorders>
            <w:shd w:val="clear" w:color="FFFFFF" w:fill="FFFFFF"/>
            <w:noWrap/>
            <w:vAlign w:val="center"/>
            <w:hideMark/>
          </w:tcPr>
          <w:p>
            <w:pPr>
              <w:spacing w:before="40" w:after="40"/>
              <w:jc w:val="center"/>
              <w:rPr>
                <w:b/>
                <w:bCs/>
                <w:noProof/>
                <w:sz w:val="20"/>
                <w:szCs w:val="18"/>
              </w:rPr>
            </w:pPr>
            <w:r>
              <w:rPr>
                <w:b/>
                <w:noProof/>
                <w:sz w:val="20"/>
              </w:rPr>
              <w:t>2</w:t>
            </w:r>
          </w:p>
        </w:tc>
        <w:tc>
          <w:tcPr>
            <w:tcW w:w="1279" w:type="dxa"/>
            <w:tcBorders>
              <w:top w:val="single" w:sz="4" w:space="0" w:color="auto"/>
            </w:tcBorders>
            <w:shd w:val="clear" w:color="FFFFFF" w:fill="FFFFFF"/>
            <w:noWrap/>
            <w:vAlign w:val="center"/>
            <w:hideMark/>
          </w:tcPr>
          <w:p>
            <w:pPr>
              <w:spacing w:before="40" w:after="40"/>
              <w:jc w:val="center"/>
              <w:rPr>
                <w:noProof/>
                <w:color w:val="000000"/>
                <w:sz w:val="20"/>
              </w:rPr>
            </w:pPr>
          </w:p>
        </w:tc>
      </w:tr>
      <w:tr>
        <w:trPr>
          <w:trHeight w:val="360"/>
        </w:trPr>
        <w:tc>
          <w:tcPr>
            <w:tcW w:w="3683" w:type="dxa"/>
            <w:gridSpan w:val="2"/>
            <w:shd w:val="clear" w:color="FFFFFF" w:fill="FFFFFF"/>
            <w:noWrap/>
            <w:vAlign w:val="center"/>
            <w:hideMark/>
          </w:tcPr>
          <w:p>
            <w:pPr>
              <w:spacing w:before="40" w:after="40"/>
              <w:jc w:val="right"/>
              <w:rPr>
                <w:b/>
                <w:bCs/>
                <w:noProof/>
                <w:color w:val="000000"/>
                <w:sz w:val="20"/>
              </w:rPr>
            </w:pPr>
            <w:r>
              <w:rPr>
                <w:b/>
                <w:noProof/>
                <w:color w:val="000000"/>
                <w:sz w:val="20"/>
              </w:rPr>
              <w:t>Total en % des échantillons analysés</w:t>
            </w:r>
          </w:p>
        </w:tc>
        <w:tc>
          <w:tcPr>
            <w:tcW w:w="1135" w:type="dxa"/>
            <w:shd w:val="clear" w:color="FFFFFF" w:fill="FFFFFF"/>
            <w:noWrap/>
            <w:vAlign w:val="center"/>
            <w:hideMark/>
          </w:tcPr>
          <w:p>
            <w:pPr>
              <w:spacing w:before="40" w:after="40"/>
              <w:jc w:val="center"/>
              <w:rPr>
                <w:b/>
                <w:bCs/>
                <w:noProof/>
                <w:sz w:val="20"/>
                <w:szCs w:val="18"/>
              </w:rPr>
            </w:pPr>
            <w:r>
              <w:rPr>
                <w:b/>
                <w:noProof/>
                <w:sz w:val="20"/>
              </w:rPr>
              <w:t>84,4 %</w:t>
            </w:r>
          </w:p>
        </w:tc>
        <w:tc>
          <w:tcPr>
            <w:tcW w:w="1418" w:type="dxa"/>
            <w:shd w:val="clear" w:color="FFFFFF" w:fill="FFFFFF"/>
            <w:noWrap/>
            <w:vAlign w:val="center"/>
            <w:hideMark/>
          </w:tcPr>
          <w:p>
            <w:pPr>
              <w:spacing w:before="40" w:after="40"/>
              <w:jc w:val="center"/>
              <w:rPr>
                <w:b/>
                <w:bCs/>
                <w:noProof/>
                <w:sz w:val="20"/>
                <w:szCs w:val="18"/>
              </w:rPr>
            </w:pPr>
            <w:r>
              <w:rPr>
                <w:b/>
                <w:noProof/>
                <w:sz w:val="20"/>
              </w:rPr>
              <w:t>13,8 %</w:t>
            </w:r>
          </w:p>
        </w:tc>
        <w:tc>
          <w:tcPr>
            <w:tcW w:w="1137" w:type="dxa"/>
            <w:shd w:val="clear" w:color="FFFFFF" w:fill="FFFFFF"/>
            <w:noWrap/>
            <w:vAlign w:val="center"/>
            <w:hideMark/>
          </w:tcPr>
          <w:p>
            <w:pPr>
              <w:spacing w:before="40" w:after="40"/>
              <w:jc w:val="center"/>
              <w:rPr>
                <w:b/>
                <w:bCs/>
                <w:noProof/>
                <w:sz w:val="20"/>
                <w:szCs w:val="18"/>
              </w:rPr>
            </w:pPr>
            <w:r>
              <w:rPr>
                <w:b/>
                <w:noProof/>
                <w:sz w:val="20"/>
              </w:rPr>
              <w:t>1,8 %</w:t>
            </w:r>
          </w:p>
        </w:tc>
        <w:tc>
          <w:tcPr>
            <w:tcW w:w="1279" w:type="dxa"/>
            <w:shd w:val="clear" w:color="FFFFFF" w:fill="FFFFFF"/>
            <w:noWrap/>
            <w:vAlign w:val="center"/>
            <w:hideMark/>
          </w:tcPr>
          <w:p>
            <w:pPr>
              <w:spacing w:before="40" w:after="40"/>
              <w:jc w:val="center"/>
              <w:rPr>
                <w:noProof/>
                <w:color w:val="000000"/>
                <w:sz w:val="20"/>
              </w:rPr>
            </w:pPr>
          </w:p>
        </w:tc>
      </w:tr>
    </w:tbl>
    <w:p>
      <w:pPr>
        <w:pStyle w:val="Point1"/>
        <w:ind w:left="709" w:hanging="709"/>
        <w:rPr>
          <w:noProof/>
          <w:sz w:val="20"/>
        </w:rPr>
      </w:pPr>
      <w:r>
        <w:rPr>
          <w:noProof/>
          <w:sz w:val="20"/>
          <w:vertAlign w:val="superscript"/>
        </w:rPr>
        <w:t>*</w:t>
      </w:r>
      <w:r>
        <w:rPr>
          <w:noProof/>
        </w:rPr>
        <w:tab/>
      </w:r>
      <w:r>
        <w:rPr>
          <w:noProof/>
          <w:sz w:val="20"/>
        </w:rPr>
        <w:t>irradiation non autorisée</w:t>
      </w:r>
    </w:p>
    <w:p>
      <w:pPr>
        <w:pStyle w:val="Point1"/>
        <w:keepNext/>
        <w:ind w:left="1276" w:hanging="709"/>
        <w:rPr>
          <w:b/>
          <w:noProof/>
        </w:rPr>
      </w:pPr>
      <w:r>
        <w:rPr>
          <w:b/>
          <w:noProof/>
        </w:rPr>
        <w:t>4.3.</w:t>
      </w:r>
      <w:r>
        <w:rPr>
          <w:noProof/>
        </w:rPr>
        <w:tab/>
      </w:r>
      <w:r>
        <w:rPr>
          <w:b/>
          <w:noProof/>
        </w:rPr>
        <w:t>Bulgarie. Nombre d’échantillons: 4</w:t>
      </w:r>
    </w:p>
    <w:tbl>
      <w:tblPr>
        <w:tblW w:w="8683" w:type="dxa"/>
        <w:tblInd w:w="103" w:type="dxa"/>
        <w:tblLook w:val="04A0" w:firstRow="1" w:lastRow="0" w:firstColumn="1" w:lastColumn="0" w:noHBand="0" w:noVBand="1"/>
      </w:tblPr>
      <w:tblGrid>
        <w:gridCol w:w="1565"/>
        <w:gridCol w:w="2115"/>
        <w:gridCol w:w="1280"/>
        <w:gridCol w:w="1283"/>
        <w:gridCol w:w="1240"/>
        <w:gridCol w:w="1200"/>
      </w:tblGrid>
      <w:tr>
        <w:trPr>
          <w:trHeight w:val="360"/>
        </w:trPr>
        <w:tc>
          <w:tcPr>
            <w:tcW w:w="1565" w:type="dxa"/>
            <w:tcBorders>
              <w:top w:val="single" w:sz="4" w:space="0" w:color="auto"/>
              <w:left w:val="single" w:sz="4" w:space="0" w:color="auto"/>
              <w:bottom w:val="single" w:sz="6" w:space="0" w:color="auto"/>
              <w:right w:val="single" w:sz="6" w:space="0" w:color="auto"/>
            </w:tcBorders>
            <w:shd w:val="clear" w:color="auto" w:fill="auto"/>
            <w:vAlign w:val="center"/>
            <w:hideMark/>
          </w:tcPr>
          <w:p>
            <w:pPr>
              <w:spacing w:before="40" w:after="40"/>
              <w:jc w:val="left"/>
              <w:rPr>
                <w:b/>
                <w:bCs/>
                <w:noProof/>
                <w:sz w:val="20"/>
                <w:szCs w:val="18"/>
              </w:rPr>
            </w:pPr>
          </w:p>
        </w:tc>
        <w:tc>
          <w:tcPr>
            <w:tcW w:w="2115" w:type="dxa"/>
            <w:tcBorders>
              <w:top w:val="single" w:sz="4"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b/>
                <w:bCs/>
                <w:noProof/>
                <w:sz w:val="20"/>
                <w:szCs w:val="18"/>
              </w:rPr>
            </w:pPr>
          </w:p>
        </w:tc>
        <w:tc>
          <w:tcPr>
            <w:tcW w:w="3803" w:type="dxa"/>
            <w:gridSpan w:val="3"/>
            <w:tcBorders>
              <w:top w:val="single" w:sz="4"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Nombre d’échantillons: 4</w:t>
            </w:r>
          </w:p>
        </w:tc>
        <w:tc>
          <w:tcPr>
            <w:tcW w:w="1200" w:type="dxa"/>
            <w:tcBorders>
              <w:top w:val="single" w:sz="4"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690"/>
        </w:trPr>
        <w:tc>
          <w:tcPr>
            <w:tcW w:w="1565" w:type="dxa"/>
            <w:tcBorders>
              <w:top w:val="single" w:sz="6" w:space="0" w:color="auto"/>
              <w:left w:val="single" w:sz="4"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rPr>
          <w:trHeight w:val="690"/>
        </w:trPr>
        <w:tc>
          <w:tcPr>
            <w:tcW w:w="1565" w:type="dxa"/>
            <w:vMerge w:val="restart"/>
            <w:tcBorders>
              <w:top w:val="single" w:sz="6" w:space="0" w:color="auto"/>
              <w:left w:val="single" w:sz="4" w:space="0" w:color="auto"/>
              <w:right w:val="single" w:sz="6" w:space="0" w:color="auto"/>
            </w:tcBorders>
            <w:shd w:val="clear" w:color="auto" w:fill="auto"/>
            <w:vAlign w:val="center"/>
            <w:hideMark/>
          </w:tcPr>
          <w:p>
            <w:pPr>
              <w:spacing w:before="40" w:after="40"/>
              <w:jc w:val="left"/>
              <w:rPr>
                <w:noProof/>
                <w:sz w:val="20"/>
                <w:szCs w:val="18"/>
              </w:rPr>
            </w:pPr>
            <w:r>
              <w:rPr>
                <w:noProof/>
                <w:sz w:val="20"/>
              </w:rPr>
              <w:t>Fines herbes et épices</w:t>
            </w: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2</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13751</w:t>
            </w:r>
          </w:p>
        </w:tc>
      </w:tr>
      <w:tr>
        <w:trPr>
          <w:trHeight w:val="270"/>
        </w:trPr>
        <w:tc>
          <w:tcPr>
            <w:tcW w:w="1565" w:type="dxa"/>
            <w:vMerge/>
            <w:tcBorders>
              <w:left w:val="single" w:sz="4" w:space="0" w:color="auto"/>
              <w:right w:val="single" w:sz="6" w:space="0" w:color="auto"/>
            </w:tcBorders>
            <w:shd w:val="clear" w:color="auto" w:fill="auto"/>
            <w:vAlign w:val="center"/>
            <w:hideMark/>
          </w:tcPr>
          <w:p>
            <w:pPr>
              <w:spacing w:before="40" w:after="40"/>
              <w:jc w:val="left"/>
              <w:rPr>
                <w:noProof/>
                <w:sz w:val="20"/>
                <w:szCs w:val="18"/>
              </w:rPr>
            </w:pP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1</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270"/>
        </w:trPr>
        <w:tc>
          <w:tcPr>
            <w:tcW w:w="1565" w:type="dxa"/>
            <w:vMerge/>
            <w:tcBorders>
              <w:left w:val="single" w:sz="4" w:space="0" w:color="auto"/>
              <w:bottom w:val="single" w:sz="6" w:space="0" w:color="auto"/>
              <w:right w:val="single" w:sz="6" w:space="0" w:color="auto"/>
            </w:tcBorders>
            <w:shd w:val="clear" w:color="auto" w:fill="auto"/>
            <w:vAlign w:val="center"/>
            <w:hideMark/>
          </w:tcPr>
          <w:p>
            <w:pPr>
              <w:spacing w:before="40" w:after="40"/>
              <w:jc w:val="left"/>
              <w:rPr>
                <w:noProof/>
                <w:sz w:val="20"/>
                <w:szCs w:val="18"/>
              </w:rPr>
            </w:pPr>
          </w:p>
        </w:tc>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left"/>
              <w:rPr>
                <w:rFonts w:ascii="Arial" w:hAnsi="Arial" w:cs="Arial"/>
                <w:noProof/>
                <w:color w:val="000000"/>
                <w:sz w:val="18"/>
                <w:szCs w:val="18"/>
              </w:rPr>
            </w:pPr>
            <w:r>
              <w:rPr>
                <w:noProof/>
                <w:sz w:val="20"/>
              </w:rPr>
              <w:t>Thé</w:t>
            </w:r>
          </w:p>
        </w:tc>
        <w:tc>
          <w:tcPr>
            <w:tcW w:w="128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1</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vAlign w:val="center"/>
            <w:hideMark/>
          </w:tcPr>
          <w:p>
            <w:pPr>
              <w:spacing w:before="40" w:after="40"/>
              <w:jc w:val="center"/>
              <w:rPr>
                <w:noProof/>
                <w:sz w:val="20"/>
                <w:szCs w:val="18"/>
              </w:rPr>
            </w:pPr>
            <w:r>
              <w:rPr>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360"/>
        </w:trPr>
        <w:tc>
          <w:tcPr>
            <w:tcW w:w="3680" w:type="dxa"/>
            <w:gridSpan w:val="2"/>
            <w:tcBorders>
              <w:top w:val="single" w:sz="6" w:space="0" w:color="auto"/>
              <w:left w:val="single" w:sz="4" w:space="0" w:color="auto"/>
              <w:bottom w:val="single" w:sz="6" w:space="0" w:color="auto"/>
              <w:right w:val="single" w:sz="6"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12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283"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1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120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3680"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128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100 %</w:t>
            </w:r>
          </w:p>
        </w:tc>
        <w:tc>
          <w:tcPr>
            <w:tcW w:w="128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0 %</w:t>
            </w:r>
          </w:p>
        </w:tc>
        <w:tc>
          <w:tcPr>
            <w:tcW w:w="1240"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pPr>
              <w:spacing w:before="40" w:after="40"/>
              <w:jc w:val="center"/>
              <w:rPr>
                <w:b/>
                <w:bCs/>
                <w:noProof/>
                <w:sz w:val="20"/>
                <w:szCs w:val="18"/>
              </w:rPr>
            </w:pPr>
            <w:r>
              <w:rPr>
                <w:b/>
                <w:noProof/>
                <w:sz w:val="20"/>
              </w:rPr>
              <w:t>0 %</w:t>
            </w:r>
          </w:p>
        </w:tc>
        <w:tc>
          <w:tcPr>
            <w:tcW w:w="12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keepLines/>
        <w:ind w:left="1276" w:hanging="709"/>
        <w:rPr>
          <w:b/>
          <w:noProof/>
        </w:rPr>
      </w:pPr>
      <w:r>
        <w:rPr>
          <w:b/>
          <w:noProof/>
        </w:rPr>
        <w:t>4.4.</w:t>
      </w:r>
      <w:r>
        <w:rPr>
          <w:noProof/>
        </w:rPr>
        <w:tab/>
      </w:r>
      <w:r>
        <w:rPr>
          <w:b/>
          <w:noProof/>
        </w:rPr>
        <w:t>République tchèque. Nombre d’échantillons: 30</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2"/>
        <w:gridCol w:w="1280"/>
        <w:gridCol w:w="1283"/>
        <w:gridCol w:w="1240"/>
        <w:gridCol w:w="1280"/>
      </w:tblGrid>
      <w:tr>
        <w:trPr>
          <w:trHeight w:val="360"/>
        </w:trPr>
        <w:tc>
          <w:tcPr>
            <w:tcW w:w="1668" w:type="dxa"/>
            <w:shd w:val="clear" w:color="auto" w:fill="auto"/>
            <w:hideMark/>
          </w:tcPr>
          <w:p>
            <w:pPr>
              <w:keepNext/>
              <w:keepLines/>
              <w:spacing w:before="40" w:after="40"/>
              <w:jc w:val="left"/>
              <w:rPr>
                <w:b/>
                <w:bCs/>
                <w:noProof/>
                <w:sz w:val="20"/>
              </w:rPr>
            </w:pPr>
          </w:p>
        </w:tc>
        <w:tc>
          <w:tcPr>
            <w:tcW w:w="2012" w:type="dxa"/>
            <w:shd w:val="clear" w:color="auto" w:fill="auto"/>
            <w:hideMark/>
          </w:tcPr>
          <w:p>
            <w:pPr>
              <w:keepNext/>
              <w:keepLines/>
              <w:spacing w:before="40" w:after="40"/>
              <w:jc w:val="left"/>
              <w:rPr>
                <w:b/>
                <w:bCs/>
                <w:noProof/>
                <w:sz w:val="20"/>
              </w:rPr>
            </w:pPr>
          </w:p>
        </w:tc>
        <w:tc>
          <w:tcPr>
            <w:tcW w:w="3803" w:type="dxa"/>
            <w:gridSpan w:val="3"/>
            <w:shd w:val="clear" w:color="auto" w:fill="auto"/>
            <w:vAlign w:val="center"/>
            <w:hideMark/>
          </w:tcPr>
          <w:p>
            <w:pPr>
              <w:keepNext/>
              <w:keepLines/>
              <w:spacing w:before="40" w:after="40"/>
              <w:jc w:val="center"/>
              <w:rPr>
                <w:b/>
                <w:bCs/>
                <w:noProof/>
                <w:sz w:val="20"/>
              </w:rPr>
            </w:pPr>
            <w:r>
              <w:rPr>
                <w:b/>
                <w:noProof/>
                <w:sz w:val="20"/>
              </w:rPr>
              <w:t>Nombre d’échantillons: 30</w:t>
            </w:r>
          </w:p>
        </w:tc>
        <w:tc>
          <w:tcPr>
            <w:tcW w:w="1280" w:type="dxa"/>
            <w:shd w:val="clear" w:color="auto" w:fill="auto"/>
            <w:hideMark/>
          </w:tcPr>
          <w:p>
            <w:pPr>
              <w:keepNext/>
              <w:keepLines/>
              <w:spacing w:before="40" w:after="40"/>
              <w:jc w:val="center"/>
              <w:rPr>
                <w:b/>
                <w:bCs/>
                <w:noProof/>
                <w:sz w:val="20"/>
              </w:rPr>
            </w:pPr>
          </w:p>
        </w:tc>
      </w:tr>
      <w:tr>
        <w:trPr>
          <w:trHeight w:val="690"/>
        </w:trPr>
        <w:tc>
          <w:tcPr>
            <w:tcW w:w="1668"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Catégorie de denrées alimentaires</w:t>
            </w:r>
          </w:p>
        </w:tc>
        <w:tc>
          <w:tcPr>
            <w:tcW w:w="2012"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Denrées alimentaires analysées au stade de la commercialisation des produits</w:t>
            </w:r>
          </w:p>
        </w:tc>
        <w:tc>
          <w:tcPr>
            <w:tcW w:w="128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Conformes</w:t>
            </w:r>
          </w:p>
        </w:tc>
        <w:tc>
          <w:tcPr>
            <w:tcW w:w="1283"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Non probants</w:t>
            </w:r>
          </w:p>
        </w:tc>
        <w:tc>
          <w:tcPr>
            <w:tcW w:w="124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Non conformes</w:t>
            </w:r>
          </w:p>
        </w:tc>
        <w:tc>
          <w:tcPr>
            <w:tcW w:w="1280" w:type="dxa"/>
            <w:tcBorders>
              <w:bottom w:val="single" w:sz="4" w:space="0" w:color="auto"/>
            </w:tcBorders>
            <w:shd w:val="clear" w:color="auto" w:fill="auto"/>
            <w:vAlign w:val="center"/>
            <w:hideMark/>
          </w:tcPr>
          <w:p>
            <w:pPr>
              <w:keepNext/>
              <w:keepLines/>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Céréales, graines, légumes, fruits et leurs produits dérivés</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Champignons et produits à base de champignons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Légumes et produits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3</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668"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Tisanes/infusions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18"/>
        </w:trPr>
        <w:tc>
          <w:tcPr>
            <w:tcW w:w="1668"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9"/>
        </w:trPr>
        <w:tc>
          <w:tcPr>
            <w:tcW w:w="1668"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01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Soupes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8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r>
              <w:rPr>
                <w:noProof/>
                <w:sz w:val="20"/>
                <w:vertAlign w:val="superscript"/>
              </w:rPr>
              <w:t>**</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680" w:type="dxa"/>
            <w:gridSpan w:val="2"/>
            <w:tcBorders>
              <w:top w:val="single" w:sz="4" w:space="0" w:color="auto"/>
            </w:tcBorders>
            <w:shd w:val="clear" w:color="auto" w:fill="auto"/>
            <w:noWrap/>
            <w:hideMark/>
          </w:tcPr>
          <w:p>
            <w:pPr>
              <w:spacing w:before="40" w:after="40"/>
              <w:jc w:val="right"/>
              <w:rPr>
                <w:b/>
                <w:bCs/>
                <w:noProof/>
                <w:sz w:val="20"/>
              </w:rPr>
            </w:pPr>
            <w:r>
              <w:rPr>
                <w:b/>
                <w:noProof/>
                <w:sz w:val="20"/>
              </w:rPr>
              <w:t>Total:</w:t>
            </w:r>
          </w:p>
        </w:tc>
        <w:tc>
          <w:tcPr>
            <w:tcW w:w="128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20</w:t>
            </w:r>
          </w:p>
        </w:tc>
        <w:tc>
          <w:tcPr>
            <w:tcW w:w="1283"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5</w:t>
            </w:r>
          </w:p>
        </w:tc>
        <w:tc>
          <w:tcPr>
            <w:tcW w:w="124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5</w:t>
            </w:r>
          </w:p>
        </w:tc>
        <w:tc>
          <w:tcPr>
            <w:tcW w:w="1280" w:type="dxa"/>
            <w:tcBorders>
              <w:top w:val="single" w:sz="4" w:space="0" w:color="auto"/>
            </w:tcBorders>
            <w:shd w:val="clear" w:color="auto" w:fill="auto"/>
            <w:noWrap/>
            <w:hideMark/>
          </w:tcPr>
          <w:p>
            <w:pPr>
              <w:spacing w:before="40" w:after="40"/>
              <w:jc w:val="center"/>
              <w:rPr>
                <w:noProof/>
                <w:sz w:val="20"/>
              </w:rPr>
            </w:pPr>
          </w:p>
        </w:tc>
      </w:tr>
      <w:tr>
        <w:trPr>
          <w:trHeight w:val="360"/>
        </w:trPr>
        <w:tc>
          <w:tcPr>
            <w:tcW w:w="3680" w:type="dxa"/>
            <w:gridSpan w:val="2"/>
            <w:shd w:val="clear" w:color="auto" w:fill="auto"/>
            <w:noWrap/>
            <w:hideMark/>
          </w:tcPr>
          <w:p>
            <w:pPr>
              <w:spacing w:before="40" w:after="40"/>
              <w:jc w:val="right"/>
              <w:rPr>
                <w:b/>
                <w:bCs/>
                <w:noProof/>
                <w:sz w:val="20"/>
              </w:rPr>
            </w:pPr>
            <w:r>
              <w:rPr>
                <w:b/>
                <w:noProof/>
                <w:sz w:val="20"/>
              </w:rPr>
              <w:t>Total en % des échantillons analysés</w:t>
            </w:r>
          </w:p>
        </w:tc>
        <w:tc>
          <w:tcPr>
            <w:tcW w:w="1280" w:type="dxa"/>
            <w:shd w:val="clear" w:color="auto" w:fill="auto"/>
            <w:noWrap/>
            <w:vAlign w:val="center"/>
            <w:hideMark/>
          </w:tcPr>
          <w:p>
            <w:pPr>
              <w:spacing w:before="40" w:after="40"/>
              <w:jc w:val="center"/>
              <w:rPr>
                <w:b/>
                <w:bCs/>
                <w:noProof/>
                <w:sz w:val="20"/>
              </w:rPr>
            </w:pPr>
            <w:r>
              <w:rPr>
                <w:b/>
                <w:noProof/>
                <w:sz w:val="20"/>
              </w:rPr>
              <w:t>66,7 %</w:t>
            </w:r>
          </w:p>
        </w:tc>
        <w:tc>
          <w:tcPr>
            <w:tcW w:w="1283" w:type="dxa"/>
            <w:shd w:val="clear" w:color="auto" w:fill="auto"/>
            <w:noWrap/>
            <w:vAlign w:val="center"/>
            <w:hideMark/>
          </w:tcPr>
          <w:p>
            <w:pPr>
              <w:spacing w:before="40" w:after="40"/>
              <w:jc w:val="center"/>
              <w:rPr>
                <w:b/>
                <w:bCs/>
                <w:noProof/>
                <w:sz w:val="20"/>
              </w:rPr>
            </w:pPr>
            <w:r>
              <w:rPr>
                <w:b/>
                <w:noProof/>
                <w:sz w:val="20"/>
              </w:rPr>
              <w:t>16,7 %</w:t>
            </w:r>
          </w:p>
        </w:tc>
        <w:tc>
          <w:tcPr>
            <w:tcW w:w="1240" w:type="dxa"/>
            <w:shd w:val="clear" w:color="auto" w:fill="auto"/>
            <w:noWrap/>
            <w:vAlign w:val="center"/>
            <w:hideMark/>
          </w:tcPr>
          <w:p>
            <w:pPr>
              <w:spacing w:before="40" w:after="40"/>
              <w:jc w:val="center"/>
              <w:rPr>
                <w:b/>
                <w:bCs/>
                <w:noProof/>
                <w:sz w:val="20"/>
              </w:rPr>
            </w:pPr>
            <w:r>
              <w:rPr>
                <w:b/>
                <w:noProof/>
                <w:sz w:val="20"/>
              </w:rPr>
              <w:t>16,7 %</w:t>
            </w:r>
          </w:p>
        </w:tc>
        <w:tc>
          <w:tcPr>
            <w:tcW w:w="1280" w:type="dxa"/>
            <w:shd w:val="clear" w:color="auto" w:fill="auto"/>
            <w:noWrap/>
            <w:hideMark/>
          </w:tcPr>
          <w:p>
            <w:pPr>
              <w:spacing w:before="40" w:after="40"/>
              <w:jc w:val="center"/>
              <w:rPr>
                <w:noProof/>
                <w:sz w:val="20"/>
              </w:rPr>
            </w:pPr>
          </w:p>
        </w:tc>
      </w:tr>
    </w:tbl>
    <w:p>
      <w:pPr>
        <w:pStyle w:val="Point1"/>
        <w:keepNext/>
        <w:spacing w:after="0"/>
        <w:ind w:left="709" w:hanging="709"/>
        <w:rPr>
          <w:noProof/>
          <w:sz w:val="20"/>
          <w:szCs w:val="20"/>
        </w:rPr>
      </w:pPr>
      <w:r>
        <w:rPr>
          <w:noProof/>
          <w:sz w:val="20"/>
          <w:vertAlign w:val="superscript"/>
        </w:rPr>
        <w:t>*</w:t>
      </w:r>
      <w:r>
        <w:rPr>
          <w:noProof/>
        </w:rPr>
        <w:tab/>
      </w:r>
      <w:r>
        <w:rPr>
          <w:noProof/>
          <w:sz w:val="20"/>
        </w:rPr>
        <w:t>Les deux échantillons se sont révélés irradiés. Les produits irradiés n’étaient pas étiquetés. Dans un cas, l’indication de traitement ne figurait pas sur les documents accompagnant les denrées alimentaires irradiées ou s’y référant, de sorte qu’il était difficile de dire si le produit avait ou non été irradié dans une unité agréée par l’UE. Dans le second cas, les denrées alimentaires avaient été irradiées dans une unité non agréée par l’UE.</w:t>
      </w:r>
    </w:p>
    <w:p>
      <w:pPr>
        <w:pStyle w:val="Point1"/>
        <w:keepNext/>
        <w:spacing w:before="0"/>
        <w:ind w:left="709" w:hanging="709"/>
        <w:rPr>
          <w:noProof/>
          <w:sz w:val="20"/>
          <w:szCs w:val="20"/>
        </w:rPr>
      </w:pPr>
      <w:r>
        <w:rPr>
          <w:noProof/>
          <w:sz w:val="20"/>
          <w:vertAlign w:val="superscript"/>
        </w:rPr>
        <w:t>**</w:t>
      </w:r>
      <w:r>
        <w:rPr>
          <w:noProof/>
        </w:rPr>
        <w:tab/>
      </w:r>
      <w:r>
        <w:rPr>
          <w:noProof/>
          <w:sz w:val="20"/>
        </w:rPr>
        <w:t>Les échantillons se sont révélés irradiés. Les produits irradiés n’étaient pas étiquetés. L’indication de traitement ne figurait pas sur les documents accompagnant les denrées alimentaires irradiées ou s’y référant, de sorte qu’il était difficile de dire si le produit avait été irradié dans une unité agréée par l’UE.</w:t>
      </w:r>
    </w:p>
    <w:p>
      <w:pPr>
        <w:pStyle w:val="Point1"/>
        <w:keepNext/>
        <w:keepLines/>
        <w:ind w:left="1276" w:hanging="709"/>
        <w:rPr>
          <w:b/>
          <w:noProof/>
        </w:rPr>
      </w:pPr>
      <w:r>
        <w:rPr>
          <w:b/>
          <w:noProof/>
        </w:rPr>
        <w:t>4.5.</w:t>
      </w:r>
      <w:r>
        <w:rPr>
          <w:noProof/>
        </w:rPr>
        <w:tab/>
      </w:r>
      <w:r>
        <w:rPr>
          <w:b/>
          <w:noProof/>
        </w:rPr>
        <w:t>Danemark</w:t>
      </w:r>
    </w:p>
    <w:p>
      <w:pPr>
        <w:pStyle w:val="Text2"/>
        <w:keepNext/>
        <w:keepLines/>
        <w:spacing w:before="120" w:after="120"/>
        <w:ind w:left="1276"/>
        <w:rPr>
          <w:noProof/>
        </w:rPr>
      </w:pPr>
      <w:r>
        <w:rPr>
          <w:noProof/>
        </w:rPr>
        <w:t>Aucun contrôle n’a été effectué au stade de la commercialisation des produits en 2014.</w:t>
      </w:r>
    </w:p>
    <w:p>
      <w:pPr>
        <w:pStyle w:val="Point1"/>
        <w:spacing w:before="40" w:after="40"/>
        <w:ind w:left="1276" w:hanging="709"/>
        <w:rPr>
          <w:b/>
          <w:noProof/>
          <w:highlight w:val="yellow"/>
        </w:rPr>
      </w:pPr>
      <w:r>
        <w:rPr>
          <w:b/>
          <w:noProof/>
        </w:rPr>
        <w:t>4.6.</w:t>
      </w:r>
      <w:r>
        <w:rPr>
          <w:noProof/>
        </w:rPr>
        <w:tab/>
      </w:r>
      <w:r>
        <w:rPr>
          <w:b/>
          <w:noProof/>
        </w:rPr>
        <w:t>Allemagne. Nombre d’échantillons: 3 214</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2148"/>
        <w:gridCol w:w="1270"/>
        <w:gridCol w:w="1376"/>
        <w:gridCol w:w="1170"/>
        <w:gridCol w:w="1099"/>
      </w:tblGrid>
      <w:tr>
        <w:trPr>
          <w:trHeight w:val="174"/>
        </w:trPr>
        <w:tc>
          <w:tcPr>
            <w:tcW w:w="1741" w:type="dxa"/>
            <w:shd w:val="clear" w:color="auto" w:fill="auto"/>
            <w:vAlign w:val="center"/>
            <w:hideMark/>
          </w:tcPr>
          <w:p>
            <w:pPr>
              <w:spacing w:before="40" w:after="40"/>
              <w:jc w:val="center"/>
              <w:rPr>
                <w:b/>
                <w:bCs/>
                <w:noProof/>
                <w:sz w:val="20"/>
              </w:rPr>
            </w:pPr>
          </w:p>
        </w:tc>
        <w:tc>
          <w:tcPr>
            <w:tcW w:w="2148" w:type="dxa"/>
            <w:shd w:val="clear" w:color="auto" w:fill="auto"/>
            <w:vAlign w:val="center"/>
            <w:hideMark/>
          </w:tcPr>
          <w:p>
            <w:pPr>
              <w:spacing w:before="40" w:after="40"/>
              <w:jc w:val="center"/>
              <w:rPr>
                <w:b/>
                <w:bCs/>
                <w:noProof/>
                <w:sz w:val="20"/>
              </w:rPr>
            </w:pPr>
          </w:p>
        </w:tc>
        <w:tc>
          <w:tcPr>
            <w:tcW w:w="3816" w:type="dxa"/>
            <w:gridSpan w:val="3"/>
            <w:shd w:val="clear" w:color="auto" w:fill="auto"/>
            <w:vAlign w:val="center"/>
            <w:hideMark/>
          </w:tcPr>
          <w:p>
            <w:pPr>
              <w:spacing w:before="40" w:after="40"/>
              <w:jc w:val="center"/>
              <w:rPr>
                <w:b/>
                <w:bCs/>
                <w:noProof/>
                <w:sz w:val="20"/>
              </w:rPr>
            </w:pPr>
            <w:r>
              <w:rPr>
                <w:b/>
                <w:noProof/>
                <w:sz w:val="20"/>
              </w:rPr>
              <w:t>Nombre d’échantillons: 3 214</w:t>
            </w:r>
          </w:p>
        </w:tc>
        <w:tc>
          <w:tcPr>
            <w:tcW w:w="1099" w:type="dxa"/>
            <w:shd w:val="clear" w:color="auto" w:fill="auto"/>
            <w:vAlign w:val="center"/>
            <w:hideMark/>
          </w:tcPr>
          <w:p>
            <w:pPr>
              <w:spacing w:before="40" w:after="40"/>
              <w:jc w:val="center"/>
              <w:rPr>
                <w:b/>
                <w:bCs/>
                <w:noProof/>
                <w:sz w:val="20"/>
              </w:rPr>
            </w:pPr>
          </w:p>
        </w:tc>
      </w:tr>
      <w:tr>
        <w:trPr>
          <w:trHeight w:val="378"/>
        </w:trPr>
        <w:tc>
          <w:tcPr>
            <w:tcW w:w="1741" w:type="dxa"/>
            <w:shd w:val="clear" w:color="auto" w:fill="auto"/>
            <w:vAlign w:val="center"/>
            <w:hideMark/>
          </w:tcPr>
          <w:p>
            <w:pPr>
              <w:spacing w:before="40" w:after="40"/>
              <w:jc w:val="center"/>
              <w:rPr>
                <w:b/>
                <w:bCs/>
                <w:noProof/>
                <w:sz w:val="20"/>
              </w:rPr>
            </w:pPr>
            <w:r>
              <w:rPr>
                <w:b/>
                <w:noProof/>
                <w:sz w:val="20"/>
              </w:rPr>
              <w:t>Catégorie de denrées alimentaires</w:t>
            </w:r>
          </w:p>
        </w:tc>
        <w:tc>
          <w:tcPr>
            <w:tcW w:w="2148" w:type="dxa"/>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70" w:type="dxa"/>
            <w:shd w:val="clear" w:color="auto" w:fill="auto"/>
            <w:vAlign w:val="center"/>
            <w:hideMark/>
          </w:tcPr>
          <w:p>
            <w:pPr>
              <w:spacing w:before="40" w:after="40"/>
              <w:jc w:val="center"/>
              <w:rPr>
                <w:b/>
                <w:bCs/>
                <w:noProof/>
                <w:sz w:val="20"/>
              </w:rPr>
            </w:pPr>
            <w:r>
              <w:rPr>
                <w:b/>
                <w:noProof/>
                <w:sz w:val="20"/>
              </w:rPr>
              <w:t>Conformes</w:t>
            </w:r>
          </w:p>
        </w:tc>
        <w:tc>
          <w:tcPr>
            <w:tcW w:w="1376" w:type="dxa"/>
            <w:shd w:val="clear" w:color="auto" w:fill="auto"/>
            <w:vAlign w:val="center"/>
            <w:hideMark/>
          </w:tcPr>
          <w:p>
            <w:pPr>
              <w:spacing w:before="40" w:after="40"/>
              <w:jc w:val="center"/>
              <w:rPr>
                <w:b/>
                <w:bCs/>
                <w:noProof/>
                <w:sz w:val="20"/>
              </w:rPr>
            </w:pPr>
            <w:r>
              <w:rPr>
                <w:b/>
                <w:noProof/>
                <w:sz w:val="20"/>
              </w:rPr>
              <w:t>Non probants</w:t>
            </w:r>
          </w:p>
        </w:tc>
        <w:tc>
          <w:tcPr>
            <w:tcW w:w="1170" w:type="dxa"/>
            <w:shd w:val="clear" w:color="auto" w:fill="auto"/>
            <w:vAlign w:val="center"/>
            <w:hideMark/>
          </w:tcPr>
          <w:p>
            <w:pPr>
              <w:spacing w:before="40" w:after="40"/>
              <w:jc w:val="center"/>
              <w:rPr>
                <w:b/>
                <w:bCs/>
                <w:noProof/>
                <w:sz w:val="20"/>
              </w:rPr>
            </w:pPr>
            <w:r>
              <w:rPr>
                <w:b/>
                <w:noProof/>
                <w:sz w:val="20"/>
              </w:rPr>
              <w:t>Non conformes</w:t>
            </w:r>
          </w:p>
        </w:tc>
        <w:tc>
          <w:tcPr>
            <w:tcW w:w="1099" w:type="dxa"/>
            <w:shd w:val="clear" w:color="auto" w:fill="auto"/>
            <w:vAlign w:val="center"/>
            <w:hideMark/>
          </w:tcPr>
          <w:p>
            <w:pPr>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fruits et leurs produits dérivés</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Produits céréaliers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Fruits (séchés)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Fruits (frais)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Champignons (frais)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Champignons et produits à base de champignons (séchés)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155</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Pommes de terre</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Légumineuses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Légumes et produits végétaux (séchés)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42</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Légumes (frais)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crustacés, coquillages et leurs produits dérivés</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Crustacés, coquillages, moules et autres animaux aquatiques (y compris leurs produits dérivés)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et produits à base de poisson</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et fruits de mer (séchés)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16</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Fines herbes et épices</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Herbes aromatiques, épices et condiments végétaux (séchés)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1 228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Autres (condiments)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229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Thé</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182</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1785;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et produits à base de viande</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(sauf volaille et gibier)</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(de différents oiseaux, de kangourou, de lièvre)</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Produits à base de viande (sauf charcuteries)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40</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Autres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Charcuterie</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Lait et produits laitiers</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Beurre (aux fines herbes)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Fromage (contenant des épices/des fines herbes)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48</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Fromage (préparations sans fines herbes ni épices)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27</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Lait et produits laitiers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1741"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Autres</w:t>
            </w: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Compléments alimentaires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139</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Plats (préparés)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 EN 1788;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 xml:space="preserve">Autres </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 EN 1788; EN 1787; 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741"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p>
        </w:tc>
        <w:tc>
          <w:tcPr>
            <w:tcW w:w="2148"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Sauces et soupes (déshydratées)</w:t>
            </w:r>
          </w:p>
        </w:tc>
        <w:tc>
          <w:tcPr>
            <w:tcW w:w="12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204</w:t>
            </w:r>
          </w:p>
        </w:tc>
        <w:tc>
          <w:tcPr>
            <w:tcW w:w="13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17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r>
              <w:rPr>
                <w:noProof/>
                <w:sz w:val="20"/>
                <w:vertAlign w:val="superscript"/>
              </w:rPr>
              <w:t>*</w:t>
            </w:r>
          </w:p>
        </w:tc>
        <w:tc>
          <w:tcPr>
            <w:tcW w:w="1099"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 EN 13751</w:t>
            </w:r>
          </w:p>
        </w:tc>
      </w:tr>
      <w:tr>
        <w:tblPrEx>
          <w:tblCellMar>
            <w:left w:w="0" w:type="dxa"/>
            <w:right w:w="0" w:type="dxa"/>
          </w:tblCellMar>
        </w:tblPrEx>
        <w:trPr>
          <w:trHeight w:val="240"/>
        </w:trPr>
        <w:tc>
          <w:tcPr>
            <w:tcW w:w="3889"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127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3 179</w:t>
            </w:r>
          </w:p>
        </w:tc>
        <w:tc>
          <w:tcPr>
            <w:tcW w:w="1376"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13</w:t>
            </w:r>
          </w:p>
        </w:tc>
        <w:tc>
          <w:tcPr>
            <w:tcW w:w="1170" w:type="dxa"/>
            <w:tcBorders>
              <w:top w:val="single" w:sz="4" w:space="0" w:color="auto"/>
            </w:tcBorders>
            <w:shd w:val="clear" w:color="auto" w:fill="auto"/>
            <w:noWrap/>
            <w:vAlign w:val="center"/>
            <w:hideMark/>
          </w:tcPr>
          <w:p>
            <w:pPr>
              <w:spacing w:before="40" w:after="40"/>
              <w:jc w:val="center"/>
              <w:rPr>
                <w:b/>
                <w:bCs/>
                <w:noProof/>
                <w:sz w:val="20"/>
              </w:rPr>
            </w:pPr>
            <w:r>
              <w:rPr>
                <w:b/>
                <w:noProof/>
                <w:sz w:val="20"/>
              </w:rPr>
              <w:t>22</w:t>
            </w:r>
          </w:p>
        </w:tc>
        <w:tc>
          <w:tcPr>
            <w:tcW w:w="1099" w:type="dxa"/>
            <w:tcBorders>
              <w:top w:val="single" w:sz="4" w:space="0" w:color="auto"/>
            </w:tcBorders>
            <w:shd w:val="clear" w:color="auto" w:fill="auto"/>
            <w:noWrap/>
            <w:vAlign w:val="center"/>
            <w:hideMark/>
          </w:tcPr>
          <w:p>
            <w:pPr>
              <w:spacing w:before="40" w:after="40"/>
              <w:jc w:val="center"/>
              <w:rPr>
                <w:noProof/>
                <w:sz w:val="20"/>
              </w:rPr>
            </w:pPr>
          </w:p>
        </w:tc>
      </w:tr>
      <w:tr>
        <w:trPr>
          <w:trHeight w:val="218"/>
        </w:trPr>
        <w:tc>
          <w:tcPr>
            <w:tcW w:w="3889" w:type="dxa"/>
            <w:gridSpan w:val="2"/>
            <w:shd w:val="clear" w:color="auto" w:fill="auto"/>
            <w:noWrap/>
            <w:vAlign w:val="center"/>
            <w:hideMark/>
          </w:tcPr>
          <w:p>
            <w:pPr>
              <w:spacing w:before="40" w:after="40"/>
              <w:jc w:val="right"/>
              <w:rPr>
                <w:b/>
                <w:bCs/>
                <w:noProof/>
                <w:sz w:val="20"/>
              </w:rPr>
            </w:pPr>
            <w:r>
              <w:rPr>
                <w:b/>
                <w:noProof/>
                <w:sz w:val="20"/>
              </w:rPr>
              <w:t>Total en % des échantillons analysés</w:t>
            </w:r>
          </w:p>
        </w:tc>
        <w:tc>
          <w:tcPr>
            <w:tcW w:w="1270" w:type="dxa"/>
            <w:shd w:val="clear" w:color="auto" w:fill="auto"/>
            <w:noWrap/>
            <w:vAlign w:val="center"/>
          </w:tcPr>
          <w:p>
            <w:pPr>
              <w:spacing w:before="40" w:after="40"/>
              <w:jc w:val="center"/>
              <w:rPr>
                <w:b/>
                <w:bCs/>
                <w:noProof/>
                <w:sz w:val="20"/>
              </w:rPr>
            </w:pPr>
            <w:r>
              <w:rPr>
                <w:b/>
                <w:noProof/>
                <w:sz w:val="20"/>
              </w:rPr>
              <w:t>98,9 %</w:t>
            </w:r>
          </w:p>
        </w:tc>
        <w:tc>
          <w:tcPr>
            <w:tcW w:w="1376" w:type="dxa"/>
            <w:shd w:val="clear" w:color="auto" w:fill="auto"/>
            <w:noWrap/>
            <w:vAlign w:val="center"/>
          </w:tcPr>
          <w:p>
            <w:pPr>
              <w:spacing w:before="40" w:after="40"/>
              <w:jc w:val="center"/>
              <w:rPr>
                <w:b/>
                <w:bCs/>
                <w:noProof/>
                <w:sz w:val="20"/>
              </w:rPr>
            </w:pPr>
            <w:r>
              <w:rPr>
                <w:b/>
                <w:noProof/>
                <w:sz w:val="20"/>
              </w:rPr>
              <w:t>0,4 %</w:t>
            </w:r>
          </w:p>
        </w:tc>
        <w:tc>
          <w:tcPr>
            <w:tcW w:w="1170" w:type="dxa"/>
            <w:shd w:val="clear" w:color="auto" w:fill="auto"/>
            <w:noWrap/>
            <w:vAlign w:val="center"/>
          </w:tcPr>
          <w:p>
            <w:pPr>
              <w:spacing w:before="40" w:after="40"/>
              <w:jc w:val="center"/>
              <w:rPr>
                <w:b/>
                <w:bCs/>
                <w:noProof/>
                <w:sz w:val="20"/>
              </w:rPr>
            </w:pPr>
            <w:r>
              <w:rPr>
                <w:b/>
                <w:noProof/>
                <w:sz w:val="20"/>
              </w:rPr>
              <w:t>0,7 %</w:t>
            </w:r>
          </w:p>
        </w:tc>
        <w:tc>
          <w:tcPr>
            <w:tcW w:w="1099" w:type="dxa"/>
            <w:shd w:val="clear" w:color="auto" w:fill="auto"/>
            <w:noWrap/>
            <w:vAlign w:val="center"/>
            <w:hideMark/>
          </w:tcPr>
          <w:p>
            <w:pPr>
              <w:spacing w:before="40" w:after="40"/>
              <w:jc w:val="center"/>
              <w:rPr>
                <w:noProof/>
                <w:sz w:val="20"/>
              </w:rPr>
            </w:pPr>
          </w:p>
        </w:tc>
      </w:tr>
    </w:tbl>
    <w:p>
      <w:pPr>
        <w:pStyle w:val="Point1"/>
        <w:spacing w:after="0"/>
        <w:ind w:left="709" w:hanging="709"/>
        <w:rPr>
          <w:noProof/>
          <w:sz w:val="20"/>
        </w:rPr>
      </w:pPr>
      <w:r>
        <w:rPr>
          <w:noProof/>
          <w:sz w:val="20"/>
          <w:vertAlign w:val="superscript"/>
        </w:rPr>
        <w:t>*</w:t>
      </w:r>
      <w:r>
        <w:rPr>
          <w:noProof/>
        </w:rPr>
        <w:tab/>
      </w:r>
      <w:r>
        <w:rPr>
          <w:noProof/>
          <w:sz w:val="20"/>
        </w:rPr>
        <w:t>irradiation non autorisée</w:t>
      </w:r>
    </w:p>
    <w:p>
      <w:pPr>
        <w:pStyle w:val="Point1"/>
        <w:spacing w:before="0"/>
        <w:ind w:left="709" w:hanging="709"/>
        <w:rPr>
          <w:noProof/>
          <w:sz w:val="20"/>
        </w:rPr>
      </w:pPr>
      <w:r>
        <w:rPr>
          <w:noProof/>
          <w:sz w:val="20"/>
          <w:vertAlign w:val="superscript"/>
        </w:rPr>
        <w:t>**</w:t>
      </w:r>
      <w:r>
        <w:rPr>
          <w:noProof/>
        </w:rPr>
        <w:tab/>
      </w:r>
      <w:r>
        <w:rPr>
          <w:noProof/>
          <w:sz w:val="20"/>
        </w:rPr>
        <w:t>étiquetage erroné</w:t>
      </w:r>
    </w:p>
    <w:p>
      <w:pPr>
        <w:pStyle w:val="Point1"/>
        <w:keepNext/>
        <w:ind w:left="1276" w:hanging="709"/>
        <w:rPr>
          <w:b/>
          <w:noProof/>
        </w:rPr>
      </w:pPr>
      <w:r>
        <w:rPr>
          <w:b/>
          <w:noProof/>
        </w:rPr>
        <w:t>4.7.</w:t>
      </w:r>
      <w:r>
        <w:rPr>
          <w:noProof/>
        </w:rPr>
        <w:tab/>
      </w:r>
      <w:r>
        <w:rPr>
          <w:b/>
          <w:noProof/>
        </w:rPr>
        <w:t>Estonie</w:t>
      </w:r>
    </w:p>
    <w:p>
      <w:pPr>
        <w:pStyle w:val="Text2"/>
        <w:keepNext/>
        <w:keepLines/>
        <w:spacing w:before="120" w:after="120"/>
        <w:ind w:left="1276"/>
        <w:rPr>
          <w:noProof/>
        </w:rPr>
      </w:pPr>
      <w:r>
        <w:rPr>
          <w:noProof/>
        </w:rPr>
        <w:t>En raison de restrictions budgétaires, aucun contrôle n’a été effectué au stade de la commercialisation des produits en Estonie en 2014.</w:t>
      </w:r>
    </w:p>
    <w:p>
      <w:pPr>
        <w:pStyle w:val="Point1"/>
        <w:keepNext/>
        <w:ind w:left="1276" w:hanging="709"/>
        <w:rPr>
          <w:b/>
          <w:noProof/>
        </w:rPr>
      </w:pPr>
      <w:r>
        <w:rPr>
          <w:b/>
          <w:noProof/>
        </w:rPr>
        <w:t>4.8.</w:t>
      </w:r>
      <w:r>
        <w:rPr>
          <w:noProof/>
        </w:rPr>
        <w:tab/>
      </w:r>
      <w:r>
        <w:rPr>
          <w:b/>
          <w:noProof/>
        </w:rPr>
        <w:t>Irlande. Nombre d’échantillons: 81</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94"/>
        </w:trPr>
        <w:tc>
          <w:tcPr>
            <w:tcW w:w="1565" w:type="dxa"/>
            <w:shd w:val="clear" w:color="auto" w:fill="auto"/>
            <w:vAlign w:val="center"/>
            <w:hideMark/>
          </w:tcPr>
          <w:p>
            <w:pPr>
              <w:spacing w:before="40" w:after="40"/>
              <w:jc w:val="center"/>
              <w:rPr>
                <w:b/>
                <w:bCs/>
                <w:noProof/>
                <w:sz w:val="20"/>
              </w:rPr>
            </w:pPr>
          </w:p>
        </w:tc>
        <w:tc>
          <w:tcPr>
            <w:tcW w:w="2115" w:type="dxa"/>
            <w:shd w:val="clear" w:color="auto" w:fill="auto"/>
            <w:vAlign w:val="center"/>
            <w:hideMark/>
          </w:tcPr>
          <w:p>
            <w:pPr>
              <w:spacing w:before="40" w:after="40"/>
              <w:jc w:val="center"/>
              <w:rPr>
                <w:b/>
                <w:bCs/>
                <w:noProof/>
                <w:sz w:val="20"/>
              </w:rPr>
            </w:pPr>
          </w:p>
        </w:tc>
        <w:tc>
          <w:tcPr>
            <w:tcW w:w="3780" w:type="dxa"/>
            <w:gridSpan w:val="3"/>
            <w:shd w:val="clear" w:color="auto" w:fill="auto"/>
            <w:vAlign w:val="center"/>
            <w:hideMark/>
          </w:tcPr>
          <w:p>
            <w:pPr>
              <w:spacing w:before="40" w:after="40"/>
              <w:jc w:val="center"/>
              <w:rPr>
                <w:b/>
                <w:bCs/>
                <w:noProof/>
                <w:sz w:val="20"/>
              </w:rPr>
            </w:pPr>
            <w:r>
              <w:rPr>
                <w:b/>
                <w:noProof/>
                <w:sz w:val="20"/>
              </w:rPr>
              <w:t>Nombre d’échantillons: 81</w:t>
            </w:r>
          </w:p>
        </w:tc>
        <w:tc>
          <w:tcPr>
            <w:tcW w:w="1200" w:type="dxa"/>
            <w:shd w:val="clear" w:color="auto" w:fill="auto"/>
            <w:vAlign w:val="center"/>
            <w:hideMark/>
          </w:tcPr>
          <w:p>
            <w:pPr>
              <w:spacing w:before="40" w:after="40"/>
              <w:jc w:val="center"/>
              <w:rPr>
                <w:b/>
                <w:bCs/>
                <w:noProof/>
                <w:sz w:val="20"/>
              </w:rPr>
            </w:pPr>
          </w:p>
        </w:tc>
      </w:tr>
      <w:tr>
        <w:trPr>
          <w:trHeight w:val="553"/>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Catégorie de denrées alimentaires</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Conformes</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probants</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conformes</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Baies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et fruits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Graines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Denrées alimentaires destinées à une alimentation particulière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rPr>
          <w:trHeight w:val="240"/>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80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1</w:t>
            </w:r>
          </w:p>
        </w:tc>
        <w:tc>
          <w:tcPr>
            <w:tcW w:w="0" w:type="auto"/>
            <w:tcBorders>
              <w:top w:val="single" w:sz="4" w:space="0" w:color="auto"/>
            </w:tcBorders>
            <w:shd w:val="clear" w:color="auto" w:fill="auto"/>
            <w:noWrap/>
            <w:vAlign w:val="center"/>
            <w:hideMark/>
          </w:tcPr>
          <w:p>
            <w:pPr>
              <w:spacing w:before="40" w:after="40"/>
              <w:jc w:val="center"/>
              <w:rPr>
                <w:noProof/>
                <w:sz w:val="20"/>
              </w:rPr>
            </w:pPr>
          </w:p>
        </w:tc>
      </w:tr>
      <w:tr>
        <w:trPr>
          <w:trHeight w:val="160"/>
        </w:trPr>
        <w:tc>
          <w:tcPr>
            <w:tcW w:w="0" w:type="auto"/>
            <w:gridSpan w:val="2"/>
            <w:shd w:val="clear" w:color="auto" w:fill="auto"/>
            <w:noWrap/>
            <w:vAlign w:val="center"/>
            <w:hideMark/>
          </w:tcPr>
          <w:p>
            <w:pPr>
              <w:spacing w:before="40" w:after="40"/>
              <w:jc w:val="right"/>
              <w:rPr>
                <w:b/>
                <w:bCs/>
                <w:noProof/>
                <w:sz w:val="20"/>
              </w:rPr>
            </w:pPr>
            <w:r>
              <w:rPr>
                <w:b/>
                <w:noProof/>
                <w:sz w:val="20"/>
              </w:rPr>
              <w:t>Total en % des échantillons analysés</w:t>
            </w:r>
          </w:p>
        </w:tc>
        <w:tc>
          <w:tcPr>
            <w:tcW w:w="0" w:type="auto"/>
            <w:shd w:val="clear" w:color="auto" w:fill="auto"/>
            <w:noWrap/>
            <w:vAlign w:val="center"/>
            <w:hideMark/>
          </w:tcPr>
          <w:p>
            <w:pPr>
              <w:spacing w:before="40" w:after="40"/>
              <w:jc w:val="center"/>
              <w:rPr>
                <w:b/>
                <w:bCs/>
                <w:noProof/>
                <w:sz w:val="20"/>
              </w:rPr>
            </w:pPr>
            <w:r>
              <w:rPr>
                <w:b/>
                <w:noProof/>
                <w:sz w:val="20"/>
              </w:rPr>
              <w:t>98,8 %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1,2 %</w:t>
            </w:r>
          </w:p>
        </w:tc>
        <w:tc>
          <w:tcPr>
            <w:tcW w:w="0" w:type="auto"/>
            <w:shd w:val="clear" w:color="auto" w:fill="auto"/>
            <w:noWrap/>
            <w:vAlign w:val="center"/>
            <w:hideMark/>
          </w:tcPr>
          <w:p>
            <w:pPr>
              <w:spacing w:before="40" w:after="40"/>
              <w:jc w:val="center"/>
              <w:rPr>
                <w:noProof/>
                <w:sz w:val="20"/>
              </w:rPr>
            </w:pPr>
          </w:p>
        </w:tc>
      </w:tr>
    </w:tbl>
    <w:p>
      <w:pPr>
        <w:pStyle w:val="Point1"/>
        <w:ind w:left="709" w:hanging="709"/>
        <w:rPr>
          <w:noProof/>
          <w:sz w:val="20"/>
        </w:rPr>
      </w:pPr>
      <w:r>
        <w:rPr>
          <w:noProof/>
          <w:sz w:val="20"/>
          <w:vertAlign w:val="superscript"/>
        </w:rPr>
        <w:t>*</w:t>
      </w:r>
      <w:r>
        <w:rPr>
          <w:noProof/>
        </w:rPr>
        <w:tab/>
      </w:r>
      <w:r>
        <w:rPr>
          <w:noProof/>
          <w:sz w:val="20"/>
        </w:rPr>
        <w:t>étiquetage erroné</w:t>
      </w:r>
    </w:p>
    <w:p>
      <w:pPr>
        <w:pStyle w:val="Point1"/>
        <w:keepNext/>
        <w:ind w:left="1276" w:hanging="709"/>
        <w:rPr>
          <w:b/>
          <w:noProof/>
        </w:rPr>
      </w:pPr>
      <w:r>
        <w:rPr>
          <w:b/>
          <w:noProof/>
        </w:rPr>
        <w:t>4.9.</w:t>
      </w:r>
      <w:r>
        <w:rPr>
          <w:noProof/>
        </w:rPr>
        <w:tab/>
      </w:r>
      <w:r>
        <w:rPr>
          <w:b/>
          <w:noProof/>
        </w:rPr>
        <w:t>Grèce</w:t>
      </w:r>
    </w:p>
    <w:p>
      <w:pPr>
        <w:pStyle w:val="Text2"/>
        <w:keepNext/>
        <w:keepLines/>
        <w:spacing w:before="120" w:after="120"/>
        <w:ind w:left="1276"/>
        <w:rPr>
          <w:noProof/>
        </w:rPr>
      </w:pPr>
      <w:r>
        <w:rPr>
          <w:noProof/>
        </w:rPr>
        <w:t>Aucun contrôle n’a été effectué au stade de la commercialisation des produits en Grèce en 2014, compte tenu de l’absence de produits non conformes constatée lors des contrôles antérieurs. Un programme de contrôle de dix échantillons (de fines herbes et épices) a été prévu pour 2015.</w:t>
      </w:r>
    </w:p>
    <w:p>
      <w:pPr>
        <w:pStyle w:val="Point1"/>
        <w:keepNext/>
        <w:keepLines/>
        <w:ind w:left="1276" w:hanging="709"/>
        <w:rPr>
          <w:b/>
          <w:noProof/>
        </w:rPr>
      </w:pPr>
      <w:r>
        <w:rPr>
          <w:b/>
          <w:noProof/>
        </w:rPr>
        <w:t>4.10.</w:t>
      </w:r>
      <w:r>
        <w:rPr>
          <w:noProof/>
        </w:rPr>
        <w:tab/>
      </w:r>
      <w:r>
        <w:rPr>
          <w:b/>
          <w:noProof/>
        </w:rPr>
        <w:t>Espagne. Nombre d’échantillons: 204</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9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Nombre d’échantillons: 204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r>
      <w:tr>
        <w:trPr>
          <w:trHeight w:val="557"/>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Méthode CEN utilisée</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Champignons et produits à base de champignons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Fruits à coque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Graines oléagineuses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Légumes et produits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1787</w:t>
            </w:r>
            <w:r>
              <w:rPr>
                <w:noProof/>
                <w:sz w:val="20"/>
              </w:rPr>
              <w:br/>
              <w:t>EN 13751</w:t>
            </w:r>
          </w:p>
        </w:tc>
      </w:tr>
      <w:tr>
        <w:tblPrEx>
          <w:tblCellMar>
            <w:left w:w="70" w:type="dxa"/>
            <w:right w:w="70" w:type="dxa"/>
          </w:tblCellMar>
        </w:tblPrEx>
        <w:trPr>
          <w:trHeight w:val="111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crustacés, coquillages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Crustacés, coquillages, moules et autres animaux aquatiques (y compris leurs produits dérivés)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et produits à base de poisson</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Tisanes/infusions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Fines herbes et épices (fraîches)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r>
              <w:rPr>
                <w:noProof/>
                <w:sz w:val="20"/>
              </w:rPr>
              <w:br/>
              <w:t>EN 13751</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et produits à base de viande</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 de volaille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rPr>
          <w:trHeight w:val="20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204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sz w:val="20"/>
              </w:rPr>
            </w:pPr>
          </w:p>
        </w:tc>
      </w:tr>
      <w:tr>
        <w:trPr>
          <w:trHeight w:val="11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sz w:val="20"/>
              </w:rPr>
            </w:pPr>
          </w:p>
        </w:tc>
      </w:tr>
    </w:tbl>
    <w:p>
      <w:pPr>
        <w:pStyle w:val="Point1"/>
        <w:keepNext/>
        <w:keepLines/>
        <w:ind w:left="1276" w:hanging="709"/>
        <w:rPr>
          <w:b/>
          <w:noProof/>
        </w:rPr>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601" w:footer="1077" w:gutter="0"/>
          <w:cols w:space="720"/>
          <w:titlePg/>
        </w:sectPr>
      </w:pPr>
    </w:p>
    <w:p>
      <w:pPr>
        <w:pStyle w:val="Point1"/>
        <w:keepNext/>
        <w:keepLines/>
        <w:ind w:left="1276" w:hanging="709"/>
        <w:rPr>
          <w:b/>
          <w:noProof/>
        </w:rPr>
      </w:pPr>
      <w:r>
        <w:rPr>
          <w:b/>
          <w:noProof/>
        </w:rPr>
        <w:t>4.11.</w:t>
      </w:r>
      <w:r>
        <w:rPr>
          <w:noProof/>
        </w:rPr>
        <w:tab/>
      </w:r>
      <w:r>
        <w:rPr>
          <w:b/>
          <w:noProof/>
        </w:rPr>
        <w:t>France. Nombre d’échantillons: 178</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09"/>
        </w:trPr>
        <w:tc>
          <w:tcPr>
            <w:tcW w:w="1565" w:type="dxa"/>
            <w:shd w:val="clear" w:color="auto" w:fill="auto"/>
            <w:vAlign w:val="center"/>
            <w:hideMark/>
          </w:tcPr>
          <w:p>
            <w:pPr>
              <w:spacing w:before="40" w:after="40"/>
              <w:jc w:val="center"/>
              <w:rPr>
                <w:b/>
                <w:bCs/>
                <w:noProof/>
                <w:sz w:val="20"/>
              </w:rPr>
            </w:pPr>
          </w:p>
        </w:tc>
        <w:tc>
          <w:tcPr>
            <w:tcW w:w="2115" w:type="dxa"/>
            <w:shd w:val="clear" w:color="auto" w:fill="auto"/>
            <w:vAlign w:val="center"/>
            <w:hideMark/>
          </w:tcPr>
          <w:p>
            <w:pPr>
              <w:spacing w:before="40" w:after="40"/>
              <w:jc w:val="center"/>
              <w:rPr>
                <w:b/>
                <w:bCs/>
                <w:noProof/>
                <w:sz w:val="20"/>
              </w:rPr>
            </w:pPr>
          </w:p>
        </w:tc>
        <w:tc>
          <w:tcPr>
            <w:tcW w:w="3780" w:type="dxa"/>
            <w:gridSpan w:val="3"/>
            <w:shd w:val="clear" w:color="auto" w:fill="auto"/>
            <w:vAlign w:val="center"/>
            <w:hideMark/>
          </w:tcPr>
          <w:p>
            <w:pPr>
              <w:spacing w:before="40" w:after="40"/>
              <w:jc w:val="center"/>
              <w:rPr>
                <w:b/>
                <w:bCs/>
                <w:noProof/>
                <w:sz w:val="20"/>
              </w:rPr>
            </w:pPr>
            <w:r>
              <w:rPr>
                <w:b/>
                <w:noProof/>
                <w:sz w:val="20"/>
              </w:rPr>
              <w:t>Nombre d’échantillons: 178</w:t>
            </w:r>
          </w:p>
        </w:tc>
        <w:tc>
          <w:tcPr>
            <w:tcW w:w="1200" w:type="dxa"/>
            <w:shd w:val="clear" w:color="auto" w:fill="auto"/>
            <w:vAlign w:val="center"/>
            <w:hideMark/>
          </w:tcPr>
          <w:p>
            <w:pPr>
              <w:spacing w:before="40" w:after="40"/>
              <w:jc w:val="center"/>
              <w:rPr>
                <w:b/>
                <w:bCs/>
                <w:noProof/>
                <w:sz w:val="20"/>
              </w:rPr>
            </w:pPr>
          </w:p>
        </w:tc>
      </w:tr>
      <w:tr>
        <w:trPr>
          <w:trHeight w:val="413"/>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Catégorie de denrées alimentaires</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Conformes</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probants</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conformes</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Céréales, graines, légumes et fruits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 xml:space="preserve">Autres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1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crustacés, coquillages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Crustacés, coquillages, moules et autres animaux aquatiques (y compris leurs produits dérivés)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Poissons et produits à base de poisson</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et produits à base de viande</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Cuisses de grenouilles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rPr>
            </w:pPr>
            <w:r>
              <w:rPr>
                <w:noProof/>
                <w:sz w:val="20"/>
              </w:rPr>
              <w:t>Viandes et produits à base de viande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1784</w:t>
            </w:r>
          </w:p>
        </w:tc>
      </w:tr>
      <w:tr>
        <w:trPr>
          <w:trHeight w:val="184"/>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174</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4</w:t>
            </w:r>
          </w:p>
        </w:tc>
        <w:tc>
          <w:tcPr>
            <w:tcW w:w="0" w:type="auto"/>
            <w:tcBorders>
              <w:top w:val="single" w:sz="4" w:space="0" w:color="auto"/>
            </w:tcBorders>
            <w:shd w:val="clear" w:color="auto" w:fill="auto"/>
            <w:noWrap/>
            <w:vAlign w:val="center"/>
            <w:hideMark/>
          </w:tcPr>
          <w:p>
            <w:pPr>
              <w:spacing w:before="40" w:after="40"/>
              <w:rPr>
                <w:noProof/>
                <w:sz w:val="20"/>
              </w:rPr>
            </w:pPr>
          </w:p>
        </w:tc>
      </w:tr>
      <w:tr>
        <w:trPr>
          <w:trHeight w:val="216"/>
        </w:trPr>
        <w:tc>
          <w:tcPr>
            <w:tcW w:w="0" w:type="auto"/>
            <w:gridSpan w:val="2"/>
            <w:shd w:val="clear" w:color="auto" w:fill="auto"/>
            <w:noWrap/>
            <w:vAlign w:val="center"/>
            <w:hideMark/>
          </w:tcPr>
          <w:p>
            <w:pPr>
              <w:spacing w:before="40" w:after="40"/>
              <w:jc w:val="right"/>
              <w:rPr>
                <w:b/>
                <w:bCs/>
                <w:noProof/>
                <w:sz w:val="20"/>
              </w:rPr>
            </w:pPr>
            <w:r>
              <w:rPr>
                <w:b/>
                <w:noProof/>
                <w:sz w:val="20"/>
              </w:rPr>
              <w:t>Total en % des échantillons analysés</w:t>
            </w:r>
          </w:p>
        </w:tc>
        <w:tc>
          <w:tcPr>
            <w:tcW w:w="0" w:type="auto"/>
            <w:shd w:val="clear" w:color="auto" w:fill="auto"/>
            <w:noWrap/>
            <w:vAlign w:val="center"/>
            <w:hideMark/>
          </w:tcPr>
          <w:p>
            <w:pPr>
              <w:spacing w:before="40" w:after="40"/>
              <w:jc w:val="center"/>
              <w:rPr>
                <w:b/>
                <w:bCs/>
                <w:noProof/>
                <w:sz w:val="20"/>
              </w:rPr>
            </w:pPr>
            <w:r>
              <w:rPr>
                <w:b/>
                <w:noProof/>
                <w:sz w:val="20"/>
              </w:rPr>
              <w:t>97,8 %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2,2 %</w:t>
            </w:r>
          </w:p>
        </w:tc>
        <w:tc>
          <w:tcPr>
            <w:tcW w:w="0" w:type="auto"/>
            <w:shd w:val="clear" w:color="auto" w:fill="auto"/>
            <w:noWrap/>
            <w:vAlign w:val="center"/>
            <w:hideMark/>
          </w:tcPr>
          <w:p>
            <w:pPr>
              <w:spacing w:before="40" w:after="40"/>
              <w:rPr>
                <w:noProof/>
                <w:sz w:val="20"/>
              </w:rPr>
            </w:pPr>
          </w:p>
        </w:tc>
      </w:tr>
    </w:tbl>
    <w:p>
      <w:pPr>
        <w:spacing w:before="120" w:after="0"/>
        <w:ind w:left="425" w:hanging="425"/>
        <w:rPr>
          <w:noProof/>
          <w:sz w:val="20"/>
        </w:rPr>
      </w:pPr>
      <w:r>
        <w:rPr>
          <w:noProof/>
          <w:sz w:val="20"/>
          <w:vertAlign w:val="superscript"/>
        </w:rPr>
        <w:t>*</w:t>
      </w:r>
      <w:r>
        <w:rPr>
          <w:noProof/>
        </w:rPr>
        <w:tab/>
      </w:r>
      <w:r>
        <w:rPr>
          <w:noProof/>
          <w:sz w:val="20"/>
        </w:rPr>
        <w:t>irradiation non autorisée</w:t>
      </w:r>
    </w:p>
    <w:p>
      <w:pPr>
        <w:spacing w:after="120"/>
        <w:ind w:left="425" w:hanging="425"/>
        <w:rPr>
          <w:noProof/>
          <w:sz w:val="20"/>
        </w:rPr>
      </w:pPr>
      <w:r>
        <w:rPr>
          <w:noProof/>
          <w:sz w:val="20"/>
          <w:vertAlign w:val="superscript"/>
        </w:rPr>
        <w:t>**</w:t>
      </w:r>
      <w:r>
        <w:rPr>
          <w:noProof/>
        </w:rPr>
        <w:tab/>
      </w:r>
      <w:r>
        <w:rPr>
          <w:noProof/>
          <w:sz w:val="20"/>
        </w:rPr>
        <w:t>étiquetage erroné</w:t>
      </w:r>
    </w:p>
    <w:p>
      <w:pPr>
        <w:pStyle w:val="Point1"/>
        <w:keepNext/>
        <w:ind w:left="1276" w:hanging="709"/>
        <w:rPr>
          <w:b/>
          <w:noProof/>
        </w:rPr>
      </w:pPr>
      <w:r>
        <w:rPr>
          <w:b/>
          <w:noProof/>
        </w:rPr>
        <w:t>4.12.</w:t>
      </w:r>
      <w:r>
        <w:rPr>
          <w:noProof/>
        </w:rPr>
        <w:tab/>
      </w:r>
      <w:r>
        <w:rPr>
          <w:b/>
          <w:noProof/>
        </w:rPr>
        <w:t>Italie Nombre d’échantillons: 552</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2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Nombre d’échantillons: 552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p>
        </w:tc>
      </w:tr>
      <w:tr>
        <w:trPr>
          <w:trHeight w:val="45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rPr>
            </w:pPr>
            <w:r>
              <w:rPr>
                <w:b/>
                <w:noProof/>
                <w:sz w:val="20"/>
              </w:rPr>
              <w:t>Méthode CEN utilisée</w:t>
            </w:r>
          </w:p>
        </w:tc>
      </w:tr>
      <w:tr>
        <w:tblPrEx>
          <w:tblCellMar>
            <w:left w:w="70" w:type="dxa"/>
            <w:right w:w="70" w:type="dxa"/>
          </w:tblCellMar>
        </w:tblPrEx>
        <w:trPr>
          <w:trHeight w:val="132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Épices séchées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6</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13784</w:t>
            </w:r>
            <w:r>
              <w:rPr>
                <w:noProof/>
                <w:sz w:val="20"/>
              </w:rPr>
              <w:br/>
              <w:t>EN 1788</w:t>
            </w:r>
            <w:r>
              <w:rPr>
                <w:noProof/>
                <w:sz w:val="20"/>
              </w:rPr>
              <w:br/>
              <w:t>EN 13783</w:t>
            </w:r>
            <w:r>
              <w:rPr>
                <w:noProof/>
                <w:sz w:val="20"/>
              </w:rPr>
              <w:br/>
              <w:t>EN 1787</w:t>
            </w:r>
            <w:r>
              <w:rPr>
                <w:noProof/>
                <w:sz w:val="20"/>
              </w:rPr>
              <w:br/>
              <w:t>EN 13751</w:t>
            </w:r>
          </w:p>
        </w:tc>
      </w:tr>
      <w:tr>
        <w:tblPrEx>
          <w:tblCellMar>
            <w:left w:w="70" w:type="dxa"/>
            <w:right w:w="70" w:type="dxa"/>
          </w:tblCellMar>
        </w:tblPrEx>
        <w:trPr>
          <w:trHeight w:val="13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Tomates séchées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1788</w:t>
            </w:r>
            <w:r>
              <w:rPr>
                <w:noProof/>
                <w:sz w:val="20"/>
              </w:rPr>
              <w:br/>
              <w:t>EN 1787</w:t>
            </w:r>
          </w:p>
        </w:tc>
      </w:tr>
      <w:tr>
        <w:tblPrEx>
          <w:tblCellMar>
            <w:left w:w="70" w:type="dxa"/>
            <w:right w:w="70" w:type="dxa"/>
          </w:tblCellMar>
        </w:tblPrEx>
        <w:trPr>
          <w:trHeight w:val="42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(frais)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Aulx</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111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Champignons et produits à base de champignons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13708</w:t>
            </w:r>
            <w:r>
              <w:rPr>
                <w:noProof/>
                <w:sz w:val="20"/>
              </w:rPr>
              <w:b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à coque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r>
              <w:rPr>
                <w:noProof/>
                <w:sz w:val="20"/>
              </w:rPr>
              <w:br/>
              <w:t>EN 1787</w:t>
            </w:r>
            <w:r>
              <w:rPr>
                <w:noProof/>
                <w:sz w:val="20"/>
              </w:rPr>
              <w:br/>
              <w:t>EN 13751</w:t>
            </w:r>
          </w:p>
        </w:tc>
      </w:tr>
      <w:tr>
        <w:tblPrEx>
          <w:tblCellMar>
            <w:left w:w="70" w:type="dxa"/>
            <w:right w:w="70" w:type="dxa"/>
          </w:tblCellMar>
        </w:tblPrEx>
        <w:trPr>
          <w:trHeight w:val="24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Graines oléagineuses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1787</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Oignons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13783</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Autres (gingembre cristallisé, concentré de tomates, poudre de patate douce, farine de noisettes)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1788</w:t>
            </w:r>
          </w:p>
        </w:tc>
      </w:tr>
      <w:tr>
        <w:tblPrEx>
          <w:tblCellMar>
            <w:left w:w="70" w:type="dxa"/>
            <w:right w:w="70" w:type="dxa"/>
          </w:tblCellMar>
        </w:tblPrEx>
        <w:trPr>
          <w:trHeight w:val="19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Pommes de terre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31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Légumineuses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6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Riz</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292"/>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Graines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87"/>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Échalotes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13783</w:t>
            </w:r>
            <w:r>
              <w:rPr>
                <w:noProof/>
                <w:sz w:val="20"/>
              </w:rPr>
              <w:br/>
              <w:t>EN 1787</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Poissons, crustacés, coquillages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Mollusques bivalves (non spécifiés)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Céphalopodes (non spécifiés)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1788</w:t>
            </w:r>
          </w:p>
        </w:tc>
      </w:tr>
      <w:tr>
        <w:tblPrEx>
          <w:tblCellMar>
            <w:left w:w="70" w:type="dxa"/>
            <w:right w:w="70" w:type="dxa"/>
          </w:tblCellMar>
        </w:tblPrEx>
        <w:trPr>
          <w:trHeight w:val="32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465"/>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Crabes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13751</w:t>
            </w:r>
          </w:p>
        </w:tc>
      </w:tr>
      <w:tr>
        <w:tblPrEx>
          <w:tblCellMar>
            <w:left w:w="70" w:type="dxa"/>
            <w:right w:w="70" w:type="dxa"/>
          </w:tblCellMar>
        </w:tblPrEx>
        <w:trPr>
          <w:trHeight w:val="20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Écrevisses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Crustacés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1785</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Poissons et produits à base de poisson</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r>
              <w:rPr>
                <w:noProof/>
                <w:sz w:val="20"/>
              </w:rPr>
              <w:br/>
              <w:t>EN 13751</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Moules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1788</w:t>
            </w:r>
            <w:r>
              <w:rPr>
                <w:noProof/>
                <w:sz w:val="20"/>
              </w:rPr>
              <w:br/>
              <w:t>EN 13751</w:t>
            </w:r>
          </w:p>
        </w:tc>
      </w:tr>
      <w:tr>
        <w:tblPrEx>
          <w:tblCellMar>
            <w:left w:w="70" w:type="dxa"/>
            <w:right w:w="70" w:type="dxa"/>
          </w:tblCellMar>
        </w:tblPrEx>
        <w:trPr>
          <w:trHeight w:val="19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Calmars ou poulpes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0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49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Crevettes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36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Coquilles Saint-Jacques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Crevettes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1785</w:t>
            </w:r>
            <w:r>
              <w:rPr>
                <w:noProof/>
                <w:sz w:val="20"/>
              </w:rPr>
              <w:br/>
              <w:t>EN 13751</w:t>
            </w:r>
          </w:p>
        </w:tc>
      </w:tr>
      <w:tr>
        <w:tblPrEx>
          <w:tblCellMar>
            <w:left w:w="70" w:type="dxa"/>
            <w:right w:w="70" w:type="dxa"/>
          </w:tblCellMar>
        </w:tblPrEx>
        <w:trPr>
          <w:trHeight w:val="24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Calmars ou encornets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90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Viandes et produits à base de viande</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Cuisses de grenouilles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Viandes et produits à base de viande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Viandes (sauf volaille et gibier)</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Viandes, abats, produits de viande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1785</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Viande de volaille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44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13784</w:t>
            </w:r>
            <w:r>
              <w:rPr>
                <w:noProof/>
                <w:sz w:val="20"/>
              </w:rPr>
              <w:br/>
              <w:t>EN 1786</w:t>
            </w:r>
            <w:r>
              <w:rPr>
                <w:noProof/>
                <w:sz w:val="20"/>
              </w:rPr>
              <w:br/>
              <w:t>EN 1785</w:t>
            </w:r>
          </w:p>
        </w:tc>
      </w:tr>
      <w:tr>
        <w:tblPrEx>
          <w:tblCellMar>
            <w:left w:w="70" w:type="dxa"/>
            <w:right w:w="70" w:type="dxa"/>
          </w:tblCellMar>
        </w:tblPrEx>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Additif alimentaire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blPrEx>
          <w:tblCellMar>
            <w:left w:w="70" w:type="dxa"/>
            <w:right w:w="70" w:type="dxa"/>
          </w:tblCellMar>
        </w:tblPrEx>
        <w:trPr>
          <w:trHeight w:val="90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Matières premières d’origine végétale destinées à être utilisées comme ingrédient de complément alimentaire.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r>
              <w:rPr>
                <w:noProof/>
                <w:sz w:val="20"/>
              </w:rPr>
              <w:b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Sauces (préparées)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rPr>
            </w:pPr>
            <w:r>
              <w:rPr>
                <w:noProof/>
                <w:sz w:val="20"/>
              </w:rPr>
              <w:t>EN 1788</w:t>
            </w:r>
          </w:p>
        </w:tc>
      </w:tr>
      <w:tr>
        <w:trPr>
          <w:trHeight w:val="292"/>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533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sz w:val="20"/>
              </w:rPr>
            </w:pPr>
          </w:p>
        </w:tc>
      </w:tr>
      <w:tr>
        <w:trPr>
          <w:trHeight w:val="12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96,6 %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left"/>
              <w:rPr>
                <w:noProof/>
                <w:sz w:val="20"/>
              </w:rPr>
            </w:pPr>
          </w:p>
        </w:tc>
      </w:tr>
    </w:tbl>
    <w:p>
      <w:pPr>
        <w:pStyle w:val="Point1"/>
        <w:spacing w:after="0"/>
        <w:ind w:left="709" w:hanging="709"/>
        <w:rPr>
          <w:noProof/>
          <w:sz w:val="20"/>
        </w:rPr>
      </w:pPr>
      <w:r>
        <w:rPr>
          <w:noProof/>
          <w:sz w:val="20"/>
          <w:vertAlign w:val="superscript"/>
        </w:rPr>
        <w:t>*</w:t>
      </w:r>
      <w:r>
        <w:rPr>
          <w:noProof/>
        </w:rPr>
        <w:tab/>
      </w:r>
      <w:r>
        <w:rPr>
          <w:noProof/>
          <w:sz w:val="20"/>
        </w:rPr>
        <w:t>étiquetage erroné</w:t>
      </w:r>
    </w:p>
    <w:p>
      <w:pPr>
        <w:pStyle w:val="Point1"/>
        <w:spacing w:before="0" w:after="0"/>
        <w:ind w:left="709" w:hanging="709"/>
        <w:rPr>
          <w:noProof/>
          <w:sz w:val="20"/>
        </w:rPr>
      </w:pPr>
      <w:r>
        <w:rPr>
          <w:noProof/>
          <w:sz w:val="20"/>
          <w:vertAlign w:val="superscript"/>
        </w:rPr>
        <w:t>**</w:t>
      </w:r>
      <w:r>
        <w:rPr>
          <w:noProof/>
        </w:rPr>
        <w:tab/>
      </w:r>
      <w:r>
        <w:rPr>
          <w:noProof/>
          <w:sz w:val="20"/>
        </w:rPr>
        <w:t>étiquetage erroné et/ou irradiation non autorisée</w:t>
      </w:r>
    </w:p>
    <w:p>
      <w:pPr>
        <w:pStyle w:val="Point1"/>
        <w:spacing w:before="0"/>
        <w:ind w:left="709" w:hanging="709"/>
        <w:rPr>
          <w:noProof/>
          <w:sz w:val="20"/>
        </w:rPr>
      </w:pPr>
      <w:r>
        <w:rPr>
          <w:noProof/>
          <w:sz w:val="20"/>
          <w:vertAlign w:val="superscript"/>
        </w:rPr>
        <w:t>***</w:t>
      </w:r>
      <w:r>
        <w:rPr>
          <w:noProof/>
        </w:rPr>
        <w:tab/>
      </w:r>
      <w:r>
        <w:rPr>
          <w:noProof/>
          <w:sz w:val="20"/>
        </w:rPr>
        <w:t>étiquetage erroné et/ou irradiation dans des unités non agréées par l’UE</w:t>
      </w:r>
    </w:p>
    <w:p>
      <w:pPr>
        <w:pStyle w:val="Point1"/>
        <w:keepNext/>
        <w:ind w:left="1276" w:hanging="709"/>
        <w:rPr>
          <w:b/>
          <w:noProof/>
        </w:rPr>
      </w:pPr>
      <w:r>
        <w:rPr>
          <w:b/>
          <w:noProof/>
        </w:rPr>
        <w:t>4.13.</w:t>
      </w:r>
      <w:r>
        <w:rPr>
          <w:noProof/>
        </w:rPr>
        <w:tab/>
      </w:r>
      <w:r>
        <w:rPr>
          <w:b/>
          <w:noProof/>
        </w:rPr>
        <w:t>Chypre</w:t>
      </w:r>
    </w:p>
    <w:p>
      <w:pPr>
        <w:pStyle w:val="Text2"/>
        <w:keepNext/>
        <w:keepLines/>
        <w:spacing w:before="120" w:after="120"/>
        <w:ind w:left="1276"/>
        <w:rPr>
          <w:noProof/>
        </w:rPr>
      </w:pPr>
      <w:r>
        <w:rPr>
          <w:noProof/>
        </w:rPr>
        <w:t xml:space="preserve">En raison de l’absence de laboratoires effectuant des analyses de l’ionisation, aucun contrôle n’a été effectué au stade de la commercialisation des produits à Chypre en 2014. </w:t>
      </w:r>
    </w:p>
    <w:p>
      <w:pPr>
        <w:pStyle w:val="Point1"/>
        <w:keepNext/>
        <w:ind w:left="1276" w:hanging="709"/>
        <w:rPr>
          <w:b/>
          <w:noProof/>
        </w:rPr>
      </w:pPr>
      <w:r>
        <w:rPr>
          <w:b/>
          <w:noProof/>
        </w:rPr>
        <w:t>4.14.</w:t>
      </w:r>
      <w:r>
        <w:rPr>
          <w:noProof/>
        </w:rPr>
        <w:tab/>
      </w:r>
      <w:r>
        <w:rPr>
          <w:b/>
          <w:noProof/>
        </w:rPr>
        <w:t>Lettonie. Nombre d’échantillons: 14</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4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14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69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70" w:type="dxa"/>
            <w:right w:w="70" w:type="dxa"/>
          </w:tblCellMar>
        </w:tblPrEx>
        <w:trPr>
          <w:trHeight w:val="27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156"/>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85,7 %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14,3 %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irradiation non autorisée</w:t>
      </w:r>
    </w:p>
    <w:p>
      <w:pPr>
        <w:pStyle w:val="Point1"/>
        <w:keepNext/>
        <w:ind w:left="1276" w:hanging="709"/>
        <w:rPr>
          <w:b/>
          <w:noProof/>
        </w:rPr>
      </w:pPr>
      <w:r>
        <w:rPr>
          <w:b/>
          <w:noProof/>
        </w:rPr>
        <w:t>4.15.</w:t>
      </w:r>
      <w:r>
        <w:rPr>
          <w:noProof/>
        </w:rPr>
        <w:tab/>
      </w:r>
      <w:r>
        <w:rPr>
          <w:b/>
          <w:noProof/>
        </w:rPr>
        <w:t>Lituanie. Nombre d’échantillons: 59</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3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59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05"/>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blPrEx>
          <w:tblCellMar>
            <w:left w:w="70" w:type="dxa"/>
            <w:right w:w="70" w:type="dxa"/>
          </w:tblCellMar>
        </w:tblPrEx>
        <w:trPr>
          <w:trHeight w:val="27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13783</w:t>
            </w:r>
          </w:p>
        </w:tc>
      </w:tr>
      <w:tr>
        <w:trPr>
          <w:trHeight w:val="21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4.16.</w:t>
      </w:r>
      <w:r>
        <w:rPr>
          <w:noProof/>
        </w:rPr>
        <w:tab/>
      </w:r>
      <w:r>
        <w:rPr>
          <w:b/>
          <w:noProof/>
        </w:rPr>
        <w:t>Luxembourg. Nombre d’échantillons: 11</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47"/>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11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93"/>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rPr>
          <w:trHeight w:val="42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72,7 %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18,2 %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irradiation non autorisée</w:t>
      </w:r>
    </w:p>
    <w:p>
      <w:pPr>
        <w:pStyle w:val="Point1"/>
        <w:keepNext/>
        <w:keepLines/>
        <w:ind w:left="1276" w:hanging="709"/>
        <w:rPr>
          <w:b/>
          <w:noProof/>
        </w:rPr>
      </w:pPr>
      <w:r>
        <w:rPr>
          <w:b/>
          <w:noProof/>
        </w:rPr>
        <w:t>4.17.</w:t>
      </w:r>
      <w:r>
        <w:rPr>
          <w:noProof/>
        </w:rPr>
        <w:tab/>
      </w:r>
      <w:r>
        <w:rPr>
          <w:b/>
          <w:noProof/>
        </w:rPr>
        <w:t>Hongrie. Nombre d’échantillons: 128</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6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128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89"/>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rPr>
          <w:trHeight w:val="69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125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3</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noProof/>
                <w:sz w:val="20"/>
                <w:szCs w:val="18"/>
              </w:rPr>
            </w:pPr>
            <w:r>
              <w:rPr>
                <w:noProof/>
                <w:sz w:val="20"/>
              </w:rPr>
              <w:t>EN 1788</w:t>
            </w: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97,7 %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2,3 %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étiquetage erroné</w:t>
      </w:r>
    </w:p>
    <w:p>
      <w:pPr>
        <w:pStyle w:val="Point1"/>
        <w:keepNext/>
        <w:keepLines/>
        <w:ind w:left="1276" w:hanging="709"/>
        <w:rPr>
          <w:b/>
          <w:noProof/>
        </w:rPr>
      </w:pPr>
      <w:r>
        <w:rPr>
          <w:b/>
          <w:noProof/>
        </w:rPr>
        <w:t>4.18.</w:t>
      </w:r>
      <w:r>
        <w:rPr>
          <w:noProof/>
        </w:rPr>
        <w:tab/>
      </w:r>
      <w:r>
        <w:rPr>
          <w:b/>
          <w:noProof/>
        </w:rPr>
        <w:t>Malte. Nombre d’échantillons: 30</w:t>
      </w:r>
    </w:p>
    <w:tbl>
      <w:tblPr>
        <w:tblW w:w="8647" w:type="dxa"/>
        <w:tblInd w:w="5" w:type="dxa"/>
        <w:tblCellMar>
          <w:left w:w="0" w:type="dxa"/>
          <w:right w:w="0" w:type="dxa"/>
        </w:tblCellMar>
        <w:tblLook w:val="04A0" w:firstRow="1" w:lastRow="0" w:firstColumn="1" w:lastColumn="0" w:noHBand="0" w:noVBand="1"/>
      </w:tblPr>
      <w:tblGrid>
        <w:gridCol w:w="1560"/>
        <w:gridCol w:w="2126"/>
        <w:gridCol w:w="1276"/>
        <w:gridCol w:w="1275"/>
        <w:gridCol w:w="1276"/>
        <w:gridCol w:w="1134"/>
      </w:tblGrid>
      <w:tr>
        <w:trPr>
          <w:trHeight w:val="16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89"/>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69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Céréales, graines, légumes, fruits et leurs produits dérivés</w:t>
            </w:r>
          </w:p>
        </w:tc>
        <w:tc>
          <w:tcPr>
            <w:tcW w:w="212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Légumes et produits végétaux (séchés)</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Fines herbes et épices</w:t>
            </w:r>
          </w:p>
        </w:tc>
        <w:tc>
          <w:tcPr>
            <w:tcW w:w="212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Herbes aromatiques, épices et condiments végétaux (séchés)</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21</w:t>
            </w: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r>
              <w:rPr>
                <w:noProof/>
                <w:sz w:val="20"/>
                <w:vertAlign w:val="superscript"/>
              </w:rPr>
              <w:t>*</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36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73,3 %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13,3 %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étiquetage erroné</w:t>
      </w:r>
    </w:p>
    <w:p>
      <w:pPr>
        <w:pStyle w:val="Point1"/>
        <w:keepNext/>
        <w:ind w:left="1276" w:hanging="709"/>
        <w:rPr>
          <w:b/>
          <w:noProof/>
        </w:rPr>
      </w:pPr>
      <w:r>
        <w:rPr>
          <w:b/>
          <w:noProof/>
        </w:rPr>
        <w:t>4.19.</w:t>
      </w:r>
      <w:r>
        <w:rPr>
          <w:noProof/>
        </w:rPr>
        <w:tab/>
      </w:r>
      <w:r>
        <w:rPr>
          <w:b/>
          <w:noProof/>
        </w:rPr>
        <w:t>Pays-Bas. Nombre d’échantillons: 88</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46"/>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88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91"/>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left"/>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329"/>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563"/>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Grains de céréales et produits céréaliers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à coque et graines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Légumes et produits végétaux</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Poissons, crustacés, coquillages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Crevettes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216"/>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Produits de boulangerie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16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Gibier et volaille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Croûtons à potage etc.</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 xml:space="preserve">Denrées alimentaires spéciales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rPr>
          <w:trHeight w:val="204"/>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0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4.20.</w:t>
      </w:r>
      <w:r>
        <w:rPr>
          <w:noProof/>
        </w:rPr>
        <w:tab/>
      </w:r>
      <w:r>
        <w:rPr>
          <w:b/>
          <w:noProof/>
        </w:rPr>
        <w:t>Autriche. Nombre d’échantillons: 64</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6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64</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42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481"/>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13708</w:t>
            </w:r>
          </w:p>
        </w:tc>
      </w:tr>
      <w:tr>
        <w:tblPrEx>
          <w:tblCellMar>
            <w:left w:w="70" w:type="dxa"/>
            <w:right w:w="70" w:type="dxa"/>
          </w:tblCellMar>
        </w:tblPrEx>
        <w:trPr>
          <w:trHeight w:val="26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à coque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1787</w:t>
            </w:r>
          </w:p>
        </w:tc>
      </w:tr>
      <w:tr>
        <w:trPr>
          <w:trHeight w:val="25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sectPr>
          <w:headerReference w:type="even" r:id="rId30"/>
          <w:headerReference w:type="default" r:id="rId31"/>
          <w:footerReference w:type="even" r:id="rId32"/>
          <w:footerReference w:type="default" r:id="rId33"/>
          <w:headerReference w:type="first" r:id="rId34"/>
          <w:footerReference w:type="first" r:id="rId35"/>
          <w:pgSz w:w="11906" w:h="16838"/>
          <w:pgMar w:top="1020" w:right="1701" w:bottom="1020" w:left="1587" w:header="601" w:footer="1077" w:gutter="0"/>
          <w:cols w:space="720"/>
          <w:titlePg/>
        </w:sectPr>
      </w:pPr>
    </w:p>
    <w:p>
      <w:pPr>
        <w:pStyle w:val="Point1"/>
        <w:keepNext/>
        <w:ind w:left="1276" w:hanging="709"/>
        <w:rPr>
          <w:b/>
          <w:noProof/>
        </w:rPr>
      </w:pPr>
      <w:r>
        <w:rPr>
          <w:b/>
          <w:noProof/>
        </w:rPr>
        <w:t>4.21.</w:t>
      </w:r>
      <w:r>
        <w:rPr>
          <w:noProof/>
        </w:rPr>
        <w:tab/>
      </w:r>
      <w:r>
        <w:rPr>
          <w:b/>
          <w:noProof/>
        </w:rPr>
        <w:t>Pologne. Nombre d’échantillons: 377</w:t>
      </w:r>
    </w:p>
    <w:tbl>
      <w:tblPr>
        <w:tblW w:w="8716" w:type="dxa"/>
        <w:tblInd w:w="2" w:type="dxa"/>
        <w:tblCellMar>
          <w:left w:w="0" w:type="dxa"/>
          <w:right w:w="0" w:type="dxa"/>
        </w:tblCellMar>
        <w:tblLook w:val="04A0" w:firstRow="1" w:lastRow="0" w:firstColumn="1" w:lastColumn="0" w:noHBand="0" w:noVBand="1"/>
      </w:tblPr>
      <w:tblGrid>
        <w:gridCol w:w="1703"/>
        <w:gridCol w:w="1881"/>
        <w:gridCol w:w="1555"/>
        <w:gridCol w:w="1077"/>
        <w:gridCol w:w="1450"/>
        <w:gridCol w:w="1050"/>
      </w:tblGrid>
      <w:tr>
        <w:trPr>
          <w:trHeight w:val="252"/>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color w:val="000000"/>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color w:val="000000"/>
                <w:sz w:val="20"/>
                <w:szCs w:val="18"/>
              </w:rPr>
            </w:pPr>
          </w:p>
        </w:tc>
        <w:tc>
          <w:tcPr>
            <w:tcW w:w="40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color w:val="000000"/>
                <w:sz w:val="20"/>
                <w:szCs w:val="18"/>
              </w:rPr>
            </w:pPr>
            <w:r>
              <w:rPr>
                <w:b/>
                <w:noProof/>
                <w:color w:val="000000"/>
                <w:sz w:val="20"/>
              </w:rPr>
              <w:t>Nombre d’échantillons: 377</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color w:val="000000"/>
                <w:sz w:val="20"/>
                <w:szCs w:val="18"/>
              </w:rPr>
            </w:pPr>
          </w:p>
        </w:tc>
      </w:tr>
      <w:tr>
        <w:trPr>
          <w:trHeight w:val="411"/>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108" w:type="dxa"/>
            <w:right w:w="108" w:type="dxa"/>
          </w:tblCellMar>
        </w:tblPrEx>
        <w:trPr>
          <w:trHeight w:val="374"/>
        </w:trPr>
        <w:tc>
          <w:tcPr>
            <w:tcW w:w="1703"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Céréales, graines, légumes, fruits et leurs produits dérivés</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(séchés)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422"/>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(frais)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29"/>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(tropicaux)</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CellMar>
            <w:left w:w="108" w:type="dxa"/>
            <w:right w:w="108" w:type="dxa"/>
          </w:tblCellMar>
        </w:tblPrEx>
        <w:trPr>
          <w:trHeight w:val="30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Aulx</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38"/>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Champignons (frais)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84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Champignons et produits à base de champignons (séchés)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23"/>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Fruits à coque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1787</w:t>
            </w:r>
          </w:p>
        </w:tc>
      </w:tr>
      <w:tr>
        <w:tblPrEx>
          <w:tblCellMar>
            <w:left w:w="108" w:type="dxa"/>
            <w:right w:w="108" w:type="dxa"/>
          </w:tblCellMar>
        </w:tblPrEx>
        <w:trPr>
          <w:trHeight w:val="13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Oignons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6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Pommes de terre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64"/>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Légumineuses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40"/>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Légumes et produits végétaux (séchés)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77"/>
        </w:trPr>
        <w:tc>
          <w:tcPr>
            <w:tcW w:w="1703" w:type="dxa"/>
            <w:vMerge/>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Légumes (frais)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424"/>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Poissons, crustacés, coquillages et leurs produits dérivés</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Crustacés et mollusques (congelés)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1035"/>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Crustacés, coquillages, moules et autres animaux aquatiques (y compris leurs produits dérivés)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1786</w:t>
            </w:r>
          </w:p>
        </w:tc>
      </w:tr>
      <w:tr>
        <w:tblPrEx>
          <w:tblCellMar>
            <w:left w:w="108" w:type="dxa"/>
            <w:right w:w="108" w:type="dxa"/>
          </w:tblCellMar>
        </w:tblPrEx>
        <w:trPr>
          <w:trHeight w:val="348"/>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Poissons et produits à base de poisson</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10</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1786; EN 1788</w:t>
            </w:r>
          </w:p>
        </w:tc>
      </w:tr>
      <w:tr>
        <w:tblPrEx>
          <w:tblCellMar>
            <w:left w:w="108" w:type="dxa"/>
            <w:right w:w="108" w:type="dxa"/>
          </w:tblCellMar>
        </w:tblPrEx>
        <w:trPr>
          <w:trHeight w:val="202"/>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Crevettes et produits de grignotage (frits)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108" w:type="dxa"/>
            <w:right w:w="108" w:type="dxa"/>
          </w:tblCellMar>
        </w:tblPrEx>
        <w:trPr>
          <w:trHeight w:val="119"/>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Crevettes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95"/>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Fines herbes et épices</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Herbes aromatiques, épices et condiments végétaux (séchés)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Tisanes/infusions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313"/>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Autres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64"/>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Thé</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 et produits à base de viande</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 et produits à base de viande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64"/>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 (sauf volaille et gibier)</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645"/>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 (de différents oiseaux, de kangourou, de lièvre)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hideMark/>
          </w:tcPr>
          <w:p>
            <w:pPr>
              <w:keepNext/>
              <w:keepLines/>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rPr>
                <w:noProof/>
                <w:sz w:val="20"/>
                <w:szCs w:val="18"/>
              </w:rPr>
            </w:pPr>
            <w:r>
              <w:rPr>
                <w:noProof/>
                <w:sz w:val="20"/>
              </w:rPr>
              <w:t>Viandes, abats, produits de viande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1784; EN 1786</w:t>
            </w:r>
          </w:p>
        </w:tc>
      </w:tr>
      <w:tr>
        <w:tblPrEx>
          <w:tblCellMar>
            <w:left w:w="108" w:type="dxa"/>
            <w:right w:w="108" w:type="dxa"/>
          </w:tblCellMar>
        </w:tblPrEx>
        <w:trPr>
          <w:trHeight w:val="450"/>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Viande de volaille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 EN 1786</w:t>
            </w:r>
          </w:p>
        </w:tc>
      </w:tr>
      <w:tr>
        <w:tblPrEx>
          <w:tblCellMar>
            <w:left w:w="108" w:type="dxa"/>
            <w:right w:w="108" w:type="dxa"/>
          </w:tblCellMar>
        </w:tblPrEx>
        <w:trPr>
          <w:trHeight w:val="242"/>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Lait et produits laitiers</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Fromage (contenant des épices/des fines herbes)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95"/>
        </w:trPr>
        <w:tc>
          <w:tcPr>
            <w:tcW w:w="1703" w:type="dxa"/>
            <w:vMerge/>
            <w:tcBorders>
              <w:left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Fromage (frais)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28"/>
        </w:trPr>
        <w:tc>
          <w:tcPr>
            <w:tcW w:w="1703" w:type="dxa"/>
            <w:vMerge/>
            <w:tcBorders>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Fromage (affiné)</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55"/>
        </w:trPr>
        <w:tc>
          <w:tcPr>
            <w:tcW w:w="1703" w:type="dxa"/>
            <w:vMerge w:val="restart"/>
            <w:tcBorders>
              <w:top w:val="single" w:sz="4" w:space="0" w:color="auto"/>
              <w:left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Autres</w:t>
            </w: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Cacao</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88"/>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Denrées alimentaires destinées à une alimentation particulière</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38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Compléments alimentaires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17</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Plats (préparés)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255"/>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 xml:space="preserve">Autres </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 EN 13751</w:t>
            </w:r>
          </w:p>
        </w:tc>
      </w:tr>
      <w:tr>
        <w:tblPrEx>
          <w:tblCellMar>
            <w:left w:w="108" w:type="dxa"/>
            <w:right w:w="108" w:type="dxa"/>
          </w:tblCellMar>
        </w:tblPrEx>
        <w:trPr>
          <w:trHeight w:val="450"/>
        </w:trPr>
        <w:tc>
          <w:tcPr>
            <w:tcW w:w="1703" w:type="dxa"/>
            <w:vMerge/>
            <w:tcBorders>
              <w:left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Sauces et soupes (déshydratées)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19</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CellMar>
            <w:left w:w="108" w:type="dxa"/>
            <w:right w:w="108" w:type="dxa"/>
          </w:tblCellMar>
        </w:tblPrEx>
        <w:trPr>
          <w:trHeight w:val="312"/>
        </w:trPr>
        <w:tc>
          <w:tcPr>
            <w:tcW w:w="1703" w:type="dxa"/>
            <w:vMerge/>
            <w:tcBorders>
              <w:left w:val="single" w:sz="4" w:space="0" w:color="auto"/>
              <w:bottom w:val="single" w:sz="4" w:space="0" w:color="auto"/>
              <w:right w:val="single" w:sz="4" w:space="0" w:color="auto"/>
            </w:tcBorders>
            <w:shd w:val="clear" w:color="FFFFFF" w:fill="FFFFFF"/>
            <w:vAlign w:val="center"/>
          </w:tcPr>
          <w:p>
            <w:pPr>
              <w:spacing w:before="40" w:after="40"/>
              <w:rPr>
                <w:noProof/>
                <w:sz w:val="20"/>
                <w:szCs w:val="18"/>
              </w:rPr>
            </w:pPr>
          </w:p>
        </w:tc>
        <w:tc>
          <w:tcPr>
            <w:tcW w:w="188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rPr>
                <w:noProof/>
                <w:sz w:val="20"/>
                <w:szCs w:val="18"/>
              </w:rPr>
            </w:pPr>
            <w:r>
              <w:rPr>
                <w:noProof/>
                <w:sz w:val="20"/>
              </w:rPr>
              <w:t>Soupes</w:t>
            </w:r>
          </w:p>
        </w:tc>
        <w:tc>
          <w:tcPr>
            <w:tcW w:w="155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077"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4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0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rPr>
          <w:trHeight w:val="360"/>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color w:val="000000"/>
                <w:sz w:val="20"/>
                <w:szCs w:val="18"/>
              </w:rPr>
            </w:pPr>
            <w:r>
              <w:rPr>
                <w:b/>
                <w:noProof/>
                <w:color w:val="000000"/>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372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18"/>
              </w:rPr>
            </w:pPr>
            <w:r>
              <w:rPr>
                <w:b/>
                <w:noProof/>
                <w:color w:val="000000"/>
                <w:sz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18"/>
              </w:rPr>
            </w:pPr>
          </w:p>
        </w:tc>
      </w:tr>
      <w:tr>
        <w:trPr>
          <w:trHeight w:val="360"/>
        </w:trPr>
        <w:tc>
          <w:tcPr>
            <w:tcW w:w="35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color w:val="000000"/>
                <w:sz w:val="20"/>
                <w:szCs w:val="18"/>
              </w:rPr>
            </w:pPr>
            <w:r>
              <w:rPr>
                <w:b/>
                <w:noProof/>
                <w:color w:val="000000"/>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98,7 %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40" w:after="40"/>
              <w:jc w:val="center"/>
              <w:rPr>
                <w:b/>
                <w:bCs/>
                <w:noProof/>
                <w:color w:val="000000"/>
                <w:sz w:val="20"/>
                <w:szCs w:val="18"/>
              </w:rPr>
            </w:pPr>
            <w:r>
              <w:rPr>
                <w:b/>
                <w:noProof/>
                <w:color w:val="000000"/>
                <w:sz w:val="20"/>
              </w:rPr>
              <w:t>0,8 %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18"/>
              </w:rPr>
            </w:pPr>
          </w:p>
        </w:tc>
      </w:tr>
    </w:tbl>
    <w:p>
      <w:pPr>
        <w:pStyle w:val="Point1"/>
        <w:spacing w:after="0"/>
        <w:ind w:left="709" w:hanging="709"/>
        <w:rPr>
          <w:noProof/>
          <w:sz w:val="20"/>
        </w:rPr>
      </w:pPr>
      <w:r>
        <w:rPr>
          <w:noProof/>
          <w:sz w:val="20"/>
          <w:vertAlign w:val="superscript"/>
        </w:rPr>
        <w:t>*</w:t>
      </w:r>
      <w:r>
        <w:rPr>
          <w:noProof/>
        </w:rPr>
        <w:tab/>
      </w:r>
      <w:r>
        <w:rPr>
          <w:noProof/>
          <w:sz w:val="20"/>
        </w:rPr>
        <w:t>irradiation non autorisée</w:t>
      </w:r>
    </w:p>
    <w:p>
      <w:pPr>
        <w:pStyle w:val="Point1"/>
        <w:spacing w:before="0"/>
        <w:ind w:left="709" w:hanging="709"/>
        <w:rPr>
          <w:noProof/>
          <w:sz w:val="20"/>
        </w:rPr>
      </w:pPr>
      <w:r>
        <w:rPr>
          <w:noProof/>
          <w:sz w:val="20"/>
          <w:vertAlign w:val="superscript"/>
        </w:rPr>
        <w:t>**</w:t>
      </w:r>
      <w:r>
        <w:rPr>
          <w:noProof/>
        </w:rPr>
        <w:tab/>
      </w:r>
      <w:r>
        <w:rPr>
          <w:noProof/>
          <w:sz w:val="20"/>
        </w:rPr>
        <w:t>étiquetage erroné, irradiation non autorisée</w:t>
      </w:r>
    </w:p>
    <w:p>
      <w:pPr>
        <w:pStyle w:val="Point1"/>
        <w:keepNext/>
        <w:ind w:left="1276" w:hanging="709"/>
        <w:rPr>
          <w:b/>
          <w:noProof/>
        </w:rPr>
      </w:pPr>
      <w:r>
        <w:rPr>
          <w:b/>
          <w:noProof/>
        </w:rPr>
        <w:t>4.22.</w:t>
      </w:r>
      <w:r>
        <w:rPr>
          <w:noProof/>
        </w:rPr>
        <w:tab/>
      </w:r>
      <w:r>
        <w:rPr>
          <w:b/>
          <w:noProof/>
        </w:rPr>
        <w:t>Portugal. Nombre d’échantillons: 11</w:t>
      </w:r>
    </w:p>
    <w:tbl>
      <w:tblPr>
        <w:tblW w:w="87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
        <w:gridCol w:w="1721"/>
        <w:gridCol w:w="2061"/>
        <w:gridCol w:w="1261"/>
        <w:gridCol w:w="1250"/>
        <w:gridCol w:w="1223"/>
        <w:gridCol w:w="1172"/>
      </w:tblGrid>
      <w:tr>
        <w:trPr>
          <w:gridBefore w:val="1"/>
          <w:wBefore w:w="13" w:type="dxa"/>
          <w:trHeight w:val="122"/>
        </w:trPr>
        <w:tc>
          <w:tcPr>
            <w:tcW w:w="1721" w:type="dxa"/>
            <w:shd w:val="clear" w:color="auto" w:fill="auto"/>
            <w:vAlign w:val="center"/>
            <w:hideMark/>
          </w:tcPr>
          <w:p>
            <w:pPr>
              <w:spacing w:before="40" w:after="40"/>
              <w:rPr>
                <w:b/>
                <w:bCs/>
                <w:noProof/>
                <w:sz w:val="20"/>
                <w:szCs w:val="18"/>
              </w:rPr>
            </w:pPr>
          </w:p>
        </w:tc>
        <w:tc>
          <w:tcPr>
            <w:tcW w:w="2061" w:type="dxa"/>
            <w:shd w:val="clear" w:color="auto" w:fill="auto"/>
            <w:vAlign w:val="center"/>
            <w:hideMark/>
          </w:tcPr>
          <w:p>
            <w:pPr>
              <w:spacing w:before="40" w:after="40"/>
              <w:rPr>
                <w:b/>
                <w:bCs/>
                <w:noProof/>
                <w:sz w:val="20"/>
                <w:szCs w:val="18"/>
              </w:rPr>
            </w:pPr>
          </w:p>
        </w:tc>
        <w:tc>
          <w:tcPr>
            <w:tcW w:w="3734" w:type="dxa"/>
            <w:gridSpan w:val="3"/>
            <w:shd w:val="clear" w:color="auto" w:fill="auto"/>
            <w:vAlign w:val="center"/>
            <w:hideMark/>
          </w:tcPr>
          <w:p>
            <w:pPr>
              <w:spacing w:before="40" w:after="40"/>
              <w:jc w:val="center"/>
              <w:rPr>
                <w:b/>
                <w:bCs/>
                <w:noProof/>
                <w:sz w:val="20"/>
                <w:szCs w:val="18"/>
              </w:rPr>
            </w:pPr>
            <w:r>
              <w:rPr>
                <w:b/>
                <w:noProof/>
                <w:sz w:val="20"/>
              </w:rPr>
              <w:t>Nombre d’échantillons: 11</w:t>
            </w:r>
          </w:p>
        </w:tc>
        <w:tc>
          <w:tcPr>
            <w:tcW w:w="1172" w:type="dxa"/>
            <w:shd w:val="clear" w:color="auto" w:fill="auto"/>
            <w:vAlign w:val="center"/>
            <w:hideMark/>
          </w:tcPr>
          <w:p>
            <w:pPr>
              <w:spacing w:before="40" w:after="40"/>
              <w:jc w:val="center"/>
              <w:rPr>
                <w:b/>
                <w:bCs/>
                <w:noProof/>
                <w:sz w:val="20"/>
                <w:szCs w:val="18"/>
              </w:rPr>
            </w:pPr>
          </w:p>
        </w:tc>
      </w:tr>
      <w:tr>
        <w:trPr>
          <w:gridBefore w:val="1"/>
          <w:wBefore w:w="13" w:type="dxa"/>
          <w:trHeight w:val="311"/>
        </w:trPr>
        <w:tc>
          <w:tcPr>
            <w:tcW w:w="1721" w:type="dxa"/>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061" w:type="dxa"/>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61" w:type="dxa"/>
            <w:shd w:val="clear" w:color="auto" w:fill="auto"/>
            <w:vAlign w:val="center"/>
            <w:hideMark/>
          </w:tcPr>
          <w:p>
            <w:pPr>
              <w:spacing w:before="40" w:after="40"/>
              <w:jc w:val="center"/>
              <w:rPr>
                <w:b/>
                <w:bCs/>
                <w:noProof/>
                <w:sz w:val="20"/>
                <w:szCs w:val="18"/>
              </w:rPr>
            </w:pPr>
            <w:r>
              <w:rPr>
                <w:b/>
                <w:noProof/>
                <w:sz w:val="20"/>
              </w:rPr>
              <w:t>Conformes</w:t>
            </w:r>
          </w:p>
        </w:tc>
        <w:tc>
          <w:tcPr>
            <w:tcW w:w="1250" w:type="dxa"/>
            <w:shd w:val="clear" w:color="auto" w:fill="auto"/>
            <w:vAlign w:val="center"/>
            <w:hideMark/>
          </w:tcPr>
          <w:p>
            <w:pPr>
              <w:spacing w:before="40" w:after="40"/>
              <w:jc w:val="center"/>
              <w:rPr>
                <w:b/>
                <w:bCs/>
                <w:noProof/>
                <w:sz w:val="20"/>
                <w:szCs w:val="18"/>
              </w:rPr>
            </w:pPr>
            <w:r>
              <w:rPr>
                <w:b/>
                <w:noProof/>
                <w:sz w:val="20"/>
              </w:rPr>
              <w:t>Non probants</w:t>
            </w:r>
          </w:p>
        </w:tc>
        <w:tc>
          <w:tcPr>
            <w:tcW w:w="1223" w:type="dxa"/>
            <w:shd w:val="clear" w:color="auto" w:fill="auto"/>
            <w:vAlign w:val="center"/>
            <w:hideMark/>
          </w:tcPr>
          <w:p>
            <w:pPr>
              <w:spacing w:before="40" w:after="40"/>
              <w:jc w:val="center"/>
              <w:rPr>
                <w:b/>
                <w:bCs/>
                <w:noProof/>
                <w:sz w:val="20"/>
                <w:szCs w:val="18"/>
              </w:rPr>
            </w:pPr>
            <w:r>
              <w:rPr>
                <w:b/>
                <w:noProof/>
                <w:sz w:val="20"/>
              </w:rPr>
              <w:t>Non conformes</w:t>
            </w:r>
          </w:p>
        </w:tc>
        <w:tc>
          <w:tcPr>
            <w:tcW w:w="1172" w:type="dxa"/>
            <w:shd w:val="clear" w:color="auto" w:fill="auto"/>
            <w:vAlign w:val="center"/>
            <w:hideMark/>
          </w:tcPr>
          <w:p>
            <w:pPr>
              <w:spacing w:before="40" w:after="40"/>
              <w:jc w:val="center"/>
              <w:rPr>
                <w:b/>
                <w:bCs/>
                <w:noProof/>
                <w:sz w:val="20"/>
                <w:szCs w:val="18"/>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1734" w:type="dxa"/>
            <w:gridSpan w:val="2"/>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céréaliers</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15"/>
        </w:trPr>
        <w:tc>
          <w:tcPr>
            <w:tcW w:w="1734" w:type="dxa"/>
            <w:gridSpan w:val="2"/>
            <w:vMerge w:val="restart"/>
            <w:tcBorders>
              <w:top w:val="single" w:sz="4" w:space="0" w:color="auto"/>
              <w:left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1"/>
        </w:trPr>
        <w:tc>
          <w:tcPr>
            <w:tcW w:w="1734" w:type="dxa"/>
            <w:gridSpan w:val="2"/>
            <w:vMerge/>
            <w:tcBorders>
              <w:left w:val="single" w:sz="4" w:space="0" w:color="auto"/>
              <w:right w:val="single" w:sz="4" w:space="0" w:color="auto"/>
            </w:tcBorders>
            <w:shd w:val="clear" w:color="FFFFFF" w:fill="FFFFFF"/>
            <w:vAlign w:val="center"/>
          </w:tcPr>
          <w:p>
            <w:pPr>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Tisanes/infusions</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66"/>
        </w:trPr>
        <w:tc>
          <w:tcPr>
            <w:tcW w:w="1734" w:type="dxa"/>
            <w:gridSpan w:val="2"/>
            <w:vMerge/>
            <w:tcBorders>
              <w:left w:val="single" w:sz="4" w:space="0" w:color="auto"/>
              <w:bottom w:val="single" w:sz="4" w:space="0" w:color="auto"/>
              <w:right w:val="single" w:sz="4" w:space="0" w:color="auto"/>
            </w:tcBorders>
            <w:shd w:val="clear" w:color="FFFFFF" w:fill="FFFFFF"/>
            <w:vAlign w:val="center"/>
          </w:tcPr>
          <w:p>
            <w:pPr>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734" w:type="dxa"/>
            <w:gridSpan w:val="2"/>
            <w:vMerge w:val="restart"/>
            <w:tcBorders>
              <w:top w:val="single" w:sz="4" w:space="0" w:color="auto"/>
              <w:left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Autres</w:t>
            </w: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Compléments alimentaires</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55"/>
        </w:trPr>
        <w:tc>
          <w:tcPr>
            <w:tcW w:w="1734" w:type="dxa"/>
            <w:gridSpan w:val="2"/>
            <w:vMerge/>
            <w:tcBorders>
              <w:left w:val="single" w:sz="4" w:space="0" w:color="auto"/>
              <w:right w:val="single" w:sz="4" w:space="0" w:color="auto"/>
            </w:tcBorders>
            <w:shd w:val="clear" w:color="FFFFFF" w:fill="FFFFFF"/>
            <w:vAlign w:val="center"/>
          </w:tcPr>
          <w:p>
            <w:pPr>
              <w:keepNext/>
              <w:keepLines/>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 xml:space="preserve">Autres </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50"/>
        </w:trPr>
        <w:tc>
          <w:tcPr>
            <w:tcW w:w="1734" w:type="dxa"/>
            <w:gridSpan w:val="2"/>
            <w:vMerge/>
            <w:tcBorders>
              <w:left w:val="single" w:sz="4" w:space="0" w:color="auto"/>
              <w:bottom w:val="single" w:sz="4" w:space="0" w:color="auto"/>
              <w:right w:val="single" w:sz="4" w:space="0" w:color="auto"/>
            </w:tcBorders>
            <w:shd w:val="clear" w:color="FFFFFF" w:fill="FFFFFF"/>
            <w:vAlign w:val="center"/>
          </w:tcPr>
          <w:p>
            <w:pPr>
              <w:keepNext/>
              <w:keepLines/>
              <w:spacing w:before="40" w:after="40"/>
              <w:jc w:val="left"/>
              <w:rPr>
                <w:noProof/>
                <w:sz w:val="20"/>
                <w:szCs w:val="18"/>
              </w:rPr>
            </w:pPr>
          </w:p>
        </w:tc>
        <w:tc>
          <w:tcPr>
            <w:tcW w:w="20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Sauces et soupes (déshydratées)</w:t>
            </w:r>
          </w:p>
        </w:tc>
        <w:tc>
          <w:tcPr>
            <w:tcW w:w="1261"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5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23"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172"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rPr>
          <w:gridBefore w:val="1"/>
          <w:wBefore w:w="13" w:type="dxa"/>
          <w:trHeight w:val="63"/>
        </w:trPr>
        <w:tc>
          <w:tcPr>
            <w:tcW w:w="0" w:type="auto"/>
            <w:gridSpan w:val="2"/>
            <w:shd w:val="clear" w:color="auto" w:fill="auto"/>
            <w:noWrap/>
            <w:vAlign w:val="center"/>
            <w:hideMark/>
          </w:tcPr>
          <w:p>
            <w:pPr>
              <w:spacing w:before="40" w:after="40"/>
              <w:jc w:val="right"/>
              <w:rPr>
                <w:b/>
                <w:bCs/>
                <w:noProof/>
                <w:sz w:val="20"/>
                <w:szCs w:val="18"/>
              </w:rPr>
            </w:pPr>
            <w:r>
              <w:rPr>
                <w:b/>
                <w:noProof/>
                <w:sz w:val="20"/>
              </w:rPr>
              <w:t>Total:</w:t>
            </w:r>
          </w:p>
        </w:tc>
        <w:tc>
          <w:tcPr>
            <w:tcW w:w="0" w:type="auto"/>
            <w:shd w:val="clear" w:color="auto" w:fill="auto"/>
            <w:noWrap/>
            <w:vAlign w:val="center"/>
            <w:hideMark/>
          </w:tcPr>
          <w:p>
            <w:pPr>
              <w:spacing w:before="40" w:after="40"/>
              <w:jc w:val="center"/>
              <w:rPr>
                <w:b/>
                <w:bCs/>
                <w:noProof/>
                <w:sz w:val="20"/>
                <w:szCs w:val="18"/>
              </w:rPr>
            </w:pPr>
            <w:r>
              <w:rPr>
                <w:b/>
                <w:noProof/>
                <w:sz w:val="20"/>
              </w:rPr>
              <w:t>11</w:t>
            </w:r>
          </w:p>
        </w:tc>
        <w:tc>
          <w:tcPr>
            <w:tcW w:w="0" w:type="auto"/>
            <w:shd w:val="clear" w:color="auto" w:fill="auto"/>
            <w:noWrap/>
            <w:vAlign w:val="center"/>
            <w:hideMark/>
          </w:tcPr>
          <w:p>
            <w:pPr>
              <w:spacing w:before="40" w:after="40"/>
              <w:jc w:val="center"/>
              <w:rPr>
                <w:b/>
                <w:bCs/>
                <w:noProof/>
                <w:sz w:val="20"/>
                <w:szCs w:val="18"/>
              </w:rPr>
            </w:pPr>
            <w:r>
              <w:rPr>
                <w:b/>
                <w:noProof/>
                <w:sz w:val="20"/>
              </w:rPr>
              <w:t>0</w:t>
            </w:r>
          </w:p>
        </w:tc>
        <w:tc>
          <w:tcPr>
            <w:tcW w:w="0" w:type="auto"/>
            <w:shd w:val="clear" w:color="auto" w:fill="auto"/>
            <w:noWrap/>
            <w:vAlign w:val="center"/>
            <w:hideMark/>
          </w:tcPr>
          <w:p>
            <w:pPr>
              <w:spacing w:before="40" w:after="40"/>
              <w:jc w:val="center"/>
              <w:rPr>
                <w:b/>
                <w:bCs/>
                <w:noProof/>
                <w:sz w:val="20"/>
                <w:szCs w:val="18"/>
              </w:rPr>
            </w:pPr>
            <w:r>
              <w:rPr>
                <w:b/>
                <w:noProof/>
                <w:sz w:val="20"/>
              </w:rPr>
              <w:t>0</w:t>
            </w:r>
          </w:p>
        </w:tc>
        <w:tc>
          <w:tcPr>
            <w:tcW w:w="0" w:type="auto"/>
            <w:shd w:val="clear" w:color="auto" w:fill="auto"/>
            <w:noWrap/>
            <w:vAlign w:val="center"/>
            <w:hideMark/>
          </w:tcPr>
          <w:p>
            <w:pPr>
              <w:spacing w:before="40" w:after="40"/>
              <w:rPr>
                <w:noProof/>
                <w:sz w:val="20"/>
                <w:szCs w:val="18"/>
              </w:rPr>
            </w:pPr>
          </w:p>
        </w:tc>
      </w:tr>
      <w:tr>
        <w:trPr>
          <w:gridBefore w:val="1"/>
          <w:wBefore w:w="13" w:type="dxa"/>
          <w:trHeight w:val="63"/>
        </w:trPr>
        <w:tc>
          <w:tcPr>
            <w:tcW w:w="0" w:type="auto"/>
            <w:gridSpan w:val="2"/>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shd w:val="clear" w:color="auto" w:fill="auto"/>
            <w:noWrap/>
            <w:vAlign w:val="center"/>
            <w:hideMark/>
          </w:tcPr>
          <w:p>
            <w:pPr>
              <w:spacing w:before="40" w:after="40"/>
              <w:jc w:val="center"/>
              <w:rPr>
                <w:b/>
                <w:bCs/>
                <w:noProof/>
                <w:sz w:val="20"/>
                <w:szCs w:val="18"/>
              </w:rPr>
            </w:pPr>
            <w:r>
              <w:rPr>
                <w:b/>
                <w:noProof/>
                <w:sz w:val="20"/>
              </w:rPr>
              <w:t>100,0 %</w:t>
            </w:r>
          </w:p>
        </w:tc>
        <w:tc>
          <w:tcPr>
            <w:tcW w:w="0" w:type="auto"/>
            <w:shd w:val="clear" w:color="auto" w:fill="auto"/>
            <w:noWrap/>
            <w:vAlign w:val="center"/>
            <w:hideMark/>
          </w:tcPr>
          <w:p>
            <w:pPr>
              <w:spacing w:before="40" w:after="40"/>
              <w:jc w:val="center"/>
              <w:rPr>
                <w:b/>
                <w:bCs/>
                <w:noProof/>
                <w:sz w:val="20"/>
                <w:szCs w:val="18"/>
              </w:rPr>
            </w:pPr>
            <w:r>
              <w:rPr>
                <w:b/>
                <w:noProof/>
                <w:sz w:val="20"/>
              </w:rPr>
              <w:t>0,0 %</w:t>
            </w:r>
          </w:p>
        </w:tc>
        <w:tc>
          <w:tcPr>
            <w:tcW w:w="0" w:type="auto"/>
            <w:shd w:val="clear" w:color="auto" w:fill="auto"/>
            <w:noWrap/>
            <w:vAlign w:val="center"/>
            <w:hideMark/>
          </w:tcPr>
          <w:p>
            <w:pPr>
              <w:spacing w:before="40" w:after="40"/>
              <w:jc w:val="center"/>
              <w:rPr>
                <w:b/>
                <w:bCs/>
                <w:noProof/>
                <w:sz w:val="20"/>
                <w:szCs w:val="18"/>
              </w:rPr>
            </w:pPr>
            <w:r>
              <w:rPr>
                <w:b/>
                <w:noProof/>
                <w:sz w:val="20"/>
              </w:rPr>
              <w:t>0,0 %</w:t>
            </w:r>
          </w:p>
        </w:tc>
        <w:tc>
          <w:tcPr>
            <w:tcW w:w="0" w:type="auto"/>
            <w:shd w:val="clear" w:color="auto" w:fill="auto"/>
            <w:noWrap/>
            <w:vAlign w:val="center"/>
            <w:hideMark/>
          </w:tcPr>
          <w:p>
            <w:pPr>
              <w:spacing w:before="40" w:after="40"/>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irradiation non autorisée</w:t>
      </w:r>
    </w:p>
    <w:p>
      <w:pPr>
        <w:pStyle w:val="Point1"/>
        <w:keepNext/>
        <w:ind w:left="1276" w:hanging="709"/>
        <w:rPr>
          <w:b/>
          <w:noProof/>
        </w:rPr>
      </w:pPr>
      <w:r>
        <w:rPr>
          <w:b/>
          <w:noProof/>
        </w:rPr>
        <w:t>4.23.</w:t>
      </w:r>
      <w:r>
        <w:rPr>
          <w:noProof/>
        </w:rPr>
        <w:tab/>
      </w:r>
      <w:r>
        <w:rPr>
          <w:b/>
          <w:noProof/>
        </w:rPr>
        <w:t>Roumanie. Nombre d’échantillons: 243</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61"/>
        </w:trPr>
        <w:tc>
          <w:tcPr>
            <w:tcW w:w="1565" w:type="dxa"/>
            <w:shd w:val="clear" w:color="auto" w:fill="auto"/>
            <w:vAlign w:val="center"/>
            <w:hideMark/>
          </w:tcPr>
          <w:p>
            <w:pPr>
              <w:spacing w:before="40" w:after="40"/>
              <w:rPr>
                <w:b/>
                <w:bCs/>
                <w:noProof/>
                <w:sz w:val="20"/>
                <w:szCs w:val="18"/>
              </w:rPr>
            </w:pPr>
          </w:p>
        </w:tc>
        <w:tc>
          <w:tcPr>
            <w:tcW w:w="2115" w:type="dxa"/>
            <w:shd w:val="clear" w:color="auto" w:fill="auto"/>
            <w:vAlign w:val="center"/>
            <w:hideMark/>
          </w:tcPr>
          <w:p>
            <w:pPr>
              <w:spacing w:before="40" w:after="40"/>
              <w:rPr>
                <w:b/>
                <w:bCs/>
                <w:noProof/>
                <w:sz w:val="20"/>
                <w:szCs w:val="18"/>
              </w:rPr>
            </w:pPr>
          </w:p>
        </w:tc>
        <w:tc>
          <w:tcPr>
            <w:tcW w:w="3780" w:type="dxa"/>
            <w:gridSpan w:val="3"/>
            <w:shd w:val="clear" w:color="auto" w:fill="auto"/>
            <w:vAlign w:val="center"/>
            <w:hideMark/>
          </w:tcPr>
          <w:p>
            <w:pPr>
              <w:spacing w:before="40" w:after="40"/>
              <w:jc w:val="center"/>
              <w:rPr>
                <w:b/>
                <w:bCs/>
                <w:noProof/>
                <w:sz w:val="20"/>
                <w:szCs w:val="18"/>
              </w:rPr>
            </w:pPr>
            <w:r>
              <w:rPr>
                <w:b/>
                <w:noProof/>
                <w:sz w:val="20"/>
              </w:rPr>
              <w:t>Nombre d’échantillons: 243</w:t>
            </w:r>
          </w:p>
        </w:tc>
        <w:tc>
          <w:tcPr>
            <w:tcW w:w="1200" w:type="dxa"/>
            <w:shd w:val="clear" w:color="auto" w:fill="auto"/>
            <w:vAlign w:val="center"/>
            <w:hideMark/>
          </w:tcPr>
          <w:p>
            <w:pPr>
              <w:spacing w:before="40" w:after="40"/>
              <w:jc w:val="center"/>
              <w:rPr>
                <w:b/>
                <w:bCs/>
                <w:noProof/>
                <w:sz w:val="20"/>
                <w:szCs w:val="18"/>
              </w:rPr>
            </w:pPr>
          </w:p>
        </w:tc>
      </w:tr>
      <w:tr>
        <w:trPr>
          <w:trHeight w:val="364"/>
        </w:trPr>
        <w:tc>
          <w:tcPr>
            <w:tcW w:w="1565"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bottom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8"/>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8"/>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Graines oléagineuses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Légumes et produits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 xml:space="preserve">EN 1787 </w:t>
            </w:r>
            <w:r>
              <w:rPr>
                <w:noProof/>
                <w:sz w:val="20"/>
                <w:szCs w:val="18"/>
              </w:rPr>
              <w:br/>
            </w: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Tisanes/infusions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9</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41"/>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 xml:space="preserve">EN 1788 </w:t>
            </w:r>
            <w:r>
              <w:rPr>
                <w:noProof/>
                <w:sz w:val="20"/>
                <w:szCs w:val="18"/>
              </w:rPr>
              <w:br/>
            </w:r>
            <w:r>
              <w:rPr>
                <w:noProof/>
                <w:sz w:val="20"/>
              </w:rPr>
              <w:t xml:space="preserve">EN 13751 </w:t>
            </w:r>
            <w:r>
              <w:rPr>
                <w:noProof/>
                <w:sz w:val="20"/>
                <w:szCs w:val="18"/>
              </w:rPr>
              <w:br/>
            </w:r>
            <w:r>
              <w:rPr>
                <w:noProof/>
                <w:sz w:val="20"/>
              </w:rPr>
              <w:t>EN 1787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23"/>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132"/>
        </w:trPr>
        <w:tc>
          <w:tcPr>
            <w:tcW w:w="0" w:type="auto"/>
            <w:gridSpan w:val="2"/>
            <w:tcBorders>
              <w:top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240</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tcBorders>
            <w:shd w:val="clear" w:color="auto" w:fill="auto"/>
            <w:noWrap/>
            <w:vAlign w:val="center"/>
            <w:hideMark/>
          </w:tcPr>
          <w:p>
            <w:pPr>
              <w:spacing w:before="40" w:after="40"/>
              <w:jc w:val="center"/>
              <w:rPr>
                <w:b/>
                <w:bCs/>
                <w:noProof/>
                <w:sz w:val="20"/>
                <w:szCs w:val="18"/>
              </w:rPr>
            </w:pPr>
            <w:r>
              <w:rPr>
                <w:b/>
                <w:noProof/>
                <w:sz w:val="20"/>
              </w:rPr>
              <w:t>2</w:t>
            </w:r>
          </w:p>
        </w:tc>
        <w:tc>
          <w:tcPr>
            <w:tcW w:w="0" w:type="auto"/>
            <w:tcBorders>
              <w:top w:val="single" w:sz="4" w:space="0" w:color="auto"/>
            </w:tcBorders>
            <w:shd w:val="clear" w:color="auto" w:fill="auto"/>
            <w:noWrap/>
            <w:vAlign w:val="center"/>
            <w:hideMark/>
          </w:tcPr>
          <w:p>
            <w:pPr>
              <w:spacing w:before="40" w:after="40"/>
              <w:jc w:val="center"/>
              <w:rPr>
                <w:noProof/>
                <w:sz w:val="20"/>
                <w:szCs w:val="18"/>
              </w:rPr>
            </w:pPr>
          </w:p>
        </w:tc>
      </w:tr>
      <w:tr>
        <w:trPr>
          <w:trHeight w:val="178"/>
        </w:trPr>
        <w:tc>
          <w:tcPr>
            <w:tcW w:w="0" w:type="auto"/>
            <w:gridSpan w:val="2"/>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shd w:val="clear" w:color="auto" w:fill="auto"/>
            <w:noWrap/>
            <w:vAlign w:val="center"/>
            <w:hideMark/>
          </w:tcPr>
          <w:p>
            <w:pPr>
              <w:spacing w:before="40" w:after="40"/>
              <w:jc w:val="center"/>
              <w:rPr>
                <w:b/>
                <w:bCs/>
                <w:noProof/>
                <w:sz w:val="20"/>
                <w:szCs w:val="18"/>
              </w:rPr>
            </w:pPr>
            <w:r>
              <w:rPr>
                <w:b/>
                <w:noProof/>
                <w:sz w:val="20"/>
              </w:rPr>
              <w:t>98,8 %</w:t>
            </w:r>
          </w:p>
        </w:tc>
        <w:tc>
          <w:tcPr>
            <w:tcW w:w="0" w:type="auto"/>
            <w:shd w:val="clear" w:color="auto" w:fill="auto"/>
            <w:noWrap/>
            <w:vAlign w:val="center"/>
            <w:hideMark/>
          </w:tcPr>
          <w:p>
            <w:pPr>
              <w:spacing w:before="40" w:after="40"/>
              <w:jc w:val="center"/>
              <w:rPr>
                <w:b/>
                <w:bCs/>
                <w:noProof/>
                <w:sz w:val="20"/>
                <w:szCs w:val="18"/>
              </w:rPr>
            </w:pPr>
            <w:r>
              <w:rPr>
                <w:b/>
                <w:noProof/>
                <w:sz w:val="20"/>
              </w:rPr>
              <w:t>0,4 %</w:t>
            </w:r>
          </w:p>
        </w:tc>
        <w:tc>
          <w:tcPr>
            <w:tcW w:w="0" w:type="auto"/>
            <w:shd w:val="clear" w:color="auto" w:fill="auto"/>
            <w:noWrap/>
            <w:vAlign w:val="center"/>
            <w:hideMark/>
          </w:tcPr>
          <w:p>
            <w:pPr>
              <w:spacing w:before="40" w:after="40"/>
              <w:jc w:val="center"/>
              <w:rPr>
                <w:b/>
                <w:bCs/>
                <w:noProof/>
                <w:sz w:val="20"/>
                <w:szCs w:val="18"/>
              </w:rPr>
            </w:pPr>
            <w:r>
              <w:rPr>
                <w:b/>
                <w:noProof/>
                <w:sz w:val="20"/>
              </w:rPr>
              <w:t>0,8 %</w:t>
            </w:r>
          </w:p>
        </w:tc>
        <w:tc>
          <w:tcPr>
            <w:tcW w:w="0" w:type="auto"/>
            <w:shd w:val="clear" w:color="auto" w:fill="auto"/>
            <w:noWrap/>
            <w:vAlign w:val="center"/>
            <w:hideMark/>
          </w:tcPr>
          <w:p>
            <w:pPr>
              <w:spacing w:before="40" w:after="40"/>
              <w:jc w:val="center"/>
              <w:rPr>
                <w:noProof/>
                <w:sz w:val="20"/>
                <w:szCs w:val="18"/>
              </w:rPr>
            </w:pPr>
          </w:p>
        </w:tc>
      </w:tr>
    </w:tbl>
    <w:p>
      <w:pPr>
        <w:pStyle w:val="Point1"/>
        <w:spacing w:after="0"/>
        <w:ind w:left="709" w:hanging="709"/>
        <w:rPr>
          <w:noProof/>
          <w:sz w:val="20"/>
        </w:rPr>
      </w:pPr>
      <w:r>
        <w:rPr>
          <w:noProof/>
          <w:sz w:val="20"/>
          <w:vertAlign w:val="superscript"/>
        </w:rPr>
        <w:t>*</w:t>
      </w:r>
      <w:r>
        <w:rPr>
          <w:noProof/>
        </w:rPr>
        <w:tab/>
      </w:r>
      <w:r>
        <w:rPr>
          <w:noProof/>
          <w:sz w:val="20"/>
        </w:rPr>
        <w:t>irradiation non autorisée</w:t>
      </w:r>
    </w:p>
    <w:p>
      <w:pPr>
        <w:pStyle w:val="Point1"/>
        <w:spacing w:before="0"/>
        <w:ind w:left="709" w:hanging="709"/>
        <w:rPr>
          <w:noProof/>
          <w:sz w:val="20"/>
        </w:rPr>
      </w:pPr>
      <w:r>
        <w:rPr>
          <w:noProof/>
          <w:sz w:val="20"/>
          <w:vertAlign w:val="superscript"/>
        </w:rPr>
        <w:t>**</w:t>
      </w:r>
      <w:r>
        <w:rPr>
          <w:noProof/>
        </w:rPr>
        <w:tab/>
      </w:r>
      <w:r>
        <w:rPr>
          <w:noProof/>
          <w:sz w:val="20"/>
        </w:rPr>
        <w:t>irradiation dans des unités non agréées par l’UE</w:t>
      </w:r>
    </w:p>
    <w:p>
      <w:pPr>
        <w:pStyle w:val="Point1"/>
        <w:keepNext/>
        <w:keepLines/>
        <w:ind w:left="1276" w:hanging="709"/>
        <w:rPr>
          <w:b/>
          <w:noProof/>
        </w:rPr>
      </w:pPr>
      <w:r>
        <w:rPr>
          <w:b/>
          <w:noProof/>
        </w:rPr>
        <w:t>4.24.</w:t>
      </w:r>
      <w:r>
        <w:rPr>
          <w:noProof/>
        </w:rPr>
        <w:tab/>
      </w:r>
      <w:r>
        <w:rPr>
          <w:b/>
          <w:noProof/>
        </w:rPr>
        <w:t>Slovénie. Nombre d’échantillons: 19</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9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Nombre d’échantillons: 19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p>
        </w:tc>
      </w:tr>
      <w:tr>
        <w:trPr>
          <w:trHeight w:val="522"/>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Aulx</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Légumes et produits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Viandes et produits à base de viande</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Cuisses de grenouilles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1786</w:t>
            </w:r>
          </w:p>
        </w:tc>
      </w:tr>
      <w:tr>
        <w:tblPrEx>
          <w:tblCellMar>
            <w:left w:w="70" w:type="dxa"/>
            <w:right w:w="70" w:type="dxa"/>
          </w:tblCellMar>
        </w:tblPrEx>
        <w:trPr>
          <w:trHeight w:val="48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Sauces et soupes (déshydratées)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p>
        </w:tc>
      </w:tr>
      <w:tr>
        <w:trPr>
          <w:trHeight w:val="9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4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89,5 %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10,5 %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rPr>
            </w:pPr>
            <w:r>
              <w:rPr>
                <w:b/>
                <w:noProof/>
                <w:sz w:val="20"/>
              </w:rPr>
              <w:t>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keepNext/>
        <w:ind w:left="1276" w:hanging="709"/>
        <w:rPr>
          <w:b/>
          <w:noProof/>
        </w:rPr>
      </w:pPr>
      <w:r>
        <w:rPr>
          <w:b/>
          <w:noProof/>
        </w:rPr>
        <w:t>4.25.</w:t>
      </w:r>
      <w:r>
        <w:rPr>
          <w:noProof/>
        </w:rPr>
        <w:tab/>
      </w:r>
      <w:r>
        <w:rPr>
          <w:b/>
          <w:noProof/>
        </w:rPr>
        <w:t>Slovaquie. Nombre d’échantillons: 24</w:t>
      </w: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69"/>
        </w:trPr>
        <w:tc>
          <w:tcPr>
            <w:tcW w:w="1565" w:type="dxa"/>
            <w:shd w:val="clear" w:color="auto" w:fill="auto"/>
            <w:vAlign w:val="center"/>
            <w:hideMark/>
          </w:tcPr>
          <w:p>
            <w:pPr>
              <w:spacing w:before="40" w:after="40"/>
              <w:rPr>
                <w:b/>
                <w:bCs/>
                <w:noProof/>
                <w:sz w:val="20"/>
              </w:rPr>
            </w:pPr>
          </w:p>
        </w:tc>
        <w:tc>
          <w:tcPr>
            <w:tcW w:w="2115" w:type="dxa"/>
            <w:shd w:val="clear" w:color="auto" w:fill="auto"/>
            <w:vAlign w:val="center"/>
            <w:hideMark/>
          </w:tcPr>
          <w:p>
            <w:pPr>
              <w:spacing w:before="40" w:after="40"/>
              <w:rPr>
                <w:b/>
                <w:bCs/>
                <w:noProof/>
                <w:sz w:val="20"/>
              </w:rPr>
            </w:pPr>
          </w:p>
        </w:tc>
        <w:tc>
          <w:tcPr>
            <w:tcW w:w="3780" w:type="dxa"/>
            <w:gridSpan w:val="3"/>
            <w:shd w:val="clear" w:color="auto" w:fill="auto"/>
            <w:vAlign w:val="center"/>
            <w:hideMark/>
          </w:tcPr>
          <w:p>
            <w:pPr>
              <w:spacing w:before="40" w:after="40"/>
              <w:jc w:val="center"/>
              <w:rPr>
                <w:b/>
                <w:bCs/>
                <w:noProof/>
                <w:sz w:val="20"/>
              </w:rPr>
            </w:pPr>
            <w:r>
              <w:rPr>
                <w:b/>
                <w:noProof/>
                <w:sz w:val="20"/>
              </w:rPr>
              <w:t>Nombre d’échantillons: 24</w:t>
            </w:r>
          </w:p>
        </w:tc>
        <w:tc>
          <w:tcPr>
            <w:tcW w:w="1200" w:type="dxa"/>
            <w:shd w:val="clear" w:color="auto" w:fill="auto"/>
            <w:vAlign w:val="center"/>
            <w:hideMark/>
          </w:tcPr>
          <w:p>
            <w:pPr>
              <w:spacing w:before="40" w:after="40"/>
              <w:jc w:val="center"/>
              <w:rPr>
                <w:b/>
                <w:bCs/>
                <w:noProof/>
                <w:sz w:val="20"/>
              </w:rPr>
            </w:pPr>
          </w:p>
        </w:tc>
      </w:tr>
      <w:tr>
        <w:trPr>
          <w:trHeight w:val="542"/>
        </w:trPr>
        <w:tc>
          <w:tcPr>
            <w:tcW w:w="1565" w:type="dxa"/>
            <w:tcBorders>
              <w:bottom w:val="single" w:sz="4" w:space="0" w:color="auto"/>
            </w:tcBorders>
            <w:shd w:val="clear" w:color="auto" w:fill="auto"/>
            <w:vAlign w:val="center"/>
            <w:hideMark/>
          </w:tcPr>
          <w:p>
            <w:pPr>
              <w:spacing w:before="40" w:after="40"/>
              <w:jc w:val="center"/>
              <w:rPr>
                <w:b/>
                <w:bCs/>
                <w:noProof/>
                <w:sz w:val="20"/>
              </w:rPr>
            </w:pPr>
            <w:r>
              <w:rPr>
                <w:b/>
                <w:noProof/>
                <w:sz w:val="20"/>
              </w:rPr>
              <w:t>Catégorie de denrées alimentaires</w:t>
            </w:r>
          </w:p>
        </w:tc>
        <w:tc>
          <w:tcPr>
            <w:tcW w:w="2115" w:type="dxa"/>
            <w:tcBorders>
              <w:bottom w:val="single" w:sz="4" w:space="0" w:color="auto"/>
            </w:tcBorders>
            <w:shd w:val="clear" w:color="auto" w:fill="auto"/>
            <w:vAlign w:val="center"/>
            <w:hideMark/>
          </w:tcPr>
          <w:p>
            <w:pPr>
              <w:spacing w:before="40" w:after="40"/>
              <w:jc w:val="center"/>
              <w:rPr>
                <w:b/>
                <w:bCs/>
                <w:noProof/>
                <w:sz w:val="20"/>
              </w:rPr>
            </w:pPr>
            <w:r>
              <w:rPr>
                <w:b/>
                <w:noProof/>
                <w:sz w:val="20"/>
              </w:rPr>
              <w:t>Denrées alimentaires analysées au stade de la commercialisation des produits</w:t>
            </w:r>
          </w:p>
        </w:tc>
        <w:tc>
          <w:tcPr>
            <w:tcW w:w="1280" w:type="dxa"/>
            <w:tcBorders>
              <w:bottom w:val="single" w:sz="4" w:space="0" w:color="auto"/>
            </w:tcBorders>
            <w:shd w:val="clear" w:color="auto" w:fill="auto"/>
            <w:vAlign w:val="center"/>
            <w:hideMark/>
          </w:tcPr>
          <w:p>
            <w:pPr>
              <w:spacing w:before="40" w:after="40"/>
              <w:jc w:val="center"/>
              <w:rPr>
                <w:b/>
                <w:bCs/>
                <w:noProof/>
                <w:sz w:val="20"/>
              </w:rPr>
            </w:pPr>
            <w:r>
              <w:rPr>
                <w:b/>
                <w:noProof/>
                <w:sz w:val="20"/>
              </w:rPr>
              <w:t>Conformes</w:t>
            </w:r>
          </w:p>
        </w:tc>
        <w:tc>
          <w:tcPr>
            <w:tcW w:w="126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probants</w:t>
            </w:r>
          </w:p>
        </w:tc>
        <w:tc>
          <w:tcPr>
            <w:tcW w:w="1240" w:type="dxa"/>
            <w:tcBorders>
              <w:bottom w:val="single" w:sz="4" w:space="0" w:color="auto"/>
            </w:tcBorders>
            <w:shd w:val="clear" w:color="auto" w:fill="auto"/>
            <w:vAlign w:val="center"/>
            <w:hideMark/>
          </w:tcPr>
          <w:p>
            <w:pPr>
              <w:spacing w:before="40" w:after="40"/>
              <w:jc w:val="center"/>
              <w:rPr>
                <w:b/>
                <w:bCs/>
                <w:noProof/>
                <w:sz w:val="20"/>
              </w:rPr>
            </w:pPr>
            <w:r>
              <w:rPr>
                <w:b/>
                <w:noProof/>
                <w:sz w:val="20"/>
              </w:rPr>
              <w:t>Non conformes</w:t>
            </w:r>
          </w:p>
        </w:tc>
        <w:tc>
          <w:tcPr>
            <w:tcW w:w="1200" w:type="dxa"/>
            <w:tcBorders>
              <w:bottom w:val="single" w:sz="4" w:space="0" w:color="auto"/>
            </w:tcBorders>
            <w:shd w:val="clear" w:color="auto" w:fill="auto"/>
            <w:vAlign w:val="center"/>
            <w:hideMark/>
          </w:tcPr>
          <w:p>
            <w:pPr>
              <w:spacing w:before="40" w:after="40"/>
              <w:jc w:val="center"/>
              <w:rPr>
                <w:b/>
                <w:bCs/>
                <w:noProof/>
                <w:sz w:val="20"/>
              </w:rPr>
            </w:pPr>
            <w:r>
              <w:rPr>
                <w:b/>
                <w:noProof/>
                <w:sz w:val="20"/>
              </w:rPr>
              <w:t>Méthode CEN utilisée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06"/>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Céréales, graines, légumes et fruits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à coque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Graines oléagineuses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Lait et produits laitiers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Fromage (contenant des épices/des fines herbes)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Fromage (affiné)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1784</w:t>
            </w:r>
          </w:p>
        </w:tc>
      </w:tr>
      <w:tr>
        <w:trPr>
          <w:trHeight w:val="204"/>
        </w:trPr>
        <w:tc>
          <w:tcPr>
            <w:tcW w:w="3680" w:type="dxa"/>
            <w:gridSpan w:val="2"/>
            <w:tcBorders>
              <w:top w:val="single" w:sz="4" w:space="0" w:color="auto"/>
            </w:tcBorders>
            <w:shd w:val="clear" w:color="auto" w:fill="auto"/>
            <w:noWrap/>
            <w:vAlign w:val="center"/>
            <w:hideMark/>
          </w:tcPr>
          <w:p>
            <w:pPr>
              <w:spacing w:before="40" w:after="40"/>
              <w:jc w:val="right"/>
              <w:rPr>
                <w:b/>
                <w:bCs/>
                <w:noProof/>
                <w:sz w:val="20"/>
              </w:rPr>
            </w:pPr>
            <w:r>
              <w:rPr>
                <w:b/>
                <w:noProof/>
                <w:sz w:val="20"/>
              </w:rPr>
              <w:t>Total:</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24</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b/>
                <w:bCs/>
                <w:noProof/>
                <w:sz w:val="20"/>
              </w:rPr>
            </w:pPr>
            <w:r>
              <w:rPr>
                <w:b/>
                <w:noProof/>
                <w:sz w:val="20"/>
              </w:rPr>
              <w:t>0</w:t>
            </w:r>
          </w:p>
        </w:tc>
        <w:tc>
          <w:tcPr>
            <w:tcW w:w="0" w:type="auto"/>
            <w:tcBorders>
              <w:top w:val="single" w:sz="4" w:space="0" w:color="auto"/>
            </w:tcBorders>
            <w:shd w:val="clear" w:color="auto" w:fill="auto"/>
            <w:noWrap/>
            <w:vAlign w:val="center"/>
            <w:hideMark/>
          </w:tcPr>
          <w:p>
            <w:pPr>
              <w:spacing w:before="40" w:after="40"/>
              <w:jc w:val="center"/>
              <w:rPr>
                <w:noProof/>
                <w:sz w:val="20"/>
              </w:rPr>
            </w:pPr>
          </w:p>
        </w:tc>
      </w:tr>
      <w:tr>
        <w:trPr>
          <w:trHeight w:val="108"/>
        </w:trPr>
        <w:tc>
          <w:tcPr>
            <w:tcW w:w="0" w:type="auto"/>
            <w:gridSpan w:val="2"/>
            <w:shd w:val="clear" w:color="auto" w:fill="auto"/>
            <w:noWrap/>
            <w:vAlign w:val="center"/>
            <w:hideMark/>
          </w:tcPr>
          <w:p>
            <w:pPr>
              <w:spacing w:before="40" w:after="40"/>
              <w:jc w:val="right"/>
              <w:rPr>
                <w:b/>
                <w:bCs/>
                <w:noProof/>
                <w:sz w:val="20"/>
              </w:rPr>
            </w:pPr>
            <w:r>
              <w:rPr>
                <w:b/>
                <w:noProof/>
                <w:sz w:val="20"/>
              </w:rPr>
              <w:t>Total en % des échantillons analysés</w:t>
            </w:r>
          </w:p>
        </w:tc>
        <w:tc>
          <w:tcPr>
            <w:tcW w:w="0" w:type="auto"/>
            <w:shd w:val="clear" w:color="auto" w:fill="auto"/>
            <w:noWrap/>
            <w:vAlign w:val="center"/>
            <w:hideMark/>
          </w:tcPr>
          <w:p>
            <w:pPr>
              <w:spacing w:before="40" w:after="40"/>
              <w:jc w:val="center"/>
              <w:rPr>
                <w:b/>
                <w:bCs/>
                <w:noProof/>
                <w:sz w:val="20"/>
              </w:rPr>
            </w:pPr>
            <w:r>
              <w:rPr>
                <w:b/>
                <w:noProof/>
                <w:sz w:val="20"/>
              </w:rPr>
              <w:t>100,0 %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b/>
                <w:bCs/>
                <w:noProof/>
                <w:sz w:val="20"/>
              </w:rPr>
            </w:pPr>
            <w:r>
              <w:rPr>
                <w:b/>
                <w:noProof/>
                <w:sz w:val="20"/>
              </w:rPr>
              <w:t>0,0 %</w:t>
            </w:r>
          </w:p>
        </w:tc>
        <w:tc>
          <w:tcPr>
            <w:tcW w:w="0" w:type="auto"/>
            <w:shd w:val="clear" w:color="auto" w:fill="auto"/>
            <w:noWrap/>
            <w:vAlign w:val="center"/>
            <w:hideMark/>
          </w:tcPr>
          <w:p>
            <w:pPr>
              <w:spacing w:before="40" w:after="40"/>
              <w:jc w:val="center"/>
              <w:rPr>
                <w:noProof/>
                <w:sz w:val="20"/>
              </w:rPr>
            </w:pPr>
          </w:p>
        </w:tc>
      </w:tr>
    </w:tbl>
    <w:p>
      <w:pPr>
        <w:pStyle w:val="Point1"/>
        <w:keepNext/>
        <w:keepLines/>
        <w:ind w:left="1276" w:hanging="709"/>
        <w:rPr>
          <w:b/>
          <w:noProof/>
        </w:rPr>
      </w:pPr>
      <w:r>
        <w:rPr>
          <w:b/>
          <w:noProof/>
        </w:rPr>
        <w:t>4.27.</w:t>
      </w:r>
      <w:r>
        <w:rPr>
          <w:noProof/>
        </w:rPr>
        <w:tab/>
      </w:r>
      <w:r>
        <w:rPr>
          <w:b/>
          <w:noProof/>
        </w:rPr>
        <w:t>Finlande. Nombre d’échantillons: 289</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244"/>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Nombre d’échantillons: 289</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p>
        </w:tc>
      </w:tr>
      <w:tr>
        <w:trPr>
          <w:trHeight w:val="518"/>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134"/>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Baies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CellMar>
            <w:left w:w="70" w:type="dxa"/>
            <w:right w:w="70" w:type="dxa"/>
          </w:tblCellMar>
        </w:tblPrEx>
        <w:trPr>
          <w:trHeight w:val="64"/>
        </w:trPr>
        <w:tc>
          <w:tcPr>
            <w:tcW w:w="1565" w:type="dxa"/>
            <w:vMerge/>
            <w:tcBorders>
              <w:top w:val="single" w:sz="4" w:space="0" w:color="auto"/>
              <w:left w:val="single" w:sz="4" w:space="0" w:color="auto"/>
              <w:bottom w:val="single" w:sz="4" w:space="0" w:color="auto"/>
              <w:right w:val="single" w:sz="4" w:space="0" w:color="auto"/>
            </w:tcBorders>
            <w:vAlign w:val="center"/>
            <w:hideMark/>
          </w:tcPr>
          <w:p>
            <w:pPr>
              <w:keepNext/>
              <w:keepLines/>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Produits à base de baies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13751</w:t>
            </w:r>
          </w:p>
        </w:tc>
      </w:tr>
      <w:tr>
        <w:tblPrEx>
          <w:tblCellMar>
            <w:left w:w="70" w:type="dxa"/>
            <w:right w:w="70" w:type="dxa"/>
          </w:tblCellMar>
        </w:tblPrEx>
        <w:trPr>
          <w:trHeight w:val="212"/>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céréaliers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319"/>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à base de racines séchées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87"/>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Fruits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Champignons et produits à base de champignons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à base de fruits à coque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26"/>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à base d’algues marines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13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Graines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Légumes et produits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14</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9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Tisanes/infusions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Thé</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Autres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Ingrédient de boisson</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 xml:space="preserve">Préparation à base de cacao </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Préparation de matières grasses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Denrées alimentaires destinées à une alimentation particulière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5</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Compléments alimentaires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Miel et autres produits d’apiculture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Plats (préparés)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8</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Préparation de protéines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48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Sauces et soupes (déshydratées)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Produits de grignotage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11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16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94,5 %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3,5 %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spacing w:after="0"/>
        <w:ind w:left="709" w:hanging="709"/>
        <w:rPr>
          <w:noProof/>
          <w:sz w:val="20"/>
        </w:rPr>
      </w:pPr>
      <w:r>
        <w:rPr>
          <w:noProof/>
          <w:sz w:val="20"/>
          <w:vertAlign w:val="superscript"/>
        </w:rPr>
        <w:t>*</w:t>
      </w:r>
      <w:r>
        <w:rPr>
          <w:noProof/>
        </w:rPr>
        <w:tab/>
      </w:r>
      <w:r>
        <w:rPr>
          <w:noProof/>
          <w:sz w:val="20"/>
        </w:rPr>
        <w:t>irradiation non autorisée</w:t>
      </w:r>
    </w:p>
    <w:p>
      <w:pPr>
        <w:pStyle w:val="Point1"/>
        <w:spacing w:before="0"/>
        <w:ind w:left="709" w:hanging="709"/>
        <w:rPr>
          <w:noProof/>
          <w:sz w:val="20"/>
        </w:rPr>
      </w:pPr>
      <w:r>
        <w:rPr>
          <w:noProof/>
          <w:sz w:val="20"/>
          <w:vertAlign w:val="superscript"/>
        </w:rPr>
        <w:t>**</w:t>
      </w:r>
      <w:r>
        <w:rPr>
          <w:noProof/>
        </w:rPr>
        <w:tab/>
      </w:r>
      <w:r>
        <w:rPr>
          <w:noProof/>
          <w:sz w:val="20"/>
        </w:rPr>
        <w:t>étiquetage erroné, irradiation dans des unités non agréées par l’UE</w:t>
      </w:r>
    </w:p>
    <w:p>
      <w:pPr>
        <w:pStyle w:val="Point1"/>
        <w:ind w:left="1276" w:hanging="709"/>
        <w:rPr>
          <w:b/>
          <w:noProof/>
        </w:rPr>
      </w:pPr>
      <w:r>
        <w:rPr>
          <w:b/>
          <w:noProof/>
        </w:rPr>
        <w:t>4.28.</w:t>
      </w:r>
      <w:r>
        <w:rPr>
          <w:noProof/>
        </w:rPr>
        <w:tab/>
      </w:r>
      <w:r>
        <w:rPr>
          <w:b/>
          <w:noProof/>
        </w:rPr>
        <w:t>Suède.</w:t>
      </w:r>
    </w:p>
    <w:p>
      <w:pPr>
        <w:pStyle w:val="Text2"/>
        <w:spacing w:before="120" w:after="120"/>
        <w:ind w:left="1276"/>
        <w:rPr>
          <w:b/>
          <w:noProof/>
        </w:rPr>
      </w:pPr>
      <w:r>
        <w:rPr>
          <w:noProof/>
        </w:rPr>
        <w:t xml:space="preserve">En raison de restrictions de personnel, aucun échantillon n’a été analysé au cours de l’année 2014. </w:t>
      </w:r>
    </w:p>
    <w:p>
      <w:pPr>
        <w:pStyle w:val="Point1"/>
        <w:keepNext/>
        <w:keepLines/>
        <w:ind w:left="1276" w:hanging="709"/>
        <w:rPr>
          <w:b/>
          <w:noProof/>
        </w:rPr>
      </w:pPr>
      <w:r>
        <w:rPr>
          <w:b/>
          <w:noProof/>
        </w:rPr>
        <w:t>4.29.</w:t>
      </w:r>
      <w:r>
        <w:rPr>
          <w:noProof/>
        </w:rPr>
        <w:tab/>
      </w:r>
      <w:r>
        <w:rPr>
          <w:b/>
          <w:noProof/>
        </w:rPr>
        <w:t>Royaume-Uni. Nombre d’échantillons: 50</w:t>
      </w:r>
    </w:p>
    <w:tbl>
      <w:tblPr>
        <w:tblW w:w="8660" w:type="dxa"/>
        <w:tblCellMar>
          <w:left w:w="0" w:type="dxa"/>
          <w:right w:w="0" w:type="dxa"/>
        </w:tblCellMar>
        <w:tblLook w:val="04A0" w:firstRow="1" w:lastRow="0" w:firstColumn="1" w:lastColumn="0" w:noHBand="0" w:noVBand="1"/>
      </w:tblPr>
      <w:tblGrid>
        <w:gridCol w:w="1565"/>
        <w:gridCol w:w="2115"/>
        <w:gridCol w:w="1280"/>
        <w:gridCol w:w="1260"/>
        <w:gridCol w:w="1240"/>
        <w:gridCol w:w="1200"/>
      </w:tblGrid>
      <w:tr>
        <w:trPr>
          <w:trHeight w:val="196"/>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rPr>
                <w:b/>
                <w:bCs/>
                <w:noProof/>
                <w:sz w:val="20"/>
                <w:szCs w:val="18"/>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Nombre d’échantillons: 50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p>
        </w:tc>
      </w:tr>
      <w:tr>
        <w:trPr>
          <w:trHeight w:val="529"/>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Catégorie de denrées alimentaires</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Denrées alimentaires analysées au stade de la commercialisation des produits</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Conformes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Non probants</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Non conformes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pPr>
              <w:keepNext/>
              <w:keepLines/>
              <w:spacing w:before="40" w:after="40"/>
              <w:jc w:val="center"/>
              <w:rPr>
                <w:b/>
                <w:bCs/>
                <w:noProof/>
                <w:sz w:val="20"/>
                <w:szCs w:val="18"/>
              </w:rPr>
            </w:pPr>
            <w:r>
              <w:rPr>
                <w:b/>
                <w:noProof/>
                <w:sz w:val="20"/>
              </w:rPr>
              <w:t>Méthode CEN utilisée</w:t>
            </w:r>
          </w:p>
        </w:tc>
      </w:tr>
      <w:tr>
        <w:tblPrEx>
          <w:tblCellMar>
            <w:left w:w="70" w:type="dxa"/>
            <w:right w:w="70" w:type="dxa"/>
          </w:tblCellMar>
        </w:tblPrEx>
        <w:trPr>
          <w:trHeight w:val="90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Céréales, graines, légumes, fruits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left"/>
              <w:rPr>
                <w:noProof/>
                <w:sz w:val="20"/>
                <w:szCs w:val="18"/>
              </w:rPr>
            </w:pPr>
            <w:r>
              <w:rPr>
                <w:noProof/>
                <w:sz w:val="20"/>
              </w:rPr>
              <w:t>Nouilles à préparation instantanée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17</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1</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keepNext/>
              <w:keepLines/>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690"/>
        </w:trPr>
        <w:tc>
          <w:tcPr>
            <w:tcW w:w="156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Poissons, crustacés, coquillages et leurs produits dérivés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Crustacés et mollusques (congelés)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blPrEx>
          <w:tblCellMar>
            <w:left w:w="70" w:type="dxa"/>
            <w:right w:w="70" w:type="dxa"/>
          </w:tblCellMar>
        </w:tblPrEx>
        <w:trPr>
          <w:trHeight w:val="673"/>
        </w:trPr>
        <w:tc>
          <w:tcPr>
            <w:tcW w:w="1565" w:type="dxa"/>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Fines herbes et épices</w:t>
            </w: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Herbes aromatiques, épices et condiments végétaux (séchés)</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26</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3</w:t>
            </w:r>
            <w:r>
              <w:rPr>
                <w:noProof/>
                <w:sz w:val="20"/>
                <w:vertAlign w:val="superscript"/>
              </w:rPr>
              <w:t>*</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1788</w:t>
            </w:r>
            <w:r>
              <w:rPr>
                <w:noProof/>
                <w:sz w:val="20"/>
                <w:szCs w:val="18"/>
              </w:rPr>
              <w:br/>
            </w:r>
            <w:r>
              <w:rPr>
                <w:noProof/>
                <w:sz w:val="20"/>
              </w:rPr>
              <w:t>EN 13751</w:t>
            </w:r>
          </w:p>
        </w:tc>
      </w:tr>
      <w:tr>
        <w:tblPrEx>
          <w:tblCellMar>
            <w:left w:w="70" w:type="dxa"/>
            <w:right w:w="70" w:type="dxa"/>
          </w:tblCellMar>
        </w:tblPrEx>
        <w:trPr>
          <w:trHeight w:val="270"/>
        </w:trPr>
        <w:tc>
          <w:tcPr>
            <w:tcW w:w="1565" w:type="dxa"/>
            <w:vMerge/>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20"/>
                <w:szCs w:val="18"/>
              </w:rPr>
            </w:pPr>
          </w:p>
        </w:tc>
        <w:tc>
          <w:tcPr>
            <w:tcW w:w="2115"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left"/>
              <w:rPr>
                <w:noProof/>
                <w:sz w:val="20"/>
                <w:szCs w:val="18"/>
              </w:rPr>
            </w:pPr>
            <w:r>
              <w:rPr>
                <w:noProof/>
                <w:sz w:val="20"/>
              </w:rPr>
              <w:t>Gingembre (mariné au vinaigre)</w:t>
            </w:r>
          </w:p>
        </w:tc>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1</w:t>
            </w:r>
          </w:p>
        </w:tc>
        <w:tc>
          <w:tcPr>
            <w:tcW w:w="126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4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0</w:t>
            </w:r>
          </w:p>
        </w:tc>
        <w:tc>
          <w:tcPr>
            <w:tcW w:w="1200" w:type="dxa"/>
            <w:tcBorders>
              <w:top w:val="single" w:sz="4" w:space="0" w:color="auto"/>
              <w:left w:val="single" w:sz="4" w:space="0" w:color="auto"/>
              <w:bottom w:val="single" w:sz="4" w:space="0" w:color="auto"/>
              <w:right w:val="single" w:sz="4" w:space="0" w:color="auto"/>
            </w:tcBorders>
            <w:shd w:val="clear" w:color="FFFFFF" w:fill="FFFFFF"/>
            <w:vAlign w:val="center"/>
            <w:hideMark/>
          </w:tcPr>
          <w:p>
            <w:pPr>
              <w:spacing w:before="40" w:after="40"/>
              <w:jc w:val="center"/>
              <w:rPr>
                <w:noProof/>
                <w:sz w:val="20"/>
                <w:szCs w:val="18"/>
              </w:rPr>
            </w:pPr>
            <w:r>
              <w:rPr>
                <w:noProof/>
                <w:sz w:val="20"/>
              </w:rPr>
              <w:t>EN 13751</w:t>
            </w:r>
          </w:p>
        </w:tc>
      </w:tr>
      <w:tr>
        <w:trPr>
          <w:trHeight w:val="246"/>
        </w:trPr>
        <w:tc>
          <w:tcPr>
            <w:tcW w:w="3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r>
        <w:trPr>
          <w:trHeight w:val="27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b/>
                <w:bCs/>
                <w:noProof/>
                <w:sz w:val="20"/>
                <w:szCs w:val="18"/>
              </w:rPr>
            </w:pPr>
            <w:r>
              <w:rPr>
                <w:b/>
                <w:noProof/>
                <w:sz w:val="20"/>
              </w:rPr>
              <w:t>Total en % des échantillons analysés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90,0 %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2,0 %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sz w:val="20"/>
                <w:szCs w:val="18"/>
              </w:rPr>
            </w:pPr>
            <w:r>
              <w:rPr>
                <w:b/>
                <w:noProof/>
                <w:sz w:val="20"/>
              </w:rPr>
              <w:t>8,0 %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noProof/>
                <w:sz w:val="20"/>
                <w:szCs w:val="18"/>
              </w:rPr>
            </w:pPr>
          </w:p>
        </w:tc>
      </w:tr>
    </w:tbl>
    <w:p>
      <w:pPr>
        <w:pStyle w:val="Point1"/>
        <w:ind w:left="709" w:hanging="709"/>
        <w:rPr>
          <w:noProof/>
          <w:sz w:val="20"/>
        </w:rPr>
      </w:pPr>
      <w:r>
        <w:rPr>
          <w:noProof/>
          <w:sz w:val="20"/>
          <w:vertAlign w:val="superscript"/>
        </w:rPr>
        <w:t>*</w:t>
      </w:r>
      <w:r>
        <w:rPr>
          <w:noProof/>
        </w:rPr>
        <w:tab/>
      </w:r>
      <w:r>
        <w:rPr>
          <w:noProof/>
          <w:sz w:val="20"/>
        </w:rPr>
        <w:t>étiquetage erroné, irradiation dans des unités non agréées par l’UE</w:t>
      </w:r>
    </w:p>
    <w:p>
      <w:pPr>
        <w:pStyle w:val="Point1"/>
        <w:keepNext/>
        <w:ind w:left="1276" w:hanging="709"/>
        <w:rPr>
          <w:b/>
          <w:noProof/>
        </w:rPr>
      </w:pPr>
      <w:r>
        <w:rPr>
          <w:b/>
          <w:noProof/>
        </w:rPr>
        <w:t>4.30.</w:t>
      </w:r>
      <w:r>
        <w:rPr>
          <w:noProof/>
        </w:rPr>
        <w:tab/>
      </w:r>
      <w:r>
        <w:rPr>
          <w:b/>
          <w:noProof/>
        </w:rPr>
        <w:t>Norvège</w:t>
      </w:r>
    </w:p>
    <w:p>
      <w:pPr>
        <w:pStyle w:val="Text2"/>
        <w:keepNext/>
        <w:keepLines/>
        <w:spacing w:before="120" w:after="120"/>
        <w:ind w:left="1276"/>
        <w:rPr>
          <w:b/>
          <w:noProof/>
        </w:rPr>
      </w:pPr>
      <w:r>
        <w:rPr>
          <w:noProof/>
        </w:rPr>
        <w:t xml:space="preserve">En raison de l’absence de laboratoires effectuant des analyses de l’ionisation, aucun contrôle n’a été effectué au stade de la commercialisation des produits en Norvège en 2014. </w:t>
      </w:r>
    </w:p>
    <w:p>
      <w:pPr>
        <w:pStyle w:val="Point0"/>
        <w:ind w:left="567" w:hanging="567"/>
        <w:rPr>
          <w:b/>
          <w:smallCaps/>
          <w:noProof/>
        </w:rPr>
        <w:sectPr>
          <w:headerReference w:type="even" r:id="rId36"/>
          <w:headerReference w:type="default" r:id="rId37"/>
          <w:footerReference w:type="even" r:id="rId38"/>
          <w:footerReference w:type="default" r:id="rId39"/>
          <w:headerReference w:type="first" r:id="rId40"/>
          <w:footerReference w:type="first" r:id="rId41"/>
          <w:pgSz w:w="11906" w:h="16838"/>
          <w:pgMar w:top="1020" w:right="1701" w:bottom="1020" w:left="1587" w:header="601" w:footer="1077" w:gutter="0"/>
          <w:cols w:space="720"/>
          <w:titlePg/>
        </w:sectPr>
      </w:pPr>
    </w:p>
    <w:p>
      <w:pPr>
        <w:pStyle w:val="Point0"/>
        <w:ind w:left="567" w:hanging="567"/>
        <w:rPr>
          <w:b/>
          <w:smallCaps/>
          <w:noProof/>
        </w:rPr>
      </w:pPr>
      <w:r>
        <w:rPr>
          <w:b/>
          <w:smallCaps/>
          <w:noProof/>
        </w:rPr>
        <w:t>5.</w:t>
      </w:r>
      <w:r>
        <w:rPr>
          <w:noProof/>
        </w:rPr>
        <w:tab/>
      </w:r>
      <w:r>
        <w:rPr>
          <w:b/>
          <w:smallCaps/>
          <w:noProof/>
        </w:rPr>
        <w:t>Synthèse</w:t>
      </w:r>
    </w:p>
    <w:p>
      <w:pPr>
        <w:pStyle w:val="Text1"/>
        <w:spacing w:before="120" w:after="120"/>
        <w:ind w:left="567"/>
        <w:rPr>
          <w:noProof/>
        </w:rPr>
      </w:pPr>
      <w:r>
        <w:rPr>
          <w:noProof/>
        </w:rPr>
        <w:t>Le présent rapport couvre la période allant du 1</w:t>
      </w:r>
      <w:r>
        <w:rPr>
          <w:noProof/>
          <w:vertAlign w:val="superscript"/>
        </w:rPr>
        <w:t>er</w:t>
      </w:r>
      <w:r>
        <w:rPr>
          <w:noProof/>
        </w:rPr>
        <w:t xml:space="preserve"> janvier au 31 décembre 2014. Il réunit les renseignements transmis à la Commission par vingt-sept États membres. La Croatie n’a pas fourni de données pour 2014. </w:t>
      </w:r>
    </w:p>
    <w:p>
      <w:pPr>
        <w:pStyle w:val="Text1"/>
        <w:ind w:left="567"/>
        <w:rPr>
          <w:noProof/>
        </w:rPr>
      </w:pPr>
      <w:r>
        <w:rPr>
          <w:noProof/>
        </w:rPr>
        <w:t>En 2014, vingt-cinq unités d’irradiation agréées conformément à l’article 7, paragraphe 2, de la directive 1999/2/CE étaient en activité dans treize États membres. Aucune unité d’irradiation agréée n’a été fermée. La Norvège a présenté des données sur les quantités de denrées alimentaires traitées par ionisation dans le courant de l’année 2014.</w:t>
      </w:r>
    </w:p>
    <w:p>
      <w:pPr>
        <w:pStyle w:val="Text1"/>
        <w:ind w:left="567"/>
        <w:rPr>
          <w:noProof/>
        </w:rPr>
      </w:pPr>
      <w:r>
        <w:rPr>
          <w:noProof/>
        </w:rPr>
        <w:t xml:space="preserve">Au total, </w:t>
      </w:r>
      <w:r>
        <w:rPr>
          <w:b/>
          <w:noProof/>
        </w:rPr>
        <w:t>5 543,3 tonnes</w:t>
      </w:r>
      <w:r>
        <w:rPr>
          <w:noProof/>
        </w:rPr>
        <w:t xml:space="preserve"> de produits ont été traitées par ionisation dans les États membres de l’UE, dont 84 % dans deux États membres principalement: la Belgique (59 %) et les Pays-Bas (24 %). Les deux principaux produits soumis à ionisation sont les cuisses de grenouilles (55 %) et les abats de volaille (16,2 %). On note un recul graduel de la </w:t>
      </w:r>
      <w:r>
        <w:rPr>
          <w:noProof/>
          <w:u w:val="single"/>
        </w:rPr>
        <w:t>quantité totale de produits irradiés dans l’UE</w:t>
      </w:r>
      <w:r>
        <w:rPr>
          <w:noProof/>
        </w:rPr>
        <w:t xml:space="preserve"> d’une année sur l’autre: 6 876 tonnes avaient ainsi été traitées par ionisation en 2013 (soit une diminution de 19 % en 2014 par rapport à 2013) et 7 972 tonnes en 2012 (soit une diminution de 14 % en 2013 par rapport à 2012). </w:t>
      </w:r>
    </w:p>
    <w:p>
      <w:pPr>
        <w:pStyle w:val="Text1"/>
        <w:ind w:left="567"/>
        <w:rPr>
          <w:noProof/>
        </w:rPr>
      </w:pPr>
      <w:r>
        <w:rPr>
          <w:noProof/>
          <w:lang w:val="en-US" w:eastAsia="en-US" w:bidi="ar-SA"/>
        </w:rPr>
        <w:drawing>
          <wp:inline distT="0" distB="0" distL="0" distR="0">
            <wp:extent cx="5800725" cy="3086735"/>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Text1"/>
        <w:ind w:left="567"/>
        <w:rPr>
          <w:noProof/>
        </w:rPr>
      </w:pPr>
      <w:r>
        <w:rPr>
          <w:noProof/>
        </w:rPr>
        <w:t>Vingt-sept États membres ont fourni des informations sur les contrôles effectués au stade de la commercialisation des produits. Six États membres et la Norvège n’ont pas effectué de contrôles analytiques au stade de la commercialisation des produits au cours de l’année 2014.</w:t>
      </w:r>
    </w:p>
    <w:p>
      <w:pPr>
        <w:pStyle w:val="Text1"/>
        <w:ind w:left="567"/>
        <w:rPr>
          <w:noProof/>
        </w:rPr>
      </w:pPr>
      <w:r>
        <w:rPr>
          <w:noProof/>
        </w:rPr>
        <w:t xml:space="preserve">Au total, </w:t>
      </w:r>
      <w:r>
        <w:rPr>
          <w:b/>
          <w:noProof/>
        </w:rPr>
        <w:t>5 779</w:t>
      </w:r>
      <w:r>
        <w:rPr>
          <w:noProof/>
        </w:rPr>
        <w:t xml:space="preserve"> échantillons ont été analysés par vingt et un États membres en 2014, dont 71,7 % dans </w:t>
      </w:r>
      <w:r>
        <w:rPr>
          <w:b/>
          <w:noProof/>
        </w:rPr>
        <w:t>trois</w:t>
      </w:r>
      <w:r>
        <w:rPr>
          <w:noProof/>
        </w:rPr>
        <w:t xml:space="preserve"> États membres (55,6 % en Allemagne, 9,6 % en Italie et 6,5 % aux Pays-Bas; pour 2013, ces valeurs s’établissaient à 50,5 % pour l’Allemagne, 9,7 % pour l’Italie et 6,3 % pour les Pays-Bas). L’Allemagne demeure en tête en ce qui concerne le contrôle des produits alimentaires au stade de la commercialisation. 5 646 échantillons (97,7 %) étaient conformes aux dispositions de la directive 1999/2/CE, 73 échantillons (1,3 %) ne l’étaient pas et les résultats n’ont pas été probants pour 59 échantillons (1,0 %).</w:t>
      </w:r>
      <w:r>
        <w:rPr>
          <w:noProof/>
          <w:color w:val="00B050"/>
        </w:rPr>
        <w:t xml:space="preserve"> </w:t>
      </w:r>
      <w:r>
        <w:rPr>
          <w:noProof/>
        </w:rPr>
        <w:t>Les deux principaux motifs de non-conformité des échantillons analysés étaient les mêmes que les années précédentes, à savoir un étiquetage incorrect et un traitement par ionisation interdit. La non-conformité a été également due à une irradiation dans des unités non agréées par l’Union européenne. Les motifs de non-conformité sont indiqués dans les tableaux qui présentent les tests effectués dans chaque État membre.</w:t>
      </w:r>
    </w:p>
    <w:sectPr>
      <w:headerReference w:type="even" r:id="rId43"/>
      <w:headerReference w:type="default" r:id="rId44"/>
      <w:footerReference w:type="even" r:id="rId45"/>
      <w:footerReference w:type="default" r:id="rId46"/>
      <w:headerReference w:type="first" r:id="rId47"/>
      <w:footerReference w:type="first" r:id="rId48"/>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21</w:t>
    </w:r>
    <w:r>
      <w:rPr>
        <w:rFonts w:ascii="Times New Roman" w:hAnsi="Times New Roman"/>
        <w:noProof/>
        <w:sz w:val="24"/>
        <w:szCs w:val="24"/>
      </w:rPr>
      <w:fldChar w:fldCharType="end"/>
    </w:r>
  </w:p>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16</w:t>
    </w:r>
    <w:r>
      <w:rPr>
        <w:rFonts w:ascii="Times New Roman" w:hAnsi="Times New Roman"/>
        <w:noProof/>
        <w:sz w:val="24"/>
        <w:szCs w:val="24"/>
      </w:rPr>
      <w:fldChar w:fldCharType="end"/>
    </w:r>
  </w:p>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27</w:t>
    </w:r>
    <w:r>
      <w:rPr>
        <w:rFonts w:ascii="Times New Roman" w:hAnsi="Times New Roman"/>
        <w:noProof/>
        <w:sz w:val="24"/>
        <w:szCs w:val="24"/>
      </w:rPr>
      <w:fldChar w:fldCharType="end"/>
    </w:r>
  </w:p>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22</w:t>
    </w:r>
    <w:r>
      <w:rPr>
        <w:rFonts w:ascii="Times New Roman" w:hAnsi="Times New Roman"/>
        <w:noProof/>
        <w:sz w:val="24"/>
        <w:szCs w:val="24"/>
      </w:rPr>
      <w:fldChar w:fldCharType="end"/>
    </w:r>
  </w:p>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29</w:t>
    </w:r>
    <w:r>
      <w:rPr>
        <w:rFonts w:ascii="Times New Roman" w:hAnsi="Times New Roman"/>
        <w:noProof/>
        <w:sz w:val="24"/>
        <w:szCs w:val="24"/>
      </w:rPr>
      <w:fldChar w:fldCharType="end"/>
    </w:r>
  </w:p>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28</w:t>
    </w:r>
    <w:r>
      <w:rPr>
        <w:rFonts w:ascii="Times New Roman" w:hAnsi="Times New Roman"/>
        <w:noProof/>
        <w:sz w:val="24"/>
        <w:szCs w:val="24"/>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15</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noProof/>
        <w:sz w:val="24"/>
        <w:szCs w:val="24"/>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ab/>
        <w:t xml:space="preserve">Directive 1999/2/CE du Parlement européen et du Conseil du 22 février 1999 relative au rapprochement des législations des États membres sur les denrées et ingrédients alimentaires traités par ionisation </w:t>
      </w:r>
      <w:r>
        <w:rPr>
          <w:rStyle w:val="FootnoteReference"/>
          <w:vertAlign w:val="baseline"/>
        </w:rPr>
        <w:t>(JO L 66 du 13.3.1999, p. 16)</w:t>
      </w:r>
      <w:r>
        <w:t>.</w:t>
      </w:r>
    </w:p>
  </w:footnote>
  <w:footnote w:id="2">
    <w:p>
      <w:pPr>
        <w:pStyle w:val="FootnoteText"/>
        <w:spacing w:after="0"/>
      </w:pPr>
      <w:r>
        <w:rPr>
          <w:rStyle w:val="FootnoteReference"/>
        </w:rPr>
        <w:footnoteRef/>
      </w:r>
      <w:r>
        <w:tab/>
      </w:r>
      <w:r>
        <w:rPr>
          <w:rStyle w:val="FootnoteReference"/>
          <w:vertAlign w:val="baseline"/>
        </w:rPr>
        <w:t>http://ec.europa.eu/food/food/biosafety/irradiation/index_fr.htm</w:t>
      </w:r>
    </w:p>
  </w:footnote>
  <w:footnote w:id="3">
    <w:p>
      <w:pPr>
        <w:pStyle w:val="FootnoteText"/>
        <w:spacing w:after="0"/>
      </w:pPr>
      <w:r>
        <w:rPr>
          <w:rStyle w:val="FootnoteReference"/>
        </w:rPr>
        <w:footnoteRef/>
      </w:r>
      <w:r>
        <w:tab/>
      </w:r>
      <w:r>
        <w:rPr>
          <w:rStyle w:val="FootnoteReference"/>
          <w:vertAlign w:val="baseline"/>
        </w:rPr>
        <w:t>JO C </w:t>
      </w:r>
      <w:r>
        <w:t>265 du 1.9.2012, p. 3.</w:t>
      </w:r>
    </w:p>
  </w:footnote>
  <w:footnote w:id="4">
    <w:p>
      <w:pPr>
        <w:pStyle w:val="FootnoteText"/>
        <w:spacing w:after="0"/>
      </w:pPr>
      <w:r>
        <w:rPr>
          <w:rStyle w:val="FootnoteReference"/>
        </w:rPr>
        <w:footnoteRef/>
      </w:r>
      <w:r>
        <w:tab/>
        <w:t>Directive 1999/3/CE du Parlement européen et du Conseil du 22 février 1999 établissant une liste communautaire de denrées et ingrédients alimentaires traités par ionisation.</w:t>
      </w:r>
      <w:r>
        <w:tab/>
      </w:r>
      <w:r>
        <w:br/>
        <w:t>(</w:t>
      </w:r>
      <w:r>
        <w:rPr>
          <w:rStyle w:val="FootnoteReference"/>
          <w:vertAlign w:val="baseline"/>
        </w:rPr>
        <w:t>JO L 66 du 13.3.1999, p. 24</w:t>
      </w:r>
      <w:r>
        <w:t>)</w:t>
      </w:r>
      <w:r>
        <w:rPr>
          <w:rStyle w:val="FootnoteReference"/>
          <w:vertAlign w:val="baseline"/>
        </w:rPr>
        <w:t>.</w:t>
      </w:r>
    </w:p>
  </w:footnote>
  <w:footnote w:id="5">
    <w:p>
      <w:pPr>
        <w:pStyle w:val="FootnoteText"/>
        <w:spacing w:after="0"/>
      </w:pPr>
      <w:r>
        <w:rPr>
          <w:rStyle w:val="FootnoteReference"/>
        </w:rPr>
        <w:footnoteRef/>
      </w:r>
      <w:r>
        <w:tab/>
      </w:r>
      <w:r>
        <w:rPr>
          <w:rStyle w:val="FootnoteReference"/>
          <w:vertAlign w:val="baseline"/>
        </w:rPr>
        <w:t>JO C 283 du 24.11.2009,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7780DBCA"/>
    <w:name w:val="List Number 4"/>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EF2C87"/>
    <w:multiLevelType w:val="hybridMultilevel"/>
    <w:tmpl w:val="B3C8AABC"/>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E43525"/>
    <w:multiLevelType w:val="multilevel"/>
    <w:tmpl w:val="449A12FE"/>
    <w:name w:val="List Number 3"/>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F212747"/>
    <w:multiLevelType w:val="multilevel"/>
    <w:tmpl w:val="FBD0F488"/>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DD5905"/>
    <w:multiLevelType w:val="singleLevel"/>
    <w:tmpl w:val="6CB4B73E"/>
    <w:name w:val="List Bullet 2"/>
    <w:lvl w:ilvl="0">
      <w:start w:val="1"/>
      <w:numFmt w:val="bullet"/>
      <w:lvlRestart w:val="0"/>
      <w:lvlText w:val=""/>
      <w:lvlJc w:val="left"/>
      <w:pPr>
        <w:tabs>
          <w:tab w:val="num" w:pos="1134"/>
        </w:tabs>
        <w:ind w:left="1134" w:hanging="283"/>
      </w:pPr>
      <w:rPr>
        <w:rFonts w:ascii="Symbol" w:hAnsi="Symbol" w:hint="default"/>
      </w:rPr>
    </w:lvl>
  </w:abstractNum>
  <w:abstractNum w:abstractNumId="7">
    <w:nsid w:val="149674C4"/>
    <w:multiLevelType w:val="singleLevel"/>
    <w:tmpl w:val="8A2AF054"/>
    <w:name w:val="Tiret 1"/>
    <w:lvl w:ilvl="0">
      <w:start w:val="1"/>
      <w:numFmt w:val="bullet"/>
      <w:lvlRestart w:val="0"/>
      <w:pStyle w:val="Tiret1"/>
      <w:lvlText w:val="–"/>
      <w:lvlJc w:val="left"/>
      <w:pPr>
        <w:tabs>
          <w:tab w:val="num" w:pos="1417"/>
        </w:tabs>
        <w:ind w:left="1417" w:hanging="567"/>
      </w:pPr>
    </w:lvl>
  </w:abstractNum>
  <w:abstractNum w:abstractNumId="8">
    <w:nsid w:val="14F64798"/>
    <w:multiLevelType w:val="hybridMultilevel"/>
    <w:tmpl w:val="9FE6BB32"/>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592001"/>
    <w:multiLevelType w:val="singleLevel"/>
    <w:tmpl w:val="3C6C7C7E"/>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
    <w:nsid w:val="158411A6"/>
    <w:multiLevelType w:val="singleLevel"/>
    <w:tmpl w:val="891A2EB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41162DB"/>
    <w:multiLevelType w:val="singleLevel"/>
    <w:tmpl w:val="B27E1B54"/>
    <w:name w:val="Tiret 2"/>
    <w:lvl w:ilvl="0">
      <w:start w:val="1"/>
      <w:numFmt w:val="bullet"/>
      <w:lvlRestart w:val="0"/>
      <w:pStyle w:val="Tiret2"/>
      <w:lvlText w:val="–"/>
      <w:lvlJc w:val="left"/>
      <w:pPr>
        <w:tabs>
          <w:tab w:val="num" w:pos="1984"/>
        </w:tabs>
        <w:ind w:left="1984" w:hanging="567"/>
      </w:pPr>
    </w:lvl>
  </w:abstractNum>
  <w:abstractNum w:abstractNumId="15">
    <w:nsid w:val="245625B2"/>
    <w:multiLevelType w:val="singleLevel"/>
    <w:tmpl w:val="CE8AFADA"/>
    <w:name w:val="List Bullet__1"/>
    <w:lvl w:ilvl="0">
      <w:start w:val="1"/>
      <w:numFmt w:val="bullet"/>
      <w:lvlRestart w:val="0"/>
      <w:lvlText w:val=""/>
      <w:lvlJc w:val="left"/>
      <w:pPr>
        <w:tabs>
          <w:tab w:val="num" w:pos="283"/>
        </w:tabs>
        <w:ind w:left="283" w:hanging="283"/>
      </w:pPr>
      <w:rPr>
        <w:rFonts w:ascii="Symbol" w:hAnsi="Symbol" w:hint="default"/>
      </w:rPr>
    </w:lvl>
  </w:abstractNum>
  <w:abstractNum w:abstractNumId="16">
    <w:nsid w:val="24E930D7"/>
    <w:multiLevelType w:val="multilevel"/>
    <w:tmpl w:val="1B1A18EC"/>
    <w:name w:val="List Number 4__2"/>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665B10"/>
    <w:multiLevelType w:val="singleLevel"/>
    <w:tmpl w:val="46FC9CFA"/>
    <w:name w:val="List Bullet 4__1"/>
    <w:lvl w:ilvl="0">
      <w:start w:val="1"/>
      <w:numFmt w:val="bullet"/>
      <w:lvlRestart w:val="0"/>
      <w:lvlText w:val=""/>
      <w:lvlJc w:val="left"/>
      <w:pPr>
        <w:tabs>
          <w:tab w:val="num" w:pos="1134"/>
        </w:tabs>
        <w:ind w:left="1134" w:hanging="283"/>
      </w:pPr>
      <w:rPr>
        <w:rFonts w:ascii="Symbol" w:hAnsi="Symbol" w:hint="default"/>
      </w:rPr>
    </w:lvl>
  </w:abstractNum>
  <w:abstractNum w:abstractNumId="1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076C74"/>
    <w:multiLevelType w:val="multilevel"/>
    <w:tmpl w:val="CC8EDB1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nsid w:val="30B00343"/>
    <w:multiLevelType w:val="multilevel"/>
    <w:tmpl w:val="A9DA8D04"/>
    <w:name w:val="List Number__1"/>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6">
    <w:nsid w:val="3E191884"/>
    <w:multiLevelType w:val="singleLevel"/>
    <w:tmpl w:val="3020C764"/>
    <w:name w:val="List Bullet 3__2"/>
    <w:lvl w:ilvl="0">
      <w:start w:val="1"/>
      <w:numFmt w:val="bullet"/>
      <w:lvlRestart w:val="0"/>
      <w:lvlText w:val=""/>
      <w:lvlJc w:val="left"/>
      <w:pPr>
        <w:tabs>
          <w:tab w:val="num" w:pos="1134"/>
        </w:tabs>
        <w:ind w:left="1134" w:hanging="283"/>
      </w:pPr>
      <w:rPr>
        <w:rFonts w:ascii="Symbol" w:hAnsi="Symbol" w:hint="default"/>
      </w:rPr>
    </w:lvl>
  </w:abstractNum>
  <w:abstractNum w:abstractNumId="27">
    <w:nsid w:val="40FF3500"/>
    <w:multiLevelType w:val="singleLevel"/>
    <w:tmpl w:val="84DA1EE8"/>
    <w:name w:val="0.6447566"/>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nsid w:val="47624FD8"/>
    <w:multiLevelType w:val="multilevel"/>
    <w:tmpl w:val="F70ADEA0"/>
    <w:name w:val="List Number 2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9D47C56"/>
    <w:multiLevelType w:val="multilevel"/>
    <w:tmpl w:val="77E0331E"/>
    <w:name w:val="List Bullet 4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B7B63E2"/>
    <w:multiLevelType w:val="hybridMultilevel"/>
    <w:tmpl w:val="F9BAF79A"/>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C1D2E93"/>
    <w:multiLevelType w:val="hybridMultilevel"/>
    <w:tmpl w:val="F1222906"/>
    <w:lvl w:ilvl="0" w:tplc="7A50D5E2">
      <w:start w:val="4"/>
      <w:numFmt w:val="bullet"/>
      <w:lvlText w:val=""/>
      <w:lvlJc w:val="left"/>
      <w:pPr>
        <w:ind w:left="361" w:hanging="360"/>
      </w:pPr>
      <w:rPr>
        <w:rFonts w:ascii="Symbol" w:eastAsia="Times New Roman" w:hAnsi="Symbol" w:cs="Times New Roman"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33">
    <w:nsid w:val="525A1BE1"/>
    <w:multiLevelType w:val="multilevel"/>
    <w:tmpl w:val="5CF0C6D0"/>
    <w:name w:val="List Number 4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5">
    <w:nsid w:val="56BD6302"/>
    <w:multiLevelType w:val="singleLevel"/>
    <w:tmpl w:val="70EA3F82"/>
    <w:name w:val="List Bullet 3__1"/>
    <w:lvl w:ilvl="0">
      <w:start w:val="1"/>
      <w:numFmt w:val="bullet"/>
      <w:lvlRestart w:val="0"/>
      <w:lvlText w:val=""/>
      <w:lvlJc w:val="left"/>
      <w:pPr>
        <w:tabs>
          <w:tab w:val="num" w:pos="1134"/>
        </w:tabs>
        <w:ind w:left="1134" w:hanging="283"/>
      </w:pPr>
      <w:rPr>
        <w:rFonts w:ascii="Symbol" w:hAnsi="Symbol" w:hint="default"/>
      </w:rPr>
    </w:lvl>
  </w:abstractNum>
  <w:abstractNum w:abstractNumId="36">
    <w:nsid w:val="5CEE73A5"/>
    <w:multiLevelType w:val="multilevel"/>
    <w:tmpl w:val="43B86EB4"/>
    <w:name w:val="List Number 3__1"/>
    <w:lvl w:ilvl="0">
      <w:start w:val="1"/>
      <w:numFmt w:val="decimal"/>
      <w:lvlRestart w:val="0"/>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nsid w:val="63B26268"/>
    <w:multiLevelType w:val="singleLevel"/>
    <w:tmpl w:val="491E6360"/>
    <w:lvl w:ilvl="0">
      <w:start w:val="1"/>
      <w:numFmt w:val="decimal"/>
      <w:lvlRestart w:val="0"/>
      <w:pStyle w:val="Considrant"/>
      <w:lvlText w:val="(%1)"/>
      <w:lvlJc w:val="left"/>
      <w:pPr>
        <w:tabs>
          <w:tab w:val="num" w:pos="709"/>
        </w:tabs>
        <w:ind w:left="709" w:hanging="709"/>
      </w:pPr>
    </w:lvl>
  </w:abstractNum>
  <w:abstractNum w:abstractNumId="41">
    <w:nsid w:val="6D0C4356"/>
    <w:multiLevelType w:val="singleLevel"/>
    <w:tmpl w:val="13F0312E"/>
    <w:name w:val="List Bullet 2__1"/>
    <w:lvl w:ilvl="0">
      <w:start w:val="1"/>
      <w:numFmt w:val="bullet"/>
      <w:lvlRestart w:val="0"/>
      <w:lvlText w:val=""/>
      <w:lvlJc w:val="left"/>
      <w:pPr>
        <w:tabs>
          <w:tab w:val="num" w:pos="1134"/>
        </w:tabs>
        <w:ind w:left="1134" w:hanging="283"/>
      </w:pPr>
      <w:rPr>
        <w:rFonts w:ascii="Symbol" w:hAnsi="Symbol" w:hint="default"/>
      </w:rPr>
    </w:lvl>
  </w:abstractNum>
  <w:abstractNum w:abstractNumId="42">
    <w:nsid w:val="6D2B5511"/>
    <w:multiLevelType w:val="singleLevel"/>
    <w:tmpl w:val="74A09970"/>
    <w:name w:val="List Number__2"/>
    <w:lvl w:ilvl="0">
      <w:start w:val="1"/>
      <w:numFmt w:val="bullet"/>
      <w:lvlRestart w:val="0"/>
      <w:lvlText w:val=""/>
      <w:lvlJc w:val="left"/>
      <w:pPr>
        <w:tabs>
          <w:tab w:val="num" w:pos="283"/>
        </w:tabs>
        <w:ind w:left="283" w:hanging="283"/>
      </w:pPr>
      <w:rPr>
        <w:rFonts w:ascii="Symbol" w:hAnsi="Symbol" w:hint="default"/>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6EC300CA"/>
    <w:multiLevelType w:val="singleLevel"/>
    <w:tmpl w:val="055ABBD0"/>
    <w:name w:val="Considérant__1"/>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5">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4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29504D5"/>
    <w:multiLevelType w:val="singleLevel"/>
    <w:tmpl w:val="1BC6DBFC"/>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8">
    <w:nsid w:val="78A241BD"/>
    <w:multiLevelType w:val="singleLevel"/>
    <w:tmpl w:val="53C4DF32"/>
    <w:name w:val="List Dash"/>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49">
    <w:nsid w:val="7B454D54"/>
    <w:multiLevelType w:val="singleLevel"/>
    <w:tmpl w:val="8A02E4B2"/>
    <w:name w:val="Default"/>
    <w:lvl w:ilvl="0">
      <w:start w:val="1"/>
      <w:numFmt w:val="bullet"/>
      <w:lvlRestart w:val="0"/>
      <w:pStyle w:val="Tiret4"/>
      <w:lvlText w:val="–"/>
      <w:lvlJc w:val="left"/>
      <w:pPr>
        <w:tabs>
          <w:tab w:val="num" w:pos="3118"/>
        </w:tabs>
        <w:ind w:left="3118" w:hanging="567"/>
      </w:pPr>
    </w:lvl>
  </w:abstractNum>
  <w:abstractNum w:abstractNumId="50">
    <w:nsid w:val="7E8224EA"/>
    <w:multiLevelType w:val="singleLevel"/>
    <w:tmpl w:val="34DEB8CE"/>
    <w:name w:val="List Bullet__2"/>
    <w:lvl w:ilvl="0">
      <w:start w:val="1"/>
      <w:numFmt w:val="bullet"/>
      <w:lvlRestart w:val="0"/>
      <w:pStyle w:val="Tiret0"/>
      <w:lvlText w:val="–"/>
      <w:lvlJc w:val="left"/>
      <w:pPr>
        <w:tabs>
          <w:tab w:val="num" w:pos="850"/>
        </w:tabs>
        <w:ind w:left="850" w:hanging="850"/>
      </w:pPr>
    </w:lvl>
  </w:abstractNum>
  <w:num w:numId="1">
    <w:abstractNumId w:val="1"/>
  </w:num>
  <w:num w:numId="2">
    <w:abstractNumId w:val="0"/>
  </w:num>
  <w:num w:numId="3">
    <w:abstractNumId w:val="12"/>
  </w:num>
  <w:num w:numId="4">
    <w:abstractNumId w:val="25"/>
  </w:num>
  <w:num w:numId="5">
    <w:abstractNumId w:val="18"/>
  </w:num>
  <w:num w:numId="6">
    <w:abstractNumId w:val="24"/>
  </w:num>
  <w:num w:numId="7">
    <w:abstractNumId w:val="39"/>
  </w:num>
  <w:num w:numId="8">
    <w:abstractNumId w:val="43"/>
  </w:num>
  <w:num w:numId="9">
    <w:abstractNumId w:val="22"/>
  </w:num>
  <w:num w:numId="10">
    <w:abstractNumId w:val="38"/>
  </w:num>
  <w:num w:numId="11">
    <w:abstractNumId w:val="37"/>
  </w:num>
  <w:num w:numId="12">
    <w:abstractNumId w:val="28"/>
  </w:num>
  <w:num w:numId="13">
    <w:abstractNumId w:val="34"/>
  </w:num>
  <w:num w:numId="14">
    <w:abstractNumId w:val="13"/>
  </w:num>
  <w:num w:numId="15">
    <w:abstractNumId w:val="23"/>
  </w:num>
  <w:num w:numId="16">
    <w:abstractNumId w:val="11"/>
  </w:num>
  <w:num w:numId="17">
    <w:abstractNumId w:val="19"/>
  </w:num>
  <w:num w:numId="18">
    <w:abstractNumId w:val="46"/>
  </w:num>
  <w:num w:numId="19">
    <w:abstractNumId w:val="50"/>
  </w:num>
  <w:num w:numId="20">
    <w:abstractNumId w:val="7"/>
  </w:num>
  <w:num w:numId="21">
    <w:abstractNumId w:val="14"/>
  </w:num>
  <w:num w:numId="22">
    <w:abstractNumId w:val="45"/>
  </w:num>
  <w:num w:numId="23">
    <w:abstractNumId w:val="49"/>
  </w:num>
  <w:num w:numId="24">
    <w:abstractNumId w:val="20"/>
  </w:num>
  <w:num w:numId="25">
    <w:abstractNumId w:val="9"/>
  </w:num>
  <w:num w:numId="26">
    <w:abstractNumId w:val="27"/>
  </w:num>
  <w:num w:numId="27">
    <w:abstractNumId w:val="10"/>
  </w:num>
  <w:num w:numId="28">
    <w:abstractNumId w:val="47"/>
  </w:num>
  <w:num w:numId="29">
    <w:abstractNumId w:val="44"/>
  </w:num>
  <w:num w:numId="30">
    <w:abstractNumId w:val="40"/>
  </w:num>
  <w:num w:numId="31">
    <w:abstractNumId w:val="32"/>
  </w:num>
  <w:num w:numId="32">
    <w:abstractNumId w:val="8"/>
  </w:num>
  <w:num w:numId="33">
    <w:abstractNumId w:val="3"/>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E99202B535C41ECA1721A760D7DCEC4"/>
    <w:docVar w:name="LW_CROSSREFERENCE" w:val="&lt;UNUSED&gt;"/>
    <w:docVar w:name="LW_DocType" w:val="REP"/>
    <w:docVar w:name="LW_EMISSION" w:val="17.12.2015"/>
    <w:docVar w:name="LW_EMISSION_ISODATE" w:val="2015-12-17"/>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665"/>
    <w:docVar w:name="LW_REF.INTERNE" w:val="&lt;UNUSED&gt;"/>
    <w:docVar w:name="LW_SOUS.TITRE.OBJ.CP" w:val="&lt;UNUSED&gt;"/>
    <w:docVar w:name="LW_SUPERTITRE" w:val="&lt;UNUSED&gt;"/>
    <w:docVar w:name="LW_TITRE.OBJ.CP" w:val="SUR LES DENRÉES ET INGRÉDIENTS ALIMENTAIRES TRAITÉS PAR IONISATION_x000b__x000b_EN 201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HeaderLandscape">
    <w:name w:val="HeaderLandscape"/>
    <w:basedOn w:val="Normal"/>
    <w:pPr>
      <w:tabs>
        <w:tab w:val="center" w:pos="7285"/>
        <w:tab w:val="right" w:pos="14003"/>
      </w:tabs>
      <w:spacing w:after="120"/>
    </w:pPr>
    <w:rPr>
      <w:szCs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tabs>
        <w:tab w:val="clear" w:pos="2551"/>
      </w:tabs>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Fait">
    <w:name w:val="Fait à"/>
    <w:basedOn w:val="Normal"/>
    <w:next w:val="Institutionquisigne"/>
    <w:pPr>
      <w:keepNext/>
      <w:spacing w:before="120" w:after="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link w:val="TypedudocumentChar"/>
    <w:pPr>
      <w:spacing w:before="360" w:after="0"/>
      <w:jc w:val="center"/>
    </w:pPr>
    <w:rPr>
      <w:b/>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Sous-titreobjet">
    <w:name w:val="Sous-titre objet"/>
    <w:basedOn w:val="Normal"/>
    <w:pPr>
      <w:spacing w:after="0"/>
      <w:jc w:val="center"/>
    </w:pPr>
    <w:rPr>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ormuledadoption">
    <w:name w:val="Formule d'adoption"/>
    <w:basedOn w:val="Normal"/>
    <w:next w:val="Titrearticle"/>
    <w:pPr>
      <w:keepNext/>
      <w:spacing w:before="120" w:after="120"/>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Statut">
    <w:name w:val="Statut"/>
    <w:basedOn w:val="Normal"/>
    <w:next w:val="Typedudocument"/>
    <w:pPr>
      <w:spacing w:before="360" w:after="0"/>
      <w:jc w:val="center"/>
    </w:pPr>
    <w:rPr>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styleId="BalloonText">
    <w:name w:val="Balloon Text"/>
    <w:basedOn w:val="Normal"/>
    <w:link w:val="BalloonTextChar"/>
    <w:semiHidden/>
    <w:pPr>
      <w:spacing w:before="120" w:after="120"/>
    </w:pPr>
    <w:rPr>
      <w:rFonts w:ascii="Tahoma" w:hAnsi="Tahoma"/>
      <w:sz w:val="16"/>
      <w:szCs w:val="16"/>
    </w:rPr>
  </w:style>
  <w:style w:type="character" w:customStyle="1" w:styleId="BalloonTextChar">
    <w:name w:val="Balloon Text Char"/>
    <w:link w:val="BalloonText"/>
    <w:semiHidden/>
    <w:rPr>
      <w:rFonts w:ascii="Tahoma" w:hAnsi="Tahoma" w:cs="Tahoma"/>
      <w:sz w:val="16"/>
      <w:szCs w:val="16"/>
      <w:lang w:eastAsia="fr-FR"/>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character" w:styleId="CommentReference">
    <w:name w:val="annotation reference"/>
    <w:rPr>
      <w:sz w:val="16"/>
      <w:szCs w:val="16"/>
      <w:shd w:val="clear" w:color="auto" w:fill="auto"/>
    </w:rPr>
  </w:style>
  <w:style w:type="character" w:customStyle="1" w:styleId="CommentTextChar">
    <w:name w:val="Comment Text Char"/>
    <w:rPr>
      <w:shd w:val="clear" w:color="auto" w:fill="auto"/>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link w:val="CommentText"/>
    <w:rPr>
      <w:lang w:eastAsia="fr-FR"/>
    </w:rPr>
  </w:style>
  <w:style w:type="character" w:customStyle="1" w:styleId="CommentSubjectChar">
    <w:name w:val="Comment Subject Char"/>
    <w:link w:val="CommentSubject"/>
    <w:rPr>
      <w:b/>
      <w:bCs/>
      <w:lang w:eastAsia="fr-FR"/>
    </w:rPr>
  </w:style>
  <w:style w:type="paragraph" w:styleId="Revision">
    <w:name w:val="Revision"/>
    <w:hidden/>
    <w:uiPriority w:val="99"/>
    <w:semiHidden/>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TypedudocumentChar">
    <w:name w:val="Type du document Char"/>
    <w:link w:val="Typedudocument"/>
    <w:rPr>
      <w:b/>
      <w:sz w:val="24"/>
      <w:szCs w:val="24"/>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rFonts w:ascii="Arial" w:hAnsi="Arial"/>
      <w:sz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table of figures" w:uiPriority="0"/>
    <w:lsdException w:name="footnote reference"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HeaderLandscape">
    <w:name w:val="HeaderLandscape"/>
    <w:basedOn w:val="Normal"/>
    <w:pPr>
      <w:tabs>
        <w:tab w:val="center" w:pos="7285"/>
        <w:tab w:val="right" w:pos="14003"/>
      </w:tabs>
      <w:spacing w:after="120"/>
    </w:pPr>
    <w:rPr>
      <w:szCs w:val="24"/>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semiHidden/>
    <w:rPr>
      <w:shd w:val="clear" w:color="auto" w:fill="auto"/>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tabs>
        <w:tab w:val="clear" w:pos="2551"/>
      </w:tabs>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Fait">
    <w:name w:val="Fait à"/>
    <w:basedOn w:val="Normal"/>
    <w:next w:val="Institutionquisigne"/>
    <w:pPr>
      <w:keepNext/>
      <w:spacing w:before="120" w:after="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link w:val="TypedudocumentChar"/>
    <w:pPr>
      <w:spacing w:before="360" w:after="0"/>
      <w:jc w:val="center"/>
    </w:pPr>
    <w:rPr>
      <w:b/>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Sous-titreobjet">
    <w:name w:val="Sous-titre objet"/>
    <w:basedOn w:val="Normal"/>
    <w:pPr>
      <w:spacing w:after="0"/>
      <w:jc w:val="center"/>
    </w:pPr>
    <w:rPr>
      <w:b/>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ormuledadoption">
    <w:name w:val="Formule d'adoption"/>
    <w:basedOn w:val="Normal"/>
    <w:next w:val="Titrearticle"/>
    <w:pPr>
      <w:keepNext/>
      <w:spacing w:before="120" w:after="120"/>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Statut">
    <w:name w:val="Statut"/>
    <w:basedOn w:val="Normal"/>
    <w:next w:val="Typedudocument"/>
    <w:pPr>
      <w:spacing w:before="360" w:after="0"/>
      <w:jc w:val="center"/>
    </w:pPr>
    <w:rPr>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styleId="BalloonText">
    <w:name w:val="Balloon Text"/>
    <w:basedOn w:val="Normal"/>
    <w:link w:val="BalloonTextChar"/>
    <w:semiHidden/>
    <w:pPr>
      <w:spacing w:before="120" w:after="120"/>
    </w:pPr>
    <w:rPr>
      <w:rFonts w:ascii="Tahoma" w:hAnsi="Tahoma"/>
      <w:sz w:val="16"/>
      <w:szCs w:val="16"/>
    </w:rPr>
  </w:style>
  <w:style w:type="character" w:customStyle="1" w:styleId="BalloonTextChar">
    <w:name w:val="Balloon Text Char"/>
    <w:link w:val="BalloonText"/>
    <w:semiHidden/>
    <w:rPr>
      <w:rFonts w:ascii="Tahoma" w:hAnsi="Tahoma" w:cs="Tahoma"/>
      <w:sz w:val="16"/>
      <w:szCs w:val="16"/>
      <w:lang w:eastAsia="fr-FR"/>
    </w:rPr>
  </w:style>
  <w:style w:type="character" w:customStyle="1" w:styleId="Corpsdutexte">
    <w:name w:val="Corps du texte_"/>
    <w:link w:val="Corpsdutexte0"/>
    <w:uiPriority w:val="99"/>
    <w:rPr>
      <w:sz w:val="23"/>
      <w:szCs w:val="23"/>
      <w:shd w:val="clear" w:color="auto" w:fill="FFFFFF"/>
    </w:rPr>
  </w:style>
  <w:style w:type="paragraph" w:customStyle="1" w:styleId="Corpsdutexte0">
    <w:name w:val="Corps du texte"/>
    <w:basedOn w:val="Normal"/>
    <w:link w:val="Corpsdutexte"/>
    <w:uiPriority w:val="99"/>
    <w:pPr>
      <w:widowControl w:val="0"/>
      <w:shd w:val="clear" w:color="auto" w:fill="FFFFFF"/>
      <w:spacing w:after="1380" w:line="278" w:lineRule="exact"/>
      <w:ind w:hanging="560"/>
      <w:jc w:val="center"/>
    </w:pPr>
    <w:rPr>
      <w:sz w:val="23"/>
      <w:szCs w:val="23"/>
    </w:rPr>
  </w:style>
  <w:style w:type="character" w:styleId="CommentReference">
    <w:name w:val="annotation reference"/>
    <w:rPr>
      <w:sz w:val="16"/>
      <w:szCs w:val="16"/>
      <w:shd w:val="clear" w:color="auto" w:fill="auto"/>
    </w:rPr>
  </w:style>
  <w:style w:type="character" w:customStyle="1" w:styleId="CommentTextChar">
    <w:name w:val="Comment Text Char"/>
    <w:rPr>
      <w:shd w:val="clear" w:color="auto" w:fill="auto"/>
      <w:lang w:eastAsia="fr-FR"/>
    </w:rPr>
  </w:style>
  <w:style w:type="paragraph" w:styleId="CommentSubject">
    <w:name w:val="annotation subject"/>
    <w:basedOn w:val="CommentText"/>
    <w:next w:val="CommentText"/>
    <w:link w:val="CommentSubjectChar"/>
    <w:pPr>
      <w:spacing w:before="120" w:after="120"/>
    </w:pPr>
    <w:rPr>
      <w:b/>
      <w:bCs/>
    </w:rPr>
  </w:style>
  <w:style w:type="character" w:customStyle="1" w:styleId="CommentTextChar1">
    <w:name w:val="Comment Text Char1"/>
    <w:link w:val="CommentText"/>
    <w:rPr>
      <w:lang w:eastAsia="fr-FR"/>
    </w:rPr>
  </w:style>
  <w:style w:type="character" w:customStyle="1" w:styleId="CommentSubjectChar">
    <w:name w:val="Comment Subject Char"/>
    <w:link w:val="CommentSubject"/>
    <w:rPr>
      <w:b/>
      <w:bCs/>
      <w:lang w:eastAsia="fr-FR"/>
    </w:rPr>
  </w:style>
  <w:style w:type="paragraph" w:styleId="Revision">
    <w:name w:val="Revision"/>
    <w:hidden/>
    <w:uiPriority w:val="99"/>
    <w:semiHidden/>
    <w:rPr>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Cs w:val="24"/>
    </w:rPr>
  </w:style>
  <w:style w:type="character" w:customStyle="1" w:styleId="TypedudocumentChar">
    <w:name w:val="Type du document Char"/>
    <w:link w:val="Typedudocument"/>
    <w:rPr>
      <w:b/>
      <w:sz w:val="24"/>
      <w:szCs w:val="24"/>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pPr>
    <w:rPr>
      <w:szCs w:val="24"/>
    </w:r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rFonts w:ascii="Arial" w:hAnsi="Arial"/>
      <w:sz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2225">
      <w:bodyDiv w:val="1"/>
      <w:marLeft w:val="0"/>
      <w:marRight w:val="0"/>
      <w:marTop w:val="0"/>
      <w:marBottom w:val="0"/>
      <w:divBdr>
        <w:top w:val="none" w:sz="0" w:space="0" w:color="auto"/>
        <w:left w:val="none" w:sz="0" w:space="0" w:color="auto"/>
        <w:bottom w:val="none" w:sz="0" w:space="0" w:color="auto"/>
        <w:right w:val="none" w:sz="0" w:space="0" w:color="auto"/>
      </w:divBdr>
    </w:div>
    <w:div w:id="90201429">
      <w:bodyDiv w:val="1"/>
      <w:marLeft w:val="0"/>
      <w:marRight w:val="0"/>
      <w:marTop w:val="0"/>
      <w:marBottom w:val="0"/>
      <w:divBdr>
        <w:top w:val="none" w:sz="0" w:space="0" w:color="auto"/>
        <w:left w:val="none" w:sz="0" w:space="0" w:color="auto"/>
        <w:bottom w:val="none" w:sz="0" w:space="0" w:color="auto"/>
        <w:right w:val="none" w:sz="0" w:space="0" w:color="auto"/>
      </w:divBdr>
    </w:div>
    <w:div w:id="107312365">
      <w:bodyDiv w:val="1"/>
      <w:marLeft w:val="0"/>
      <w:marRight w:val="0"/>
      <w:marTop w:val="0"/>
      <w:marBottom w:val="0"/>
      <w:divBdr>
        <w:top w:val="none" w:sz="0" w:space="0" w:color="auto"/>
        <w:left w:val="none" w:sz="0" w:space="0" w:color="auto"/>
        <w:bottom w:val="none" w:sz="0" w:space="0" w:color="auto"/>
        <w:right w:val="none" w:sz="0" w:space="0" w:color="auto"/>
      </w:divBdr>
    </w:div>
    <w:div w:id="164365540">
      <w:bodyDiv w:val="1"/>
      <w:marLeft w:val="0"/>
      <w:marRight w:val="0"/>
      <w:marTop w:val="0"/>
      <w:marBottom w:val="0"/>
      <w:divBdr>
        <w:top w:val="none" w:sz="0" w:space="0" w:color="auto"/>
        <w:left w:val="none" w:sz="0" w:space="0" w:color="auto"/>
        <w:bottom w:val="none" w:sz="0" w:space="0" w:color="auto"/>
        <w:right w:val="none" w:sz="0" w:space="0" w:color="auto"/>
      </w:divBdr>
    </w:div>
    <w:div w:id="224950831">
      <w:bodyDiv w:val="1"/>
      <w:marLeft w:val="0"/>
      <w:marRight w:val="0"/>
      <w:marTop w:val="0"/>
      <w:marBottom w:val="0"/>
      <w:divBdr>
        <w:top w:val="none" w:sz="0" w:space="0" w:color="auto"/>
        <w:left w:val="none" w:sz="0" w:space="0" w:color="auto"/>
        <w:bottom w:val="none" w:sz="0" w:space="0" w:color="auto"/>
        <w:right w:val="none" w:sz="0" w:space="0" w:color="auto"/>
      </w:divBdr>
    </w:div>
    <w:div w:id="233974588">
      <w:bodyDiv w:val="1"/>
      <w:marLeft w:val="0"/>
      <w:marRight w:val="0"/>
      <w:marTop w:val="0"/>
      <w:marBottom w:val="0"/>
      <w:divBdr>
        <w:top w:val="none" w:sz="0" w:space="0" w:color="auto"/>
        <w:left w:val="none" w:sz="0" w:space="0" w:color="auto"/>
        <w:bottom w:val="none" w:sz="0" w:space="0" w:color="auto"/>
        <w:right w:val="none" w:sz="0" w:space="0" w:color="auto"/>
      </w:divBdr>
    </w:div>
    <w:div w:id="280036273">
      <w:bodyDiv w:val="1"/>
      <w:marLeft w:val="0"/>
      <w:marRight w:val="0"/>
      <w:marTop w:val="0"/>
      <w:marBottom w:val="0"/>
      <w:divBdr>
        <w:top w:val="none" w:sz="0" w:space="0" w:color="auto"/>
        <w:left w:val="none" w:sz="0" w:space="0" w:color="auto"/>
        <w:bottom w:val="none" w:sz="0" w:space="0" w:color="auto"/>
        <w:right w:val="none" w:sz="0" w:space="0" w:color="auto"/>
      </w:divBdr>
    </w:div>
    <w:div w:id="295333538">
      <w:bodyDiv w:val="1"/>
      <w:marLeft w:val="0"/>
      <w:marRight w:val="0"/>
      <w:marTop w:val="0"/>
      <w:marBottom w:val="0"/>
      <w:divBdr>
        <w:top w:val="none" w:sz="0" w:space="0" w:color="auto"/>
        <w:left w:val="none" w:sz="0" w:space="0" w:color="auto"/>
        <w:bottom w:val="none" w:sz="0" w:space="0" w:color="auto"/>
        <w:right w:val="none" w:sz="0" w:space="0" w:color="auto"/>
      </w:divBdr>
    </w:div>
    <w:div w:id="311561609">
      <w:bodyDiv w:val="1"/>
      <w:marLeft w:val="0"/>
      <w:marRight w:val="0"/>
      <w:marTop w:val="0"/>
      <w:marBottom w:val="0"/>
      <w:divBdr>
        <w:top w:val="none" w:sz="0" w:space="0" w:color="auto"/>
        <w:left w:val="none" w:sz="0" w:space="0" w:color="auto"/>
        <w:bottom w:val="none" w:sz="0" w:space="0" w:color="auto"/>
        <w:right w:val="none" w:sz="0" w:space="0" w:color="auto"/>
      </w:divBdr>
    </w:div>
    <w:div w:id="338505577">
      <w:bodyDiv w:val="1"/>
      <w:marLeft w:val="0"/>
      <w:marRight w:val="0"/>
      <w:marTop w:val="0"/>
      <w:marBottom w:val="0"/>
      <w:divBdr>
        <w:top w:val="none" w:sz="0" w:space="0" w:color="auto"/>
        <w:left w:val="none" w:sz="0" w:space="0" w:color="auto"/>
        <w:bottom w:val="none" w:sz="0" w:space="0" w:color="auto"/>
        <w:right w:val="none" w:sz="0" w:space="0" w:color="auto"/>
      </w:divBdr>
    </w:div>
    <w:div w:id="342443688">
      <w:bodyDiv w:val="1"/>
      <w:marLeft w:val="0"/>
      <w:marRight w:val="0"/>
      <w:marTop w:val="0"/>
      <w:marBottom w:val="0"/>
      <w:divBdr>
        <w:top w:val="none" w:sz="0" w:space="0" w:color="auto"/>
        <w:left w:val="none" w:sz="0" w:space="0" w:color="auto"/>
        <w:bottom w:val="none" w:sz="0" w:space="0" w:color="auto"/>
        <w:right w:val="none" w:sz="0" w:space="0" w:color="auto"/>
      </w:divBdr>
    </w:div>
    <w:div w:id="344476739">
      <w:bodyDiv w:val="1"/>
      <w:marLeft w:val="0"/>
      <w:marRight w:val="0"/>
      <w:marTop w:val="0"/>
      <w:marBottom w:val="0"/>
      <w:divBdr>
        <w:top w:val="none" w:sz="0" w:space="0" w:color="auto"/>
        <w:left w:val="none" w:sz="0" w:space="0" w:color="auto"/>
        <w:bottom w:val="none" w:sz="0" w:space="0" w:color="auto"/>
        <w:right w:val="none" w:sz="0" w:space="0" w:color="auto"/>
      </w:divBdr>
    </w:div>
    <w:div w:id="391084517">
      <w:bodyDiv w:val="1"/>
      <w:marLeft w:val="0"/>
      <w:marRight w:val="0"/>
      <w:marTop w:val="0"/>
      <w:marBottom w:val="0"/>
      <w:divBdr>
        <w:top w:val="none" w:sz="0" w:space="0" w:color="auto"/>
        <w:left w:val="none" w:sz="0" w:space="0" w:color="auto"/>
        <w:bottom w:val="none" w:sz="0" w:space="0" w:color="auto"/>
        <w:right w:val="none" w:sz="0" w:space="0" w:color="auto"/>
      </w:divBdr>
    </w:div>
    <w:div w:id="460155187">
      <w:bodyDiv w:val="1"/>
      <w:marLeft w:val="0"/>
      <w:marRight w:val="0"/>
      <w:marTop w:val="0"/>
      <w:marBottom w:val="0"/>
      <w:divBdr>
        <w:top w:val="none" w:sz="0" w:space="0" w:color="auto"/>
        <w:left w:val="none" w:sz="0" w:space="0" w:color="auto"/>
        <w:bottom w:val="none" w:sz="0" w:space="0" w:color="auto"/>
        <w:right w:val="none" w:sz="0" w:space="0" w:color="auto"/>
      </w:divBdr>
    </w:div>
    <w:div w:id="522399618">
      <w:bodyDiv w:val="1"/>
      <w:marLeft w:val="0"/>
      <w:marRight w:val="0"/>
      <w:marTop w:val="0"/>
      <w:marBottom w:val="0"/>
      <w:divBdr>
        <w:top w:val="none" w:sz="0" w:space="0" w:color="auto"/>
        <w:left w:val="none" w:sz="0" w:space="0" w:color="auto"/>
        <w:bottom w:val="none" w:sz="0" w:space="0" w:color="auto"/>
        <w:right w:val="none" w:sz="0" w:space="0" w:color="auto"/>
      </w:divBdr>
    </w:div>
    <w:div w:id="667709381">
      <w:bodyDiv w:val="1"/>
      <w:marLeft w:val="0"/>
      <w:marRight w:val="0"/>
      <w:marTop w:val="0"/>
      <w:marBottom w:val="0"/>
      <w:divBdr>
        <w:top w:val="none" w:sz="0" w:space="0" w:color="auto"/>
        <w:left w:val="none" w:sz="0" w:space="0" w:color="auto"/>
        <w:bottom w:val="none" w:sz="0" w:space="0" w:color="auto"/>
        <w:right w:val="none" w:sz="0" w:space="0" w:color="auto"/>
      </w:divBdr>
    </w:div>
    <w:div w:id="678577349">
      <w:bodyDiv w:val="1"/>
      <w:marLeft w:val="0"/>
      <w:marRight w:val="0"/>
      <w:marTop w:val="0"/>
      <w:marBottom w:val="0"/>
      <w:divBdr>
        <w:top w:val="none" w:sz="0" w:space="0" w:color="auto"/>
        <w:left w:val="none" w:sz="0" w:space="0" w:color="auto"/>
        <w:bottom w:val="none" w:sz="0" w:space="0" w:color="auto"/>
        <w:right w:val="none" w:sz="0" w:space="0" w:color="auto"/>
      </w:divBdr>
    </w:div>
    <w:div w:id="766002064">
      <w:bodyDiv w:val="1"/>
      <w:marLeft w:val="0"/>
      <w:marRight w:val="0"/>
      <w:marTop w:val="0"/>
      <w:marBottom w:val="0"/>
      <w:divBdr>
        <w:top w:val="none" w:sz="0" w:space="0" w:color="auto"/>
        <w:left w:val="none" w:sz="0" w:space="0" w:color="auto"/>
        <w:bottom w:val="none" w:sz="0" w:space="0" w:color="auto"/>
        <w:right w:val="none" w:sz="0" w:space="0" w:color="auto"/>
      </w:divBdr>
    </w:div>
    <w:div w:id="782116247">
      <w:bodyDiv w:val="1"/>
      <w:marLeft w:val="0"/>
      <w:marRight w:val="0"/>
      <w:marTop w:val="0"/>
      <w:marBottom w:val="0"/>
      <w:divBdr>
        <w:top w:val="none" w:sz="0" w:space="0" w:color="auto"/>
        <w:left w:val="none" w:sz="0" w:space="0" w:color="auto"/>
        <w:bottom w:val="none" w:sz="0" w:space="0" w:color="auto"/>
        <w:right w:val="none" w:sz="0" w:space="0" w:color="auto"/>
      </w:divBdr>
    </w:div>
    <w:div w:id="861629491">
      <w:bodyDiv w:val="1"/>
      <w:marLeft w:val="0"/>
      <w:marRight w:val="0"/>
      <w:marTop w:val="0"/>
      <w:marBottom w:val="0"/>
      <w:divBdr>
        <w:top w:val="none" w:sz="0" w:space="0" w:color="auto"/>
        <w:left w:val="none" w:sz="0" w:space="0" w:color="auto"/>
        <w:bottom w:val="none" w:sz="0" w:space="0" w:color="auto"/>
        <w:right w:val="none" w:sz="0" w:space="0" w:color="auto"/>
      </w:divBdr>
    </w:div>
    <w:div w:id="920796015">
      <w:bodyDiv w:val="1"/>
      <w:marLeft w:val="0"/>
      <w:marRight w:val="0"/>
      <w:marTop w:val="0"/>
      <w:marBottom w:val="0"/>
      <w:divBdr>
        <w:top w:val="none" w:sz="0" w:space="0" w:color="auto"/>
        <w:left w:val="none" w:sz="0" w:space="0" w:color="auto"/>
        <w:bottom w:val="none" w:sz="0" w:space="0" w:color="auto"/>
        <w:right w:val="none" w:sz="0" w:space="0" w:color="auto"/>
      </w:divBdr>
    </w:div>
    <w:div w:id="987242938">
      <w:bodyDiv w:val="1"/>
      <w:marLeft w:val="0"/>
      <w:marRight w:val="0"/>
      <w:marTop w:val="0"/>
      <w:marBottom w:val="0"/>
      <w:divBdr>
        <w:top w:val="none" w:sz="0" w:space="0" w:color="auto"/>
        <w:left w:val="none" w:sz="0" w:space="0" w:color="auto"/>
        <w:bottom w:val="none" w:sz="0" w:space="0" w:color="auto"/>
        <w:right w:val="none" w:sz="0" w:space="0" w:color="auto"/>
      </w:divBdr>
    </w:div>
    <w:div w:id="1039627185">
      <w:bodyDiv w:val="1"/>
      <w:marLeft w:val="0"/>
      <w:marRight w:val="0"/>
      <w:marTop w:val="0"/>
      <w:marBottom w:val="0"/>
      <w:divBdr>
        <w:top w:val="none" w:sz="0" w:space="0" w:color="auto"/>
        <w:left w:val="none" w:sz="0" w:space="0" w:color="auto"/>
        <w:bottom w:val="none" w:sz="0" w:space="0" w:color="auto"/>
        <w:right w:val="none" w:sz="0" w:space="0" w:color="auto"/>
      </w:divBdr>
    </w:div>
    <w:div w:id="1113208793">
      <w:bodyDiv w:val="1"/>
      <w:marLeft w:val="0"/>
      <w:marRight w:val="0"/>
      <w:marTop w:val="0"/>
      <w:marBottom w:val="0"/>
      <w:divBdr>
        <w:top w:val="none" w:sz="0" w:space="0" w:color="auto"/>
        <w:left w:val="none" w:sz="0" w:space="0" w:color="auto"/>
        <w:bottom w:val="none" w:sz="0" w:space="0" w:color="auto"/>
        <w:right w:val="none" w:sz="0" w:space="0" w:color="auto"/>
      </w:divBdr>
    </w:div>
    <w:div w:id="1139105299">
      <w:bodyDiv w:val="1"/>
      <w:marLeft w:val="0"/>
      <w:marRight w:val="0"/>
      <w:marTop w:val="0"/>
      <w:marBottom w:val="0"/>
      <w:divBdr>
        <w:top w:val="none" w:sz="0" w:space="0" w:color="auto"/>
        <w:left w:val="none" w:sz="0" w:space="0" w:color="auto"/>
        <w:bottom w:val="none" w:sz="0" w:space="0" w:color="auto"/>
        <w:right w:val="none" w:sz="0" w:space="0" w:color="auto"/>
      </w:divBdr>
    </w:div>
    <w:div w:id="1210649007">
      <w:bodyDiv w:val="1"/>
      <w:marLeft w:val="0"/>
      <w:marRight w:val="0"/>
      <w:marTop w:val="0"/>
      <w:marBottom w:val="0"/>
      <w:divBdr>
        <w:top w:val="none" w:sz="0" w:space="0" w:color="auto"/>
        <w:left w:val="none" w:sz="0" w:space="0" w:color="auto"/>
        <w:bottom w:val="none" w:sz="0" w:space="0" w:color="auto"/>
        <w:right w:val="none" w:sz="0" w:space="0" w:color="auto"/>
      </w:divBdr>
    </w:div>
    <w:div w:id="1239709912">
      <w:bodyDiv w:val="1"/>
      <w:marLeft w:val="0"/>
      <w:marRight w:val="0"/>
      <w:marTop w:val="0"/>
      <w:marBottom w:val="0"/>
      <w:divBdr>
        <w:top w:val="none" w:sz="0" w:space="0" w:color="auto"/>
        <w:left w:val="none" w:sz="0" w:space="0" w:color="auto"/>
        <w:bottom w:val="none" w:sz="0" w:space="0" w:color="auto"/>
        <w:right w:val="none" w:sz="0" w:space="0" w:color="auto"/>
      </w:divBdr>
    </w:div>
    <w:div w:id="1251770091">
      <w:bodyDiv w:val="1"/>
      <w:marLeft w:val="0"/>
      <w:marRight w:val="0"/>
      <w:marTop w:val="0"/>
      <w:marBottom w:val="0"/>
      <w:divBdr>
        <w:top w:val="none" w:sz="0" w:space="0" w:color="auto"/>
        <w:left w:val="none" w:sz="0" w:space="0" w:color="auto"/>
        <w:bottom w:val="none" w:sz="0" w:space="0" w:color="auto"/>
        <w:right w:val="none" w:sz="0" w:space="0" w:color="auto"/>
      </w:divBdr>
    </w:div>
    <w:div w:id="1256864854">
      <w:bodyDiv w:val="1"/>
      <w:marLeft w:val="0"/>
      <w:marRight w:val="0"/>
      <w:marTop w:val="0"/>
      <w:marBottom w:val="0"/>
      <w:divBdr>
        <w:top w:val="none" w:sz="0" w:space="0" w:color="auto"/>
        <w:left w:val="none" w:sz="0" w:space="0" w:color="auto"/>
        <w:bottom w:val="none" w:sz="0" w:space="0" w:color="auto"/>
        <w:right w:val="none" w:sz="0" w:space="0" w:color="auto"/>
      </w:divBdr>
    </w:div>
    <w:div w:id="1296645171">
      <w:bodyDiv w:val="1"/>
      <w:marLeft w:val="0"/>
      <w:marRight w:val="0"/>
      <w:marTop w:val="0"/>
      <w:marBottom w:val="0"/>
      <w:divBdr>
        <w:top w:val="none" w:sz="0" w:space="0" w:color="auto"/>
        <w:left w:val="none" w:sz="0" w:space="0" w:color="auto"/>
        <w:bottom w:val="none" w:sz="0" w:space="0" w:color="auto"/>
        <w:right w:val="none" w:sz="0" w:space="0" w:color="auto"/>
      </w:divBdr>
    </w:div>
    <w:div w:id="1311786235">
      <w:bodyDiv w:val="1"/>
      <w:marLeft w:val="0"/>
      <w:marRight w:val="0"/>
      <w:marTop w:val="0"/>
      <w:marBottom w:val="0"/>
      <w:divBdr>
        <w:top w:val="none" w:sz="0" w:space="0" w:color="auto"/>
        <w:left w:val="none" w:sz="0" w:space="0" w:color="auto"/>
        <w:bottom w:val="none" w:sz="0" w:space="0" w:color="auto"/>
        <w:right w:val="none" w:sz="0" w:space="0" w:color="auto"/>
      </w:divBdr>
    </w:div>
    <w:div w:id="1356728633">
      <w:bodyDiv w:val="1"/>
      <w:marLeft w:val="0"/>
      <w:marRight w:val="0"/>
      <w:marTop w:val="0"/>
      <w:marBottom w:val="0"/>
      <w:divBdr>
        <w:top w:val="none" w:sz="0" w:space="0" w:color="auto"/>
        <w:left w:val="none" w:sz="0" w:space="0" w:color="auto"/>
        <w:bottom w:val="none" w:sz="0" w:space="0" w:color="auto"/>
        <w:right w:val="none" w:sz="0" w:space="0" w:color="auto"/>
      </w:divBdr>
    </w:div>
    <w:div w:id="1357120590">
      <w:bodyDiv w:val="1"/>
      <w:marLeft w:val="0"/>
      <w:marRight w:val="0"/>
      <w:marTop w:val="0"/>
      <w:marBottom w:val="0"/>
      <w:divBdr>
        <w:top w:val="none" w:sz="0" w:space="0" w:color="auto"/>
        <w:left w:val="none" w:sz="0" w:space="0" w:color="auto"/>
        <w:bottom w:val="none" w:sz="0" w:space="0" w:color="auto"/>
        <w:right w:val="none" w:sz="0" w:space="0" w:color="auto"/>
      </w:divBdr>
    </w:div>
    <w:div w:id="1391080768">
      <w:bodyDiv w:val="1"/>
      <w:marLeft w:val="0"/>
      <w:marRight w:val="0"/>
      <w:marTop w:val="0"/>
      <w:marBottom w:val="0"/>
      <w:divBdr>
        <w:top w:val="none" w:sz="0" w:space="0" w:color="auto"/>
        <w:left w:val="none" w:sz="0" w:space="0" w:color="auto"/>
        <w:bottom w:val="none" w:sz="0" w:space="0" w:color="auto"/>
        <w:right w:val="none" w:sz="0" w:space="0" w:color="auto"/>
      </w:divBdr>
    </w:div>
    <w:div w:id="1399936328">
      <w:bodyDiv w:val="1"/>
      <w:marLeft w:val="0"/>
      <w:marRight w:val="0"/>
      <w:marTop w:val="0"/>
      <w:marBottom w:val="0"/>
      <w:divBdr>
        <w:top w:val="none" w:sz="0" w:space="0" w:color="auto"/>
        <w:left w:val="none" w:sz="0" w:space="0" w:color="auto"/>
        <w:bottom w:val="none" w:sz="0" w:space="0" w:color="auto"/>
        <w:right w:val="none" w:sz="0" w:space="0" w:color="auto"/>
      </w:divBdr>
    </w:div>
    <w:div w:id="1535846693">
      <w:bodyDiv w:val="1"/>
      <w:marLeft w:val="0"/>
      <w:marRight w:val="0"/>
      <w:marTop w:val="0"/>
      <w:marBottom w:val="0"/>
      <w:divBdr>
        <w:top w:val="none" w:sz="0" w:space="0" w:color="auto"/>
        <w:left w:val="none" w:sz="0" w:space="0" w:color="auto"/>
        <w:bottom w:val="none" w:sz="0" w:space="0" w:color="auto"/>
        <w:right w:val="none" w:sz="0" w:space="0" w:color="auto"/>
      </w:divBdr>
    </w:div>
    <w:div w:id="1540628830">
      <w:bodyDiv w:val="1"/>
      <w:marLeft w:val="0"/>
      <w:marRight w:val="0"/>
      <w:marTop w:val="0"/>
      <w:marBottom w:val="0"/>
      <w:divBdr>
        <w:top w:val="none" w:sz="0" w:space="0" w:color="auto"/>
        <w:left w:val="none" w:sz="0" w:space="0" w:color="auto"/>
        <w:bottom w:val="none" w:sz="0" w:space="0" w:color="auto"/>
        <w:right w:val="none" w:sz="0" w:space="0" w:color="auto"/>
      </w:divBdr>
    </w:div>
    <w:div w:id="1558709516">
      <w:bodyDiv w:val="1"/>
      <w:marLeft w:val="0"/>
      <w:marRight w:val="0"/>
      <w:marTop w:val="0"/>
      <w:marBottom w:val="0"/>
      <w:divBdr>
        <w:top w:val="none" w:sz="0" w:space="0" w:color="auto"/>
        <w:left w:val="none" w:sz="0" w:space="0" w:color="auto"/>
        <w:bottom w:val="none" w:sz="0" w:space="0" w:color="auto"/>
        <w:right w:val="none" w:sz="0" w:space="0" w:color="auto"/>
      </w:divBdr>
    </w:div>
    <w:div w:id="1594974171">
      <w:bodyDiv w:val="1"/>
      <w:marLeft w:val="0"/>
      <w:marRight w:val="0"/>
      <w:marTop w:val="0"/>
      <w:marBottom w:val="0"/>
      <w:divBdr>
        <w:top w:val="none" w:sz="0" w:space="0" w:color="auto"/>
        <w:left w:val="none" w:sz="0" w:space="0" w:color="auto"/>
        <w:bottom w:val="none" w:sz="0" w:space="0" w:color="auto"/>
        <w:right w:val="none" w:sz="0" w:space="0" w:color="auto"/>
      </w:divBdr>
    </w:div>
    <w:div w:id="1630553470">
      <w:bodyDiv w:val="1"/>
      <w:marLeft w:val="0"/>
      <w:marRight w:val="0"/>
      <w:marTop w:val="0"/>
      <w:marBottom w:val="0"/>
      <w:divBdr>
        <w:top w:val="none" w:sz="0" w:space="0" w:color="auto"/>
        <w:left w:val="none" w:sz="0" w:space="0" w:color="auto"/>
        <w:bottom w:val="none" w:sz="0" w:space="0" w:color="auto"/>
        <w:right w:val="none" w:sz="0" w:space="0" w:color="auto"/>
      </w:divBdr>
    </w:div>
    <w:div w:id="1647272265">
      <w:bodyDiv w:val="1"/>
      <w:marLeft w:val="0"/>
      <w:marRight w:val="0"/>
      <w:marTop w:val="0"/>
      <w:marBottom w:val="0"/>
      <w:divBdr>
        <w:top w:val="none" w:sz="0" w:space="0" w:color="auto"/>
        <w:left w:val="none" w:sz="0" w:space="0" w:color="auto"/>
        <w:bottom w:val="none" w:sz="0" w:space="0" w:color="auto"/>
        <w:right w:val="none" w:sz="0" w:space="0" w:color="auto"/>
      </w:divBdr>
    </w:div>
    <w:div w:id="1670133270">
      <w:bodyDiv w:val="1"/>
      <w:marLeft w:val="0"/>
      <w:marRight w:val="0"/>
      <w:marTop w:val="0"/>
      <w:marBottom w:val="0"/>
      <w:divBdr>
        <w:top w:val="none" w:sz="0" w:space="0" w:color="auto"/>
        <w:left w:val="none" w:sz="0" w:space="0" w:color="auto"/>
        <w:bottom w:val="none" w:sz="0" w:space="0" w:color="auto"/>
        <w:right w:val="none" w:sz="0" w:space="0" w:color="auto"/>
      </w:divBdr>
    </w:div>
    <w:div w:id="1671906271">
      <w:bodyDiv w:val="1"/>
      <w:marLeft w:val="0"/>
      <w:marRight w:val="0"/>
      <w:marTop w:val="0"/>
      <w:marBottom w:val="0"/>
      <w:divBdr>
        <w:top w:val="none" w:sz="0" w:space="0" w:color="auto"/>
        <w:left w:val="none" w:sz="0" w:space="0" w:color="auto"/>
        <w:bottom w:val="none" w:sz="0" w:space="0" w:color="auto"/>
        <w:right w:val="none" w:sz="0" w:space="0" w:color="auto"/>
      </w:divBdr>
    </w:div>
    <w:div w:id="1731533798">
      <w:bodyDiv w:val="1"/>
      <w:marLeft w:val="0"/>
      <w:marRight w:val="0"/>
      <w:marTop w:val="0"/>
      <w:marBottom w:val="0"/>
      <w:divBdr>
        <w:top w:val="none" w:sz="0" w:space="0" w:color="auto"/>
        <w:left w:val="none" w:sz="0" w:space="0" w:color="auto"/>
        <w:bottom w:val="none" w:sz="0" w:space="0" w:color="auto"/>
        <w:right w:val="none" w:sz="0" w:space="0" w:color="auto"/>
      </w:divBdr>
    </w:div>
    <w:div w:id="1738671896">
      <w:bodyDiv w:val="1"/>
      <w:marLeft w:val="0"/>
      <w:marRight w:val="0"/>
      <w:marTop w:val="0"/>
      <w:marBottom w:val="0"/>
      <w:divBdr>
        <w:top w:val="none" w:sz="0" w:space="0" w:color="auto"/>
        <w:left w:val="none" w:sz="0" w:space="0" w:color="auto"/>
        <w:bottom w:val="none" w:sz="0" w:space="0" w:color="auto"/>
        <w:right w:val="none" w:sz="0" w:space="0" w:color="auto"/>
      </w:divBdr>
    </w:div>
    <w:div w:id="1761566330">
      <w:bodyDiv w:val="1"/>
      <w:marLeft w:val="0"/>
      <w:marRight w:val="0"/>
      <w:marTop w:val="0"/>
      <w:marBottom w:val="0"/>
      <w:divBdr>
        <w:top w:val="none" w:sz="0" w:space="0" w:color="auto"/>
        <w:left w:val="none" w:sz="0" w:space="0" w:color="auto"/>
        <w:bottom w:val="none" w:sz="0" w:space="0" w:color="auto"/>
        <w:right w:val="none" w:sz="0" w:space="0" w:color="auto"/>
      </w:divBdr>
    </w:div>
    <w:div w:id="1781102818">
      <w:bodyDiv w:val="1"/>
      <w:marLeft w:val="0"/>
      <w:marRight w:val="0"/>
      <w:marTop w:val="0"/>
      <w:marBottom w:val="0"/>
      <w:divBdr>
        <w:top w:val="none" w:sz="0" w:space="0" w:color="auto"/>
        <w:left w:val="none" w:sz="0" w:space="0" w:color="auto"/>
        <w:bottom w:val="none" w:sz="0" w:space="0" w:color="auto"/>
        <w:right w:val="none" w:sz="0" w:space="0" w:color="auto"/>
      </w:divBdr>
    </w:div>
    <w:div w:id="1787384085">
      <w:bodyDiv w:val="1"/>
      <w:marLeft w:val="0"/>
      <w:marRight w:val="0"/>
      <w:marTop w:val="0"/>
      <w:marBottom w:val="0"/>
      <w:divBdr>
        <w:top w:val="none" w:sz="0" w:space="0" w:color="auto"/>
        <w:left w:val="none" w:sz="0" w:space="0" w:color="auto"/>
        <w:bottom w:val="none" w:sz="0" w:space="0" w:color="auto"/>
        <w:right w:val="none" w:sz="0" w:space="0" w:color="auto"/>
      </w:divBdr>
    </w:div>
    <w:div w:id="1820027289">
      <w:bodyDiv w:val="1"/>
      <w:marLeft w:val="0"/>
      <w:marRight w:val="0"/>
      <w:marTop w:val="0"/>
      <w:marBottom w:val="0"/>
      <w:divBdr>
        <w:top w:val="none" w:sz="0" w:space="0" w:color="auto"/>
        <w:left w:val="none" w:sz="0" w:space="0" w:color="auto"/>
        <w:bottom w:val="none" w:sz="0" w:space="0" w:color="auto"/>
        <w:right w:val="none" w:sz="0" w:space="0" w:color="auto"/>
      </w:divBdr>
    </w:div>
    <w:div w:id="1823614632">
      <w:bodyDiv w:val="1"/>
      <w:marLeft w:val="0"/>
      <w:marRight w:val="0"/>
      <w:marTop w:val="0"/>
      <w:marBottom w:val="0"/>
      <w:divBdr>
        <w:top w:val="none" w:sz="0" w:space="0" w:color="auto"/>
        <w:left w:val="none" w:sz="0" w:space="0" w:color="auto"/>
        <w:bottom w:val="none" w:sz="0" w:space="0" w:color="auto"/>
        <w:right w:val="none" w:sz="0" w:space="0" w:color="auto"/>
      </w:divBdr>
    </w:div>
    <w:div w:id="1829327317">
      <w:bodyDiv w:val="1"/>
      <w:marLeft w:val="0"/>
      <w:marRight w:val="0"/>
      <w:marTop w:val="0"/>
      <w:marBottom w:val="0"/>
      <w:divBdr>
        <w:top w:val="none" w:sz="0" w:space="0" w:color="auto"/>
        <w:left w:val="none" w:sz="0" w:space="0" w:color="auto"/>
        <w:bottom w:val="none" w:sz="0" w:space="0" w:color="auto"/>
        <w:right w:val="none" w:sz="0" w:space="0" w:color="auto"/>
      </w:divBdr>
    </w:div>
    <w:div w:id="1842038843">
      <w:bodyDiv w:val="1"/>
      <w:marLeft w:val="0"/>
      <w:marRight w:val="0"/>
      <w:marTop w:val="0"/>
      <w:marBottom w:val="0"/>
      <w:divBdr>
        <w:top w:val="none" w:sz="0" w:space="0" w:color="auto"/>
        <w:left w:val="none" w:sz="0" w:space="0" w:color="auto"/>
        <w:bottom w:val="none" w:sz="0" w:space="0" w:color="auto"/>
        <w:right w:val="none" w:sz="0" w:space="0" w:color="auto"/>
      </w:divBdr>
    </w:div>
    <w:div w:id="1912229266">
      <w:bodyDiv w:val="1"/>
      <w:marLeft w:val="0"/>
      <w:marRight w:val="0"/>
      <w:marTop w:val="0"/>
      <w:marBottom w:val="0"/>
      <w:divBdr>
        <w:top w:val="none" w:sz="0" w:space="0" w:color="auto"/>
        <w:left w:val="none" w:sz="0" w:space="0" w:color="auto"/>
        <w:bottom w:val="none" w:sz="0" w:space="0" w:color="auto"/>
        <w:right w:val="none" w:sz="0" w:space="0" w:color="auto"/>
      </w:divBdr>
    </w:div>
    <w:div w:id="1919434498">
      <w:bodyDiv w:val="1"/>
      <w:marLeft w:val="0"/>
      <w:marRight w:val="0"/>
      <w:marTop w:val="0"/>
      <w:marBottom w:val="0"/>
      <w:divBdr>
        <w:top w:val="none" w:sz="0" w:space="0" w:color="auto"/>
        <w:left w:val="none" w:sz="0" w:space="0" w:color="auto"/>
        <w:bottom w:val="none" w:sz="0" w:space="0" w:color="auto"/>
        <w:right w:val="none" w:sz="0" w:space="0" w:color="auto"/>
      </w:divBdr>
    </w:div>
    <w:div w:id="1983266853">
      <w:bodyDiv w:val="1"/>
      <w:marLeft w:val="0"/>
      <w:marRight w:val="0"/>
      <w:marTop w:val="0"/>
      <w:marBottom w:val="0"/>
      <w:divBdr>
        <w:top w:val="none" w:sz="0" w:space="0" w:color="auto"/>
        <w:left w:val="none" w:sz="0" w:space="0" w:color="auto"/>
        <w:bottom w:val="none" w:sz="0" w:space="0" w:color="auto"/>
        <w:right w:val="none" w:sz="0" w:space="0" w:color="auto"/>
      </w:divBdr>
    </w:div>
    <w:div w:id="2020816718">
      <w:bodyDiv w:val="1"/>
      <w:marLeft w:val="0"/>
      <w:marRight w:val="0"/>
      <w:marTop w:val="0"/>
      <w:marBottom w:val="0"/>
      <w:divBdr>
        <w:top w:val="none" w:sz="0" w:space="0" w:color="auto"/>
        <w:left w:val="none" w:sz="0" w:space="0" w:color="auto"/>
        <w:bottom w:val="none" w:sz="0" w:space="0" w:color="auto"/>
        <w:right w:val="none" w:sz="0" w:space="0" w:color="auto"/>
      </w:divBdr>
    </w:div>
    <w:div w:id="2045866958">
      <w:bodyDiv w:val="1"/>
      <w:marLeft w:val="0"/>
      <w:marRight w:val="0"/>
      <w:marTop w:val="0"/>
      <w:marBottom w:val="0"/>
      <w:divBdr>
        <w:top w:val="none" w:sz="0" w:space="0" w:color="auto"/>
        <w:left w:val="none" w:sz="0" w:space="0" w:color="auto"/>
        <w:bottom w:val="none" w:sz="0" w:space="0" w:color="auto"/>
        <w:right w:val="none" w:sz="0" w:space="0" w:color="auto"/>
      </w:divBdr>
    </w:div>
    <w:div w:id="2060276418">
      <w:bodyDiv w:val="1"/>
      <w:marLeft w:val="0"/>
      <w:marRight w:val="0"/>
      <w:marTop w:val="0"/>
      <w:marBottom w:val="0"/>
      <w:divBdr>
        <w:top w:val="none" w:sz="0" w:space="0" w:color="auto"/>
        <w:left w:val="none" w:sz="0" w:space="0" w:color="auto"/>
        <w:bottom w:val="none" w:sz="0" w:space="0" w:color="auto"/>
        <w:right w:val="none" w:sz="0" w:space="0" w:color="auto"/>
      </w:divBdr>
    </w:div>
    <w:div w:id="2080861508">
      <w:bodyDiv w:val="1"/>
      <w:marLeft w:val="0"/>
      <w:marRight w:val="0"/>
      <w:marTop w:val="0"/>
      <w:marBottom w:val="0"/>
      <w:divBdr>
        <w:top w:val="none" w:sz="0" w:space="0" w:color="auto"/>
        <w:left w:val="none" w:sz="0" w:space="0" w:color="auto"/>
        <w:bottom w:val="none" w:sz="0" w:space="0" w:color="auto"/>
        <w:right w:val="none" w:sz="0" w:space="0" w:color="auto"/>
      </w:divBdr>
    </w:div>
    <w:div w:id="212102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chart" Target="charts/chart2.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'Chart commodity-MS food irrad.'!$B$1</c:f>
              <c:strCache>
                <c:ptCount val="1"/>
                <c:pt idx="0">
                  <c:v>Herbes aromatiques, épices et condiments végétaux (séchés)</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irrad.'!$B$2:$B$10</c:f>
              <c:numCache>
                <c:formatCode>0.00;\-0.00;\ 0</c:formatCode>
                <c:ptCount val="9"/>
                <c:pt idx="1">
                  <c:v>192.83</c:v>
                </c:pt>
                <c:pt idx="2">
                  <c:v>4.6399999999999997</c:v>
                </c:pt>
                <c:pt idx="3">
                  <c:v>233.12</c:v>
                </c:pt>
                <c:pt idx="4">
                  <c:v>97.3</c:v>
                </c:pt>
                <c:pt idx="5">
                  <c:v>70</c:v>
                </c:pt>
                <c:pt idx="6">
                  <c:v>55</c:v>
                </c:pt>
                <c:pt idx="7">
                  <c:v>33.700000000000003</c:v>
                </c:pt>
                <c:pt idx="8">
                  <c:v>20.05</c:v>
                </c:pt>
              </c:numCache>
            </c:numRef>
          </c:val>
        </c:ser>
        <c:ser>
          <c:idx val="1"/>
          <c:order val="1"/>
          <c:tx>
            <c:strRef>
              <c:f>'Chart commodity-MS food irrad.'!$C$1</c:f>
              <c:strCache>
                <c:ptCount val="1"/>
                <c:pt idx="0">
                  <c:v>Viande de poulet</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irrad.'!$C$2:$C$10</c:f>
              <c:numCache>
                <c:formatCode>0.00;\-0.00;\ 0</c:formatCode>
                <c:ptCount val="9"/>
                <c:pt idx="1">
                  <c:v>36.4</c:v>
                </c:pt>
              </c:numCache>
            </c:numRef>
          </c:val>
        </c:ser>
        <c:ser>
          <c:idx val="2"/>
          <c:order val="2"/>
          <c:tx>
            <c:strRef>
              <c:f>'Chart commodity-MS food irrad.'!$D$1</c:f>
              <c:strCache>
                <c:ptCount val="1"/>
                <c:pt idx="0">
                  <c:v>Sang déshydraté, plasma, coagulats</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irrad.'!$D$2:$D$10</c:f>
              <c:numCache>
                <c:formatCode>General</c:formatCode>
                <c:ptCount val="9"/>
                <c:pt idx="0" formatCode="0.00;\-0.00;\ 0">
                  <c:v>105</c:v>
                </c:pt>
              </c:numCache>
            </c:numRef>
          </c:val>
        </c:ser>
        <c:ser>
          <c:idx val="3"/>
          <c:order val="3"/>
          <c:tx>
            <c:strRef>
              <c:f>'Chart commodity-MS food irrad.'!$E$1</c:f>
              <c:strCache>
                <c:ptCount val="1"/>
                <c:pt idx="0">
                  <c:v>Légumes et fruits séchés</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irrad.'!$E$2:$E$10</c:f>
              <c:numCache>
                <c:formatCode>0.00;\-0.00;\ 0</c:formatCode>
                <c:ptCount val="9"/>
                <c:pt idx="1">
                  <c:v>663.85</c:v>
                </c:pt>
              </c:numCache>
            </c:numRef>
          </c:val>
        </c:ser>
        <c:ser>
          <c:idx val="4"/>
          <c:order val="4"/>
          <c:tx>
            <c:strRef>
              <c:f>'Chart commodity-MS food irrad.'!$F$1</c:f>
              <c:strCache>
                <c:ptCount val="1"/>
                <c:pt idx="0">
                  <c:v>Cuisses de grenouilles congelées</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irrad.'!$F$2:$F$10</c:f>
              <c:numCache>
                <c:formatCode>0.00;\-0.00;\ 0</c:formatCode>
                <c:ptCount val="9"/>
                <c:pt idx="0">
                  <c:v>2285.0100000000002</c:v>
                </c:pt>
                <c:pt idx="1">
                  <c:v>331.45</c:v>
                </c:pt>
                <c:pt idx="2">
                  <c:v>431.68</c:v>
                </c:pt>
              </c:numCache>
            </c:numRef>
          </c:val>
        </c:ser>
        <c:ser>
          <c:idx val="5"/>
          <c:order val="5"/>
          <c:tx>
            <c:strRef>
              <c:f>'Chart commodity-MS food irrad.'!$G$1</c:f>
              <c:strCache>
                <c:ptCount val="1"/>
                <c:pt idx="0">
                  <c:v>Abats de volaille</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irrad.'!$G$2:$G$10</c:f>
              <c:numCache>
                <c:formatCode>General</c:formatCode>
                <c:ptCount val="9"/>
                <c:pt idx="0" formatCode="0.00;\-0.00;\ 0">
                  <c:v>899.58</c:v>
                </c:pt>
              </c:numCache>
            </c:numRef>
          </c:val>
        </c:ser>
        <c:ser>
          <c:idx val="6"/>
          <c:order val="6"/>
          <c:tx>
            <c:strRef>
              <c:f>'Chart commodity-MS food irrad.'!$H$1</c:f>
              <c:strCache>
                <c:ptCount val="1"/>
                <c:pt idx="0">
                  <c:v>Crevettes</c:v>
                </c:pt>
              </c:strCache>
            </c:strRef>
          </c:tx>
          <c:invertIfNegative val="0"/>
          <c:cat>
            <c:strRef>
              <c:f>'Chart commodity-MS food irrad.'!$A$2:$A$10</c:f>
              <c:strCache>
                <c:ptCount val="9"/>
                <c:pt idx="0">
                  <c:v>BE</c:v>
                </c:pt>
                <c:pt idx="1">
                  <c:v>NL</c:v>
                </c:pt>
                <c:pt idx="2">
                  <c:v>FR</c:v>
                </c:pt>
                <c:pt idx="3">
                  <c:v>ES</c:v>
                </c:pt>
                <c:pt idx="4">
                  <c:v>DE</c:v>
                </c:pt>
                <c:pt idx="5">
                  <c:v>HU</c:v>
                </c:pt>
                <c:pt idx="6">
                  <c:v>PL</c:v>
                </c:pt>
                <c:pt idx="7">
                  <c:v>EE</c:v>
                </c:pt>
                <c:pt idx="8">
                  <c:v>CZ</c:v>
                </c:pt>
              </c:strCache>
            </c:strRef>
          </c:cat>
          <c:val>
            <c:numRef>
              <c:f>'Chart commodity-MS food irrad.'!$H$2:$H$10</c:f>
              <c:numCache>
                <c:formatCode>0.00;\-0.00;\ 0</c:formatCode>
                <c:ptCount val="9"/>
                <c:pt idx="1">
                  <c:v>83.65</c:v>
                </c:pt>
              </c:numCache>
            </c:numRef>
          </c:val>
        </c:ser>
        <c:dLbls>
          <c:showLegendKey val="0"/>
          <c:showVal val="0"/>
          <c:showCatName val="0"/>
          <c:showSerName val="0"/>
          <c:showPercent val="0"/>
          <c:showBubbleSize val="0"/>
        </c:dLbls>
        <c:gapWidth val="150"/>
        <c:overlap val="100"/>
        <c:axId val="34940416"/>
        <c:axId val="34941952"/>
      </c:barChart>
      <c:catAx>
        <c:axId val="34940416"/>
        <c:scaling>
          <c:orientation val="minMax"/>
        </c:scaling>
        <c:delete val="0"/>
        <c:axPos val="b"/>
        <c:numFmt formatCode="@" sourceLinked="1"/>
        <c:majorTickMark val="out"/>
        <c:minorTickMark val="none"/>
        <c:tickLblPos val="nextTo"/>
        <c:txPr>
          <a:bodyPr rot="0" vert="horz"/>
          <a:lstStyle/>
          <a:p>
            <a:pPr>
              <a:defRPr sz="1401" b="0" i="0" u="none" strike="noStrike" baseline="0">
                <a:solidFill>
                  <a:srgbClr val="000000"/>
                </a:solidFill>
                <a:latin typeface="Calibri"/>
                <a:ea typeface="Calibri"/>
                <a:cs typeface="Calibri"/>
              </a:defRPr>
            </a:pPr>
            <a:endParaRPr lang="en-US"/>
          </a:p>
        </c:txPr>
        <c:crossAx val="34941952"/>
        <c:crosses val="autoZero"/>
        <c:auto val="1"/>
        <c:lblAlgn val="ctr"/>
        <c:lblOffset val="100"/>
        <c:noMultiLvlLbl val="0"/>
      </c:catAx>
      <c:valAx>
        <c:axId val="34941952"/>
        <c:scaling>
          <c:orientation val="minMax"/>
        </c:scaling>
        <c:delete val="0"/>
        <c:axPos val="l"/>
        <c:majorGridlines/>
        <c:title>
          <c:tx>
            <c:rich>
              <a:bodyPr/>
              <a:lstStyle/>
              <a:p>
                <a:pPr>
                  <a:defRPr sz="1201" b="1" i="0" u="none" strike="noStrike" baseline="0">
                    <a:solidFill>
                      <a:srgbClr val="000000"/>
                    </a:solidFill>
                    <a:latin typeface="Calibri"/>
                    <a:ea typeface="Calibri"/>
                    <a:cs typeface="Calibri"/>
                  </a:defRPr>
                </a:pPr>
                <a:r>
                  <a:rPr lang="fr-FR"/>
                  <a:t>Quantité (tonnes)</a:t>
                </a:r>
              </a:p>
            </c:rich>
          </c:tx>
          <c:overlay val="0"/>
        </c:title>
        <c:numFmt formatCode="0.00;\-0.00;\ 0" sourceLinked="1"/>
        <c:majorTickMark val="out"/>
        <c:minorTickMark val="none"/>
        <c:tickLblPos val="nextTo"/>
        <c:txPr>
          <a:bodyPr rot="0" vert="horz"/>
          <a:lstStyle/>
          <a:p>
            <a:pPr>
              <a:defRPr sz="1101" b="0" i="0" u="none" strike="noStrike" baseline="0">
                <a:solidFill>
                  <a:srgbClr val="000000"/>
                </a:solidFill>
                <a:latin typeface="Calibri"/>
                <a:ea typeface="Calibri"/>
                <a:cs typeface="Calibri"/>
              </a:defRPr>
            </a:pPr>
            <a:endParaRPr lang="en-US"/>
          </a:p>
        </c:txPr>
        <c:crossAx val="34940416"/>
        <c:crosses val="autoZero"/>
        <c:crossBetween val="between"/>
      </c:valAx>
    </c:plotArea>
    <c:legend>
      <c:legendPos val="r"/>
      <c:layout>
        <c:manualLayout>
          <c:xMode val="edge"/>
          <c:yMode val="edge"/>
          <c:x val="0.70222738621087"/>
          <c:y val="1.4106891244523013E-2"/>
          <c:w val="0.28658363741117732"/>
          <c:h val="0.96936662140107444"/>
        </c:manualLayout>
      </c:layout>
      <c:overlay val="0"/>
      <c:txPr>
        <a:bodyPr/>
        <a:lstStyle/>
        <a:p>
          <a:pPr>
            <a:defRPr sz="1101"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1"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1374890638670165E-2"/>
          <c:y val="2.7777777777777776E-2"/>
          <c:w val="0.53888888888888886"/>
          <c:h val="0.89814814814814814"/>
        </c:manualLayout>
      </c:layout>
      <c:pieChart>
        <c:varyColors val="1"/>
        <c:ser>
          <c:idx val="0"/>
          <c:order val="0"/>
          <c:explosion val="1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10910653409703097"/>
                  <c:y val="-0.12865748723065124"/>
                </c:manualLayout>
              </c:layout>
              <c:dLblPos val="bestFit"/>
              <c:showLegendKey val="0"/>
              <c:showVal val="1"/>
              <c:showCatName val="1"/>
              <c:showSerName val="0"/>
              <c:showPercent val="0"/>
              <c:showBubbleSize val="0"/>
            </c:dLbl>
            <c:dLbl>
              <c:idx val="1"/>
              <c:layout>
                <c:manualLayout>
                  <c:x val="4.9654827629305037E-2"/>
                  <c:y val="-0.12960658124928509"/>
                </c:manualLayout>
              </c:layout>
              <c:dLblPos val="bestFit"/>
              <c:showLegendKey val="0"/>
              <c:showVal val="1"/>
              <c:showCatName val="1"/>
              <c:showSerName val="0"/>
              <c:showPercent val="0"/>
              <c:showBubbleSize val="0"/>
            </c:dLbl>
            <c:dLbl>
              <c:idx val="2"/>
              <c:layout>
                <c:manualLayout>
                  <c:x val="3.1284882493136636E-2"/>
                  <c:y val="2.5958320871546328E-2"/>
                </c:manualLayout>
              </c:layout>
              <c:dLblPos val="bestFit"/>
              <c:showLegendKey val="0"/>
              <c:showVal val="1"/>
              <c:showCatName val="1"/>
              <c:showSerName val="0"/>
              <c:showPercent val="0"/>
              <c:showBubbleSize val="0"/>
            </c:dLbl>
            <c:dLbl>
              <c:idx val="3"/>
              <c:layout>
                <c:manualLayout>
                  <c:x val="-3.3469867990639099E-2"/>
                  <c:y val="3.3808679625196972E-2"/>
                </c:manualLayout>
              </c:layout>
              <c:dLblPos val="bestFit"/>
              <c:showLegendKey val="0"/>
              <c:showVal val="1"/>
              <c:showCatName val="1"/>
              <c:showSerName val="0"/>
              <c:showPercent val="0"/>
              <c:showBubbleSize val="0"/>
            </c:dLbl>
            <c:dLbl>
              <c:idx val="4"/>
              <c:layout>
                <c:manualLayout>
                  <c:x val="1.0207861948290948E-2"/>
                  <c:y val="0.23554219385561262"/>
                </c:manualLayout>
              </c:layout>
              <c:spPr/>
              <c:txPr>
                <a:bodyPr/>
                <a:lstStyle/>
                <a:p>
                  <a:pPr>
                    <a:defRPr sz="1400" b="0" i="0" u="none" strike="noStrike" baseline="0">
                      <a:solidFill>
                        <a:srgbClr val="000000"/>
                      </a:solidFill>
                      <a:latin typeface="Calibri"/>
                      <a:ea typeface="Calibri"/>
                      <a:cs typeface="Calibri"/>
                    </a:defRPr>
                  </a:pPr>
                  <a:endParaRPr lang="en-US"/>
                </a:p>
              </c:txPr>
              <c:dLblPos val="bestFit"/>
              <c:showLegendKey val="0"/>
              <c:showVal val="1"/>
              <c:showCatName val="1"/>
              <c:showSerName val="0"/>
              <c:showPercent val="0"/>
              <c:showBubbleSize val="0"/>
            </c:dLbl>
            <c:dLbl>
              <c:idx val="5"/>
              <c:layout>
                <c:manualLayout>
                  <c:x val="4.3244594425696788E-2"/>
                  <c:y val="5.6997486472412922E-4"/>
                </c:manualLayout>
              </c:layout>
              <c:spPr/>
              <c:txPr>
                <a:bodyPr/>
                <a:lstStyle/>
                <a:p>
                  <a:pPr>
                    <a:defRPr sz="1200" b="0" i="0" u="none" strike="noStrike" baseline="0">
                      <a:solidFill>
                        <a:srgbClr val="000000"/>
                      </a:solidFill>
                      <a:latin typeface="Calibri"/>
                      <a:ea typeface="Calibri"/>
                      <a:cs typeface="Calibri"/>
                    </a:defRPr>
                  </a:pPr>
                  <a:endParaRPr lang="en-US"/>
                </a:p>
              </c:txPr>
              <c:dLblPos val="bestFit"/>
              <c:showLegendKey val="0"/>
              <c:showVal val="1"/>
              <c:showCatName val="1"/>
              <c:showSerName val="0"/>
              <c:showPercent val="0"/>
              <c:showBubbleSize val="0"/>
            </c:dLbl>
            <c:txPr>
              <a:bodyPr/>
              <a:lstStyle/>
              <a:p>
                <a:pPr>
                  <a:defRPr sz="1100" b="0" i="0" u="none" strike="noStrike" baseline="0">
                    <a:solidFill>
                      <a:srgbClr val="000000"/>
                    </a:solidFill>
                    <a:latin typeface="Calibri"/>
                    <a:ea typeface="Calibri"/>
                    <a:cs typeface="Calibri"/>
                  </a:defRPr>
                </a:pPr>
                <a:endParaRPr lang="en-US"/>
              </a:p>
            </c:txPr>
            <c:showLegendKey val="0"/>
            <c:showVal val="1"/>
            <c:showCatName val="1"/>
            <c:showSerName val="0"/>
            <c:showPercent val="0"/>
            <c:showBubbleSize val="0"/>
            <c:showLeaderLines val="1"/>
          </c:dLbls>
          <c:cat>
            <c:strRef>
              <c:f>'by MS and comodity'!$A$2:$A$8</c:f>
              <c:strCache>
                <c:ptCount val="7"/>
                <c:pt idx="0">
                  <c:v>Herbes aromatiques, épices et condiments végétaux (séchés)</c:v>
                </c:pt>
                <c:pt idx="1">
                  <c:v>Viandes de volaille</c:v>
                </c:pt>
                <c:pt idx="2">
                  <c:v>Sang déshydraté, plasma, coagulats</c:v>
                </c:pt>
                <c:pt idx="3">
                  <c:v>Légumes et fruits séchés</c:v>
                </c:pt>
                <c:pt idx="4">
                  <c:v>Cuisses de grenouilles congelées</c:v>
                </c:pt>
                <c:pt idx="5">
                  <c:v>Abats de volaille</c:v>
                </c:pt>
                <c:pt idx="6">
                  <c:v>Crevettes</c:v>
                </c:pt>
              </c:strCache>
            </c:strRef>
          </c:cat>
          <c:val>
            <c:numRef>
              <c:f>'by MS and comodity'!$L$2:$L$8</c:f>
              <c:numCache>
                <c:formatCode>#,##0.0%;\-#,##0.0%;0\%</c:formatCode>
                <c:ptCount val="7"/>
                <c:pt idx="0">
                  <c:v>0.12747733283302606</c:v>
                </c:pt>
                <c:pt idx="1">
                  <c:v>6.5665330509483595E-3</c:v>
                </c:pt>
                <c:pt idx="2">
                  <c:v>1.8941922262351037E-2</c:v>
                </c:pt>
                <c:pt idx="3">
                  <c:v>0.11975804851296892</c:v>
                </c:pt>
                <c:pt idx="4">
                  <c:v>0.54988219928345416</c:v>
                </c:pt>
                <c:pt idx="5">
                  <c:v>0.1622835659882452</c:v>
                </c:pt>
                <c:pt idx="6">
                  <c:v>1.5090398069006328E-2</c:v>
                </c:pt>
              </c:numCache>
            </c:numRef>
          </c:val>
        </c:ser>
        <c:dLbls>
          <c:showLegendKey val="0"/>
          <c:showVal val="0"/>
          <c:showCatName val="0"/>
          <c:showSerName val="0"/>
          <c:showPercent val="0"/>
          <c:showBubbleSize val="0"/>
          <c:showLeaderLines val="1"/>
        </c:dLbls>
        <c:firstSliceAng val="56"/>
      </c:pie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74226-A990-4C68-93FC-EE413DFE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29</TotalTime>
  <Pages>29</Pages>
  <Words>6025</Words>
  <Characters>29465</Characters>
  <Application>Microsoft Office Word</Application>
  <DocSecurity>0</DocSecurity>
  <Lines>3273</Lines>
  <Paragraphs>2218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SANTE/11975/2015-EN</vt:lpstr>
      <vt:lpstr>SANCO/12405/2014-EN Rev. 1</vt:lpstr>
    </vt:vector>
  </TitlesOfParts>
  <Manager/>
  <Company/>
  <LinksUpToDate>false</LinksUpToDate>
  <CharactersWithSpaces>33272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SANTE/11975/2015-EN</dc:title>
  <dc:subject>REPORT</dc:subject>
  <dc:creator/>
  <cp:keywords>11975</cp:keywords>
  <dc:description>Outlook 19.11.2015</dc:description>
  <cp:lastModifiedBy>DIGIT/A3</cp:lastModifiedBy>
  <cp:revision>24</cp:revision>
  <cp:lastPrinted>2015-10-16T10:31:00Z</cp:lastPrinted>
  <dcterms:created xsi:type="dcterms:W3CDTF">2015-11-19T14:01:00Z</dcterms:created>
  <dcterms:modified xsi:type="dcterms:W3CDTF">2015-12-14T12:15:00Z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4.5.0.2</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rep.dot</vt:lpwstr>
  </property>
  <property fmtid="{D5CDD505-2E9C-101B-9397-08002B2CF9AE}" pid="6" name="Part">
    <vt:lpwstr>1</vt:lpwstr>
  </property>
  <property fmtid="{D5CDD505-2E9C-101B-9397-08002B2CF9AE}" pid="7" name="Total parts">
    <vt:lpwstr>1</vt:lpwstr>
  </property>
  <property fmtid="{D5CDD505-2E9C-101B-9397-08002B2CF9AE}" pid="8" name="Classification">
    <vt:lpwstr> </vt:lpwstr>
  </property>
  <property fmtid="{D5CDD505-2E9C-101B-9397-08002B2CF9AE}" pid="9" name="Created using">
    <vt:lpwstr>EL 4.6 Build 21000</vt:lpwstr>
  </property>
  <property fmtid="{D5CDD505-2E9C-101B-9397-08002B2CF9AE}" pid="10" name="Formatting">
    <vt:lpwstr>4.1</vt:lpwstr>
  </property>
  <property fmtid="{D5CDD505-2E9C-101B-9397-08002B2CF9AE}" pid="11" name="Last edited using">
    <vt:lpwstr>EL </vt:lpwstr>
  </property>
  <property fmtid="{D5CDD505-2E9C-101B-9397-08002B2CF9AE}" pid="12" name="DocStatus">
    <vt:lpwstr>Green</vt:lpwstr>
  </property>
</Properties>
</file>