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30092195"/>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44F851D3A1B47F8AD9D5F1489C32897" style="width:450.45pt;height:476.9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7" w:h="16840" w:code="9"/>
          <w:pgMar w:top="1134" w:right="1417" w:bottom="1134" w:left="1417" w:header="709" w:footer="709" w:gutter="0"/>
          <w:paperSrc w:first="15" w:other="15"/>
          <w:pgNumType w:start="1"/>
          <w:cols w:space="720"/>
          <w:docGrid w:linePitch="326"/>
        </w:sectPr>
      </w:pPr>
    </w:p>
    <w:p>
      <w:pPr>
        <w:rPr>
          <w:b/>
          <w:noProof/>
          <w:szCs w:val="24"/>
        </w:rPr>
      </w:pPr>
      <w:bookmarkStart w:id="2" w:name="_GoBack"/>
      <w:bookmarkEnd w:id="2"/>
      <w:r>
        <w:rPr>
          <w:b/>
          <w:noProof/>
          <w:szCs w:val="24"/>
        </w:rPr>
        <w:lastRenderedPageBreak/>
        <w:t>Contents</w:t>
      </w:r>
      <w:bookmarkEnd w:id="0"/>
    </w:p>
    <w:p>
      <w:pPr>
        <w:pStyle w:val="TOC1"/>
        <w:rPr>
          <w:rFonts w:eastAsiaTheme="minorEastAsia"/>
          <w:caps w:val="0"/>
          <w:noProof/>
          <w:sz w:val="22"/>
          <w:szCs w:val="22"/>
          <w:lang w:val="en-GB" w:eastAsia="en-GB"/>
        </w:rPr>
      </w:pPr>
      <w:r>
        <w:rPr>
          <w:noProof/>
          <w:lang w:bidi="kn-IN"/>
        </w:rPr>
        <w:fldChar w:fldCharType="begin"/>
      </w:r>
      <w:r>
        <w:rPr>
          <w:noProof/>
          <w:lang w:bidi="kn-IN"/>
        </w:rPr>
        <w:instrText xml:space="preserve"> TOC \o "1-3" \h \z \u </w:instrText>
      </w:r>
      <w:r>
        <w:rPr>
          <w:noProof/>
          <w:lang w:bidi="kn-IN"/>
        </w:rPr>
        <w:fldChar w:fldCharType="separate"/>
      </w:r>
      <w:hyperlink w:anchor="_Toc434424002" w:history="1">
        <w:r>
          <w:rPr>
            <w:rStyle w:val="Hyperlink"/>
            <w:caps w:val="0"/>
          </w:rPr>
          <w:t>1.</w:t>
        </w:r>
        <w:r>
          <w:rPr>
            <w:rFonts w:eastAsiaTheme="minorEastAsia"/>
            <w:caps w:val="0"/>
            <w:noProof/>
            <w:sz w:val="22"/>
            <w:szCs w:val="22"/>
            <w:lang w:val="en-GB" w:eastAsia="en-GB"/>
          </w:rPr>
          <w:tab/>
        </w:r>
        <w:r>
          <w:rPr>
            <w:rStyle w:val="Hyperlink"/>
            <w:caps w:val="0"/>
          </w:rPr>
          <w:t>CTF Table 1: Emission trends</w:t>
        </w:r>
        <w:r>
          <w:rPr>
            <w:caps w:val="0"/>
            <w:noProof/>
            <w:webHidden/>
          </w:rPr>
          <w:tab/>
        </w:r>
        <w:r>
          <w:rPr>
            <w:caps w:val="0"/>
            <w:noProof/>
            <w:webHidden/>
          </w:rPr>
          <w:fldChar w:fldCharType="begin"/>
        </w:r>
        <w:r>
          <w:rPr>
            <w:caps w:val="0"/>
            <w:noProof/>
            <w:webHidden/>
          </w:rPr>
          <w:instrText xml:space="preserve"> PAGEREF _Toc434424002 \h </w:instrText>
        </w:r>
        <w:r>
          <w:rPr>
            <w:caps w:val="0"/>
            <w:noProof/>
            <w:webHidden/>
          </w:rPr>
        </w:r>
        <w:r>
          <w:rPr>
            <w:caps w:val="0"/>
            <w:noProof/>
            <w:webHidden/>
          </w:rPr>
          <w:fldChar w:fldCharType="separate"/>
        </w:r>
        <w:r>
          <w:rPr>
            <w:caps w:val="0"/>
            <w:noProof/>
            <w:webHidden/>
          </w:rPr>
          <w:t>3</w:t>
        </w:r>
        <w:r>
          <w:rPr>
            <w:caps w:val="0"/>
            <w:noProof/>
            <w:webHidden/>
          </w:rPr>
          <w:fldChar w:fldCharType="end"/>
        </w:r>
      </w:hyperlink>
    </w:p>
    <w:p>
      <w:pPr>
        <w:pStyle w:val="TOC1"/>
        <w:rPr>
          <w:rFonts w:eastAsiaTheme="minorEastAsia"/>
          <w:caps w:val="0"/>
          <w:noProof/>
          <w:sz w:val="22"/>
          <w:szCs w:val="22"/>
          <w:lang w:val="en-GB" w:eastAsia="en-GB"/>
        </w:rPr>
      </w:pPr>
      <w:hyperlink w:anchor="_Toc434424003" w:history="1">
        <w:r>
          <w:rPr>
            <w:rStyle w:val="Hyperlink"/>
            <w:caps w:val="0"/>
          </w:rPr>
          <w:t>2.</w:t>
        </w:r>
        <w:r>
          <w:rPr>
            <w:rFonts w:eastAsiaTheme="minorEastAsia"/>
            <w:caps w:val="0"/>
            <w:noProof/>
            <w:sz w:val="22"/>
            <w:szCs w:val="22"/>
            <w:lang w:val="en-GB" w:eastAsia="en-GB"/>
          </w:rPr>
          <w:tab/>
        </w:r>
        <w:r>
          <w:rPr>
            <w:rStyle w:val="Hyperlink"/>
            <w:caps w:val="0"/>
          </w:rPr>
          <w:t>CTF table 2: Description of quantified economy-wide emission reduction target</w:t>
        </w:r>
        <w:r>
          <w:rPr>
            <w:caps w:val="0"/>
            <w:noProof/>
            <w:webHidden/>
          </w:rPr>
          <w:tab/>
        </w:r>
        <w:r>
          <w:rPr>
            <w:caps w:val="0"/>
            <w:noProof/>
            <w:webHidden/>
          </w:rPr>
          <w:fldChar w:fldCharType="begin"/>
        </w:r>
        <w:r>
          <w:rPr>
            <w:caps w:val="0"/>
            <w:noProof/>
            <w:webHidden/>
          </w:rPr>
          <w:instrText xml:space="preserve"> PAGEREF _Toc434424003 \h </w:instrText>
        </w:r>
        <w:r>
          <w:rPr>
            <w:caps w:val="0"/>
            <w:noProof/>
            <w:webHidden/>
          </w:rPr>
        </w:r>
        <w:r>
          <w:rPr>
            <w:caps w:val="0"/>
            <w:noProof/>
            <w:webHidden/>
          </w:rPr>
          <w:fldChar w:fldCharType="separate"/>
        </w:r>
        <w:r>
          <w:rPr>
            <w:caps w:val="0"/>
            <w:noProof/>
            <w:webHidden/>
          </w:rPr>
          <w:t>9</w:t>
        </w:r>
        <w:r>
          <w:rPr>
            <w:caps w:val="0"/>
            <w:noProof/>
            <w:webHidden/>
          </w:rPr>
          <w:fldChar w:fldCharType="end"/>
        </w:r>
      </w:hyperlink>
    </w:p>
    <w:p>
      <w:pPr>
        <w:pStyle w:val="TOC1"/>
        <w:rPr>
          <w:rFonts w:eastAsiaTheme="minorEastAsia"/>
          <w:caps w:val="0"/>
          <w:noProof/>
          <w:sz w:val="22"/>
          <w:szCs w:val="22"/>
          <w:lang w:val="en-GB" w:eastAsia="en-GB"/>
        </w:rPr>
      </w:pPr>
      <w:hyperlink w:anchor="_Toc434424004" w:history="1">
        <w:r>
          <w:rPr>
            <w:rStyle w:val="Hyperlink"/>
            <w:caps w:val="0"/>
          </w:rPr>
          <w:t>3.</w:t>
        </w:r>
        <w:r>
          <w:rPr>
            <w:rFonts w:eastAsiaTheme="minorEastAsia"/>
            <w:caps w:val="0"/>
            <w:noProof/>
            <w:sz w:val="22"/>
            <w:szCs w:val="22"/>
            <w:lang w:val="en-GB" w:eastAsia="en-GB"/>
          </w:rPr>
          <w:tab/>
        </w:r>
        <w:r>
          <w:rPr>
            <w:rStyle w:val="Hyperlink"/>
            <w:caps w:val="0"/>
          </w:rPr>
          <w:t>CTF Table 3: Progress in achievement of the quantified economy-wide emission reduction target: information on mitigation actions and their effects</w:t>
        </w:r>
        <w:r>
          <w:rPr>
            <w:caps w:val="0"/>
            <w:noProof/>
            <w:webHidden/>
          </w:rPr>
          <w:tab/>
        </w:r>
        <w:r>
          <w:rPr>
            <w:caps w:val="0"/>
            <w:noProof/>
            <w:webHidden/>
          </w:rPr>
          <w:fldChar w:fldCharType="begin"/>
        </w:r>
        <w:r>
          <w:rPr>
            <w:caps w:val="0"/>
            <w:noProof/>
            <w:webHidden/>
          </w:rPr>
          <w:instrText xml:space="preserve"> PAGEREF _Toc434424004 \h </w:instrText>
        </w:r>
        <w:r>
          <w:rPr>
            <w:caps w:val="0"/>
            <w:noProof/>
            <w:webHidden/>
          </w:rPr>
        </w:r>
        <w:r>
          <w:rPr>
            <w:caps w:val="0"/>
            <w:noProof/>
            <w:webHidden/>
          </w:rPr>
          <w:fldChar w:fldCharType="separate"/>
        </w:r>
        <w:r>
          <w:rPr>
            <w:caps w:val="0"/>
            <w:noProof/>
            <w:webHidden/>
          </w:rPr>
          <w:t>12</w:t>
        </w:r>
        <w:r>
          <w:rPr>
            <w:caps w:val="0"/>
            <w:noProof/>
            <w:webHidden/>
          </w:rPr>
          <w:fldChar w:fldCharType="end"/>
        </w:r>
      </w:hyperlink>
    </w:p>
    <w:p>
      <w:pPr>
        <w:pStyle w:val="TOC1"/>
        <w:rPr>
          <w:rFonts w:eastAsiaTheme="minorEastAsia"/>
          <w:caps w:val="0"/>
          <w:noProof/>
          <w:sz w:val="22"/>
          <w:szCs w:val="22"/>
          <w:lang w:val="en-GB" w:eastAsia="en-GB"/>
        </w:rPr>
      </w:pPr>
      <w:hyperlink w:anchor="_Toc434424005" w:history="1">
        <w:r>
          <w:rPr>
            <w:rStyle w:val="Hyperlink"/>
            <w:caps w:val="0"/>
          </w:rPr>
          <w:t>4.</w:t>
        </w:r>
        <w:r>
          <w:rPr>
            <w:rFonts w:eastAsiaTheme="minorEastAsia"/>
            <w:caps w:val="0"/>
            <w:noProof/>
            <w:sz w:val="22"/>
            <w:szCs w:val="22"/>
            <w:lang w:val="en-GB" w:eastAsia="en-GB"/>
          </w:rPr>
          <w:tab/>
        </w:r>
        <w:r>
          <w:rPr>
            <w:rStyle w:val="Hyperlink"/>
            <w:caps w:val="0"/>
          </w:rPr>
          <w:t>CTF table 4: Report on progress</w:t>
        </w:r>
        <w:r>
          <w:rPr>
            <w:caps w:val="0"/>
            <w:noProof/>
            <w:webHidden/>
          </w:rPr>
          <w:tab/>
        </w:r>
        <w:r>
          <w:rPr>
            <w:caps w:val="0"/>
            <w:noProof/>
            <w:webHidden/>
          </w:rPr>
          <w:fldChar w:fldCharType="begin"/>
        </w:r>
        <w:r>
          <w:rPr>
            <w:caps w:val="0"/>
            <w:noProof/>
            <w:webHidden/>
          </w:rPr>
          <w:instrText xml:space="preserve"> PAGEREF _Toc434424005 \h </w:instrText>
        </w:r>
        <w:r>
          <w:rPr>
            <w:caps w:val="0"/>
            <w:noProof/>
            <w:webHidden/>
          </w:rPr>
        </w:r>
        <w:r>
          <w:rPr>
            <w:caps w:val="0"/>
            <w:noProof/>
            <w:webHidden/>
          </w:rPr>
          <w:fldChar w:fldCharType="separate"/>
        </w:r>
        <w:r>
          <w:rPr>
            <w:caps w:val="0"/>
            <w:noProof/>
            <w:webHidden/>
          </w:rPr>
          <w:t>28</w:t>
        </w:r>
        <w:r>
          <w:rPr>
            <w:caps w:val="0"/>
            <w:noProof/>
            <w:webHidden/>
          </w:rPr>
          <w:fldChar w:fldCharType="end"/>
        </w:r>
      </w:hyperlink>
    </w:p>
    <w:p>
      <w:pPr>
        <w:pStyle w:val="TOC1"/>
        <w:rPr>
          <w:rFonts w:eastAsiaTheme="minorEastAsia"/>
          <w:caps w:val="0"/>
          <w:noProof/>
          <w:sz w:val="22"/>
          <w:szCs w:val="22"/>
          <w:lang w:val="en-GB" w:eastAsia="en-GB"/>
        </w:rPr>
      </w:pPr>
      <w:hyperlink w:anchor="_Toc434424006" w:history="1">
        <w:r>
          <w:rPr>
            <w:rStyle w:val="Hyperlink"/>
            <w:caps w:val="0"/>
          </w:rPr>
          <w:t>5.</w:t>
        </w:r>
        <w:r>
          <w:rPr>
            <w:rFonts w:eastAsiaTheme="minorEastAsia"/>
            <w:caps w:val="0"/>
            <w:noProof/>
            <w:sz w:val="22"/>
            <w:szCs w:val="22"/>
            <w:lang w:val="en-GB" w:eastAsia="en-GB"/>
          </w:rPr>
          <w:tab/>
        </w:r>
        <w:r>
          <w:rPr>
            <w:rStyle w:val="Hyperlink"/>
            <w:caps w:val="0"/>
          </w:rPr>
          <w:t>CTF table 5: Summary of key variables and assumptions used in the projections analysis</w:t>
        </w:r>
        <w:r>
          <w:rPr>
            <w:caps w:val="0"/>
            <w:noProof/>
            <w:webHidden/>
          </w:rPr>
          <w:tab/>
        </w:r>
        <w:r>
          <w:rPr>
            <w:caps w:val="0"/>
            <w:noProof/>
            <w:webHidden/>
          </w:rPr>
          <w:fldChar w:fldCharType="begin"/>
        </w:r>
        <w:r>
          <w:rPr>
            <w:caps w:val="0"/>
            <w:noProof/>
            <w:webHidden/>
          </w:rPr>
          <w:instrText xml:space="preserve"> PAGEREF _Toc434424006 \h </w:instrText>
        </w:r>
        <w:r>
          <w:rPr>
            <w:caps w:val="0"/>
            <w:noProof/>
            <w:webHidden/>
          </w:rPr>
        </w:r>
        <w:r>
          <w:rPr>
            <w:caps w:val="0"/>
            <w:noProof/>
            <w:webHidden/>
          </w:rPr>
          <w:fldChar w:fldCharType="separate"/>
        </w:r>
        <w:r>
          <w:rPr>
            <w:caps w:val="0"/>
            <w:noProof/>
            <w:webHidden/>
          </w:rPr>
          <w:t>29</w:t>
        </w:r>
        <w:r>
          <w:rPr>
            <w:caps w:val="0"/>
            <w:noProof/>
            <w:webHidden/>
          </w:rPr>
          <w:fldChar w:fldCharType="end"/>
        </w:r>
      </w:hyperlink>
    </w:p>
    <w:p>
      <w:pPr>
        <w:pStyle w:val="TOC1"/>
        <w:rPr>
          <w:rFonts w:eastAsiaTheme="minorEastAsia"/>
          <w:caps w:val="0"/>
          <w:noProof/>
          <w:sz w:val="22"/>
          <w:szCs w:val="22"/>
          <w:lang w:val="en-GB" w:eastAsia="en-GB"/>
        </w:rPr>
      </w:pPr>
      <w:hyperlink w:anchor="_Toc434424007" w:history="1">
        <w:r>
          <w:rPr>
            <w:rStyle w:val="Hyperlink"/>
            <w:caps w:val="0"/>
            <w:lang w:val="en-US"/>
          </w:rPr>
          <w:t>6.</w:t>
        </w:r>
        <w:r>
          <w:rPr>
            <w:rFonts w:eastAsiaTheme="minorEastAsia"/>
            <w:caps w:val="0"/>
            <w:noProof/>
            <w:sz w:val="22"/>
            <w:szCs w:val="22"/>
            <w:lang w:val="en-GB" w:eastAsia="en-GB"/>
          </w:rPr>
          <w:tab/>
        </w:r>
        <w:r>
          <w:rPr>
            <w:rStyle w:val="Hyperlink"/>
            <w:caps w:val="0"/>
            <w:lang w:val="en-US"/>
          </w:rPr>
          <w:t>CTF table 6: Information on updated greenhouse gas projections under a ‘with measures’ scenario</w:t>
        </w:r>
        <w:r>
          <w:rPr>
            <w:caps w:val="0"/>
            <w:noProof/>
            <w:webHidden/>
          </w:rPr>
          <w:tab/>
        </w:r>
        <w:r>
          <w:rPr>
            <w:caps w:val="0"/>
            <w:noProof/>
            <w:webHidden/>
          </w:rPr>
          <w:fldChar w:fldCharType="begin"/>
        </w:r>
        <w:r>
          <w:rPr>
            <w:caps w:val="0"/>
            <w:noProof/>
            <w:webHidden/>
          </w:rPr>
          <w:instrText xml:space="preserve"> PAGEREF _Toc434424007 \h </w:instrText>
        </w:r>
        <w:r>
          <w:rPr>
            <w:caps w:val="0"/>
            <w:noProof/>
            <w:webHidden/>
          </w:rPr>
        </w:r>
        <w:r>
          <w:rPr>
            <w:caps w:val="0"/>
            <w:noProof/>
            <w:webHidden/>
          </w:rPr>
          <w:fldChar w:fldCharType="separate"/>
        </w:r>
        <w:r>
          <w:rPr>
            <w:caps w:val="0"/>
            <w:noProof/>
            <w:webHidden/>
          </w:rPr>
          <w:t>30</w:t>
        </w:r>
        <w:r>
          <w:rPr>
            <w:caps w:val="0"/>
            <w:noProof/>
            <w:webHidden/>
          </w:rPr>
          <w:fldChar w:fldCharType="end"/>
        </w:r>
      </w:hyperlink>
    </w:p>
    <w:p>
      <w:pPr>
        <w:pStyle w:val="TOC1"/>
        <w:rPr>
          <w:rFonts w:eastAsiaTheme="minorEastAsia"/>
          <w:caps w:val="0"/>
          <w:noProof/>
          <w:sz w:val="22"/>
          <w:szCs w:val="22"/>
          <w:lang w:val="en-GB" w:eastAsia="en-GB"/>
        </w:rPr>
      </w:pPr>
      <w:hyperlink w:anchor="_Toc434424008" w:history="1">
        <w:r>
          <w:rPr>
            <w:rStyle w:val="Hyperlink"/>
            <w:caps w:val="0"/>
            <w:lang w:val="en-US"/>
          </w:rPr>
          <w:t>7.</w:t>
        </w:r>
        <w:r>
          <w:rPr>
            <w:rFonts w:eastAsiaTheme="minorEastAsia"/>
            <w:caps w:val="0"/>
            <w:noProof/>
            <w:sz w:val="22"/>
            <w:szCs w:val="22"/>
            <w:lang w:val="en-GB" w:eastAsia="en-GB"/>
          </w:rPr>
          <w:tab/>
        </w:r>
        <w:r>
          <w:rPr>
            <w:rStyle w:val="Hyperlink"/>
            <w:caps w:val="0"/>
            <w:lang w:val="en-US"/>
          </w:rPr>
          <w:t>CTF Table 7. Provision of public financial support: summary information.</w:t>
        </w:r>
        <w:r>
          <w:rPr>
            <w:caps w:val="0"/>
            <w:noProof/>
            <w:webHidden/>
          </w:rPr>
          <w:tab/>
        </w:r>
        <w:r>
          <w:rPr>
            <w:caps w:val="0"/>
            <w:noProof/>
            <w:webHidden/>
          </w:rPr>
          <w:fldChar w:fldCharType="begin"/>
        </w:r>
        <w:r>
          <w:rPr>
            <w:caps w:val="0"/>
            <w:noProof/>
            <w:webHidden/>
          </w:rPr>
          <w:instrText xml:space="preserve"> PAGEREF _Toc434424008 \h </w:instrText>
        </w:r>
        <w:r>
          <w:rPr>
            <w:caps w:val="0"/>
            <w:noProof/>
            <w:webHidden/>
          </w:rPr>
        </w:r>
        <w:r>
          <w:rPr>
            <w:caps w:val="0"/>
            <w:noProof/>
            <w:webHidden/>
          </w:rPr>
          <w:fldChar w:fldCharType="separate"/>
        </w:r>
        <w:r>
          <w:rPr>
            <w:caps w:val="0"/>
            <w:noProof/>
            <w:webHidden/>
          </w:rPr>
          <w:t>31</w:t>
        </w:r>
        <w:r>
          <w:rPr>
            <w:caps w:val="0"/>
            <w:noProof/>
            <w:webHidden/>
          </w:rPr>
          <w:fldChar w:fldCharType="end"/>
        </w:r>
      </w:hyperlink>
    </w:p>
    <w:p>
      <w:pPr>
        <w:pStyle w:val="TOC1"/>
        <w:rPr>
          <w:rFonts w:eastAsiaTheme="minorEastAsia"/>
          <w:caps w:val="0"/>
          <w:noProof/>
          <w:sz w:val="22"/>
          <w:szCs w:val="22"/>
          <w:lang w:val="en-GB" w:eastAsia="en-GB"/>
        </w:rPr>
      </w:pPr>
      <w:hyperlink w:anchor="_Toc434424009" w:history="1">
        <w:r>
          <w:rPr>
            <w:rStyle w:val="Hyperlink"/>
            <w:caps w:val="0"/>
            <w:lang w:val="en-US"/>
          </w:rPr>
          <w:t>8.</w:t>
        </w:r>
        <w:r>
          <w:rPr>
            <w:rFonts w:eastAsiaTheme="minorEastAsia"/>
            <w:caps w:val="0"/>
            <w:noProof/>
            <w:sz w:val="22"/>
            <w:szCs w:val="22"/>
            <w:lang w:val="en-GB" w:eastAsia="en-GB"/>
          </w:rPr>
          <w:tab/>
        </w:r>
        <w:r>
          <w:rPr>
            <w:rStyle w:val="Hyperlink"/>
            <w:caps w:val="0"/>
            <w:lang w:val="en-US"/>
          </w:rPr>
          <w:t>CTF table 7b: Provision of public financial support: contribution through bilateral, regional and other channels in 2013</w:t>
        </w:r>
        <w:r>
          <w:rPr>
            <w:caps w:val="0"/>
            <w:noProof/>
            <w:webHidden/>
          </w:rPr>
          <w:tab/>
        </w:r>
        <w:r>
          <w:rPr>
            <w:caps w:val="0"/>
            <w:noProof/>
            <w:webHidden/>
          </w:rPr>
          <w:fldChar w:fldCharType="begin"/>
        </w:r>
        <w:r>
          <w:rPr>
            <w:caps w:val="0"/>
            <w:noProof/>
            <w:webHidden/>
          </w:rPr>
          <w:instrText xml:space="preserve"> PAGEREF _Toc434424009 \h </w:instrText>
        </w:r>
        <w:r>
          <w:rPr>
            <w:caps w:val="0"/>
            <w:noProof/>
            <w:webHidden/>
          </w:rPr>
        </w:r>
        <w:r>
          <w:rPr>
            <w:caps w:val="0"/>
            <w:noProof/>
            <w:webHidden/>
          </w:rPr>
          <w:fldChar w:fldCharType="separate"/>
        </w:r>
        <w:r>
          <w:rPr>
            <w:caps w:val="0"/>
            <w:noProof/>
            <w:webHidden/>
          </w:rPr>
          <w:t>32</w:t>
        </w:r>
        <w:r>
          <w:rPr>
            <w:caps w:val="0"/>
            <w:noProof/>
            <w:webHidden/>
          </w:rPr>
          <w:fldChar w:fldCharType="end"/>
        </w:r>
      </w:hyperlink>
    </w:p>
    <w:p>
      <w:pPr>
        <w:pStyle w:val="TOC1"/>
        <w:rPr>
          <w:rFonts w:eastAsiaTheme="minorEastAsia"/>
          <w:caps w:val="0"/>
          <w:noProof/>
          <w:sz w:val="22"/>
          <w:szCs w:val="22"/>
          <w:lang w:val="en-GB" w:eastAsia="en-GB"/>
        </w:rPr>
      </w:pPr>
      <w:hyperlink w:anchor="_Toc434424010" w:history="1">
        <w:r>
          <w:rPr>
            <w:rStyle w:val="Hyperlink"/>
            <w:caps w:val="0"/>
            <w:lang w:val="en-US"/>
          </w:rPr>
          <w:t>9.</w:t>
        </w:r>
        <w:r>
          <w:rPr>
            <w:rFonts w:eastAsiaTheme="minorEastAsia"/>
            <w:caps w:val="0"/>
            <w:noProof/>
            <w:sz w:val="22"/>
            <w:szCs w:val="22"/>
            <w:lang w:val="en-GB" w:eastAsia="en-GB"/>
          </w:rPr>
          <w:tab/>
        </w:r>
        <w:r>
          <w:rPr>
            <w:rStyle w:val="Hyperlink"/>
            <w:caps w:val="0"/>
            <w:lang w:val="en-US"/>
          </w:rPr>
          <w:t>CTF table 7b: Provision of public financial support: contribution through bilateral, regional and other channels in 2014</w:t>
        </w:r>
        <w:r>
          <w:rPr>
            <w:caps w:val="0"/>
            <w:noProof/>
            <w:webHidden/>
          </w:rPr>
          <w:tab/>
        </w:r>
        <w:r>
          <w:rPr>
            <w:caps w:val="0"/>
            <w:noProof/>
            <w:webHidden/>
          </w:rPr>
          <w:fldChar w:fldCharType="begin"/>
        </w:r>
        <w:r>
          <w:rPr>
            <w:caps w:val="0"/>
            <w:noProof/>
            <w:webHidden/>
          </w:rPr>
          <w:instrText xml:space="preserve"> PAGEREF _Toc434424010 \h </w:instrText>
        </w:r>
        <w:r>
          <w:rPr>
            <w:caps w:val="0"/>
            <w:noProof/>
            <w:webHidden/>
          </w:rPr>
        </w:r>
        <w:r>
          <w:rPr>
            <w:caps w:val="0"/>
            <w:noProof/>
            <w:webHidden/>
          </w:rPr>
          <w:fldChar w:fldCharType="separate"/>
        </w:r>
        <w:r>
          <w:rPr>
            <w:caps w:val="0"/>
            <w:noProof/>
            <w:webHidden/>
          </w:rPr>
          <w:t>40</w:t>
        </w:r>
        <w:r>
          <w:rPr>
            <w:caps w:val="0"/>
            <w:noProof/>
            <w:webHidden/>
          </w:rPr>
          <w:fldChar w:fldCharType="end"/>
        </w:r>
      </w:hyperlink>
    </w:p>
    <w:p>
      <w:pPr>
        <w:pStyle w:val="TOC1"/>
        <w:rPr>
          <w:rFonts w:eastAsiaTheme="minorEastAsia"/>
          <w:caps w:val="0"/>
          <w:noProof/>
          <w:sz w:val="22"/>
          <w:szCs w:val="22"/>
          <w:lang w:val="en-GB" w:eastAsia="en-GB"/>
        </w:rPr>
      </w:pPr>
      <w:hyperlink w:anchor="_Toc434424011" w:history="1">
        <w:r>
          <w:rPr>
            <w:rStyle w:val="Hyperlink"/>
            <w:caps w:val="0"/>
          </w:rPr>
          <w:t>10.</w:t>
        </w:r>
        <w:r>
          <w:rPr>
            <w:rFonts w:eastAsiaTheme="minorEastAsia"/>
            <w:caps w:val="0"/>
            <w:noProof/>
            <w:sz w:val="22"/>
            <w:szCs w:val="22"/>
            <w:lang w:val="en-GB" w:eastAsia="en-GB"/>
          </w:rPr>
          <w:tab/>
        </w:r>
        <w:r>
          <w:rPr>
            <w:rStyle w:val="Hyperlink"/>
            <w:caps w:val="0"/>
          </w:rPr>
          <w:t>CTF table 8: Provision of technology development and transfer support</w:t>
        </w:r>
        <w:r>
          <w:rPr>
            <w:caps w:val="0"/>
            <w:noProof/>
            <w:webHidden/>
          </w:rPr>
          <w:tab/>
        </w:r>
        <w:r>
          <w:rPr>
            <w:caps w:val="0"/>
            <w:noProof/>
            <w:webHidden/>
          </w:rPr>
          <w:fldChar w:fldCharType="begin"/>
        </w:r>
        <w:r>
          <w:rPr>
            <w:caps w:val="0"/>
            <w:noProof/>
            <w:webHidden/>
          </w:rPr>
          <w:instrText xml:space="preserve"> PAGEREF _Toc434424011 \h </w:instrText>
        </w:r>
        <w:r>
          <w:rPr>
            <w:caps w:val="0"/>
            <w:noProof/>
            <w:webHidden/>
          </w:rPr>
        </w:r>
        <w:r>
          <w:rPr>
            <w:caps w:val="0"/>
            <w:noProof/>
            <w:webHidden/>
          </w:rPr>
          <w:fldChar w:fldCharType="separate"/>
        </w:r>
        <w:r>
          <w:rPr>
            <w:caps w:val="0"/>
            <w:noProof/>
            <w:webHidden/>
          </w:rPr>
          <w:t>45</w:t>
        </w:r>
        <w:r>
          <w:rPr>
            <w:caps w:val="0"/>
            <w:noProof/>
            <w:webHidden/>
          </w:rPr>
          <w:fldChar w:fldCharType="end"/>
        </w:r>
      </w:hyperlink>
    </w:p>
    <w:p>
      <w:pPr>
        <w:pStyle w:val="TOC1"/>
        <w:rPr>
          <w:rFonts w:eastAsiaTheme="minorEastAsia"/>
          <w:caps w:val="0"/>
          <w:noProof/>
          <w:sz w:val="22"/>
          <w:szCs w:val="22"/>
          <w:lang w:val="en-GB" w:eastAsia="en-GB"/>
        </w:rPr>
      </w:pPr>
      <w:hyperlink w:anchor="_Toc434424012" w:history="1">
        <w:r>
          <w:rPr>
            <w:rStyle w:val="Hyperlink"/>
            <w:caps w:val="0"/>
          </w:rPr>
          <w:t>11.</w:t>
        </w:r>
        <w:r>
          <w:rPr>
            <w:rFonts w:eastAsiaTheme="minorEastAsia"/>
            <w:caps w:val="0"/>
            <w:noProof/>
            <w:sz w:val="22"/>
            <w:szCs w:val="22"/>
            <w:lang w:val="en-GB" w:eastAsia="en-GB"/>
          </w:rPr>
          <w:tab/>
        </w:r>
        <w:r>
          <w:rPr>
            <w:rStyle w:val="Hyperlink"/>
            <w:caps w:val="0"/>
          </w:rPr>
          <w:t>CTF table 9: Provision of capacity-building support</w:t>
        </w:r>
        <w:r>
          <w:rPr>
            <w:caps w:val="0"/>
            <w:noProof/>
            <w:webHidden/>
          </w:rPr>
          <w:tab/>
        </w:r>
        <w:r>
          <w:rPr>
            <w:caps w:val="0"/>
            <w:noProof/>
            <w:webHidden/>
          </w:rPr>
          <w:fldChar w:fldCharType="begin"/>
        </w:r>
        <w:r>
          <w:rPr>
            <w:caps w:val="0"/>
            <w:noProof/>
            <w:webHidden/>
          </w:rPr>
          <w:instrText xml:space="preserve"> PAGEREF _Toc434424012 \h </w:instrText>
        </w:r>
        <w:r>
          <w:rPr>
            <w:caps w:val="0"/>
            <w:noProof/>
            <w:webHidden/>
          </w:rPr>
        </w:r>
        <w:r>
          <w:rPr>
            <w:caps w:val="0"/>
            <w:noProof/>
            <w:webHidden/>
          </w:rPr>
          <w:fldChar w:fldCharType="separate"/>
        </w:r>
        <w:r>
          <w:rPr>
            <w:caps w:val="0"/>
            <w:noProof/>
            <w:webHidden/>
          </w:rPr>
          <w:t>46</w:t>
        </w:r>
        <w:r>
          <w:rPr>
            <w:caps w:val="0"/>
            <w:noProof/>
            <w:webHidden/>
          </w:rPr>
          <w:fldChar w:fldCharType="end"/>
        </w:r>
      </w:hyperlink>
    </w:p>
    <w:p>
      <w:pPr>
        <w:pStyle w:val="Grafik"/>
        <w:tabs>
          <w:tab w:val="left" w:pos="709"/>
        </w:tabs>
        <w:ind w:left="709" w:right="283" w:hanging="709"/>
        <w:jc w:val="left"/>
        <w:rPr>
          <w:noProof/>
          <w:lang w:bidi="kn-IN"/>
        </w:rPr>
      </w:pPr>
      <w:r>
        <w:rPr>
          <w:noProof/>
          <w:lang w:bidi="kn-IN"/>
        </w:rPr>
        <w:fldChar w:fldCharType="end"/>
      </w:r>
    </w:p>
    <w:p>
      <w:pPr>
        <w:rPr>
          <w:noProof/>
        </w:rPr>
        <w:sectPr>
          <w:headerReference w:type="even" r:id="rId16"/>
          <w:headerReference w:type="default" r:id="rId17"/>
          <w:footerReference w:type="even" r:id="rId18"/>
          <w:footerReference w:type="default" r:id="rId19"/>
          <w:headerReference w:type="first" r:id="rId20"/>
          <w:footerReference w:type="first" r:id="rId21"/>
          <w:pgSz w:w="11907" w:h="16840" w:code="9"/>
          <w:pgMar w:top="1701" w:right="1701" w:bottom="1701" w:left="1701" w:header="1134" w:footer="1134" w:gutter="0"/>
          <w:paperSrc w:first="15" w:other="15"/>
          <w:cols w:space="720"/>
          <w:docGrid w:linePitch="299"/>
        </w:sectPr>
      </w:pPr>
    </w:p>
    <w:p>
      <w:pPr>
        <w:pStyle w:val="Standardtext"/>
        <w:rPr>
          <w:noProof/>
          <w:color w:val="FF0000"/>
          <w:szCs w:val="24"/>
          <w:lang w:val="en-GB"/>
        </w:rPr>
      </w:pPr>
      <w:bookmarkStart w:id="3" w:name="_Toc425925839"/>
      <w:bookmarkStart w:id="4" w:name="_Ref410909394"/>
      <w:bookmarkStart w:id="5" w:name="_Toc343687286"/>
      <w:bookmarkStart w:id="6" w:name="_Ref349804645"/>
      <w:bookmarkStart w:id="7" w:name="_Toc349809206"/>
      <w:bookmarkStart w:id="8" w:name="_Ref410909402"/>
      <w:r>
        <w:rPr>
          <w:noProof/>
          <w:color w:val="FF0000"/>
          <w:szCs w:val="24"/>
          <w:lang w:val="en-GB"/>
        </w:rPr>
        <w:t>In accordance with Decision 19/CP.18, these tables shall be submitted to the UNFCCC through an electronic reporting application for a common tabular format (the CTF portal)</w:t>
      </w:r>
    </w:p>
    <w:p>
      <w:pPr>
        <w:pStyle w:val="Heading1"/>
        <w:rPr>
          <w:noProof/>
        </w:rPr>
      </w:pPr>
      <w:bookmarkStart w:id="9" w:name="_Toc434423709"/>
      <w:bookmarkStart w:id="10" w:name="_Toc434423951"/>
      <w:bookmarkStart w:id="11" w:name="_Toc434424002"/>
      <w:r>
        <w:rPr>
          <w:noProof/>
        </w:rPr>
        <w:t>CTF Table 1: Emission trends</w:t>
      </w:r>
      <w:bookmarkEnd w:id="9"/>
      <w:bookmarkEnd w:id="10"/>
      <w:bookmarkEnd w:id="11"/>
    </w:p>
    <w:p>
      <w:pPr>
        <w:spacing w:after="0"/>
        <w:jc w:val="left"/>
        <w:rPr>
          <w:noProof/>
          <w:lang w:val="en-GB"/>
        </w:rPr>
      </w:pPr>
      <w:r>
        <w:rPr>
          <w:noProof/>
          <w:lang w:val="en-GB"/>
        </w:rPr>
        <w:t xml:space="preserve">This table is based on the latest currently available inventory (EU inventory submission for EU-28 of </w:t>
      </w:r>
      <w:r>
        <w:rPr>
          <w:noProof/>
        </w:rPr>
        <w:t>25 November 2015</w:t>
      </w:r>
      <w:r>
        <w:rPr>
          <w:noProof/>
          <w:vertAlign w:val="superscript"/>
        </w:rPr>
        <w:footnoteReference w:id="1"/>
      </w:r>
      <w:r>
        <w:rPr>
          <w:noProof/>
          <w:lang w:val="en-GB"/>
        </w:rPr>
        <w:t xml:space="preserve">) </w:t>
      </w:r>
    </w:p>
    <w:p>
      <w:pPr>
        <w:pStyle w:val="Standardtext"/>
        <w:rPr>
          <w:noProof/>
          <w:lang w:val="en-GB"/>
        </w:rPr>
      </w:pPr>
      <w:r>
        <w:rPr>
          <w:noProof/>
          <w:lang w:val="en-GB"/>
        </w:rPr>
        <w:t>Table 1 consists of five parts.</w:t>
      </w:r>
    </w:p>
    <w:p>
      <w:pPr>
        <w:pStyle w:val="Standardtext"/>
        <w:rPr>
          <w:noProof/>
          <w:lang w:val="en-GB"/>
        </w:rPr>
      </w:pPr>
    </w:p>
    <w:p>
      <w:pPr>
        <w:pStyle w:val="Standardtext"/>
        <w:rPr>
          <w:noProof/>
          <w:lang w:val="en-GB"/>
        </w:rPr>
      </w:pPr>
      <w:r>
        <w:rPr>
          <w:noProof/>
          <w:lang w:val="en-US"/>
        </w:rPr>
        <w:drawing>
          <wp:inline distT="0" distB="0" distL="0" distR="0">
            <wp:extent cx="9972675" cy="2879725"/>
            <wp:effectExtent l="0" t="0" r="952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72675" cy="2879725"/>
                    </a:xfrm>
                    <a:prstGeom prst="rect">
                      <a:avLst/>
                    </a:prstGeom>
                    <a:noFill/>
                    <a:ln>
                      <a:noFill/>
                    </a:ln>
                  </pic:spPr>
                </pic:pic>
              </a:graphicData>
            </a:graphic>
          </wp:inline>
        </w:drawing>
      </w:r>
    </w:p>
    <w:p>
      <w:pPr>
        <w:pStyle w:val="Caption"/>
        <w:tabs>
          <w:tab w:val="clear" w:pos="1871"/>
          <w:tab w:val="left" w:pos="0"/>
        </w:tabs>
        <w:ind w:left="0" w:hanging="28"/>
        <w:rPr>
          <w:noProof/>
        </w:rPr>
      </w:pPr>
      <w:r>
        <w:rPr>
          <w:noProof/>
          <w:lang w:val="en-US"/>
        </w:rPr>
        <w:drawing>
          <wp:inline distT="0" distB="0" distL="0" distR="0">
            <wp:extent cx="9972675" cy="5504262"/>
            <wp:effectExtent l="0" t="0" r="0" b="127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72675" cy="5504262"/>
                    </a:xfrm>
                    <a:prstGeom prst="rect">
                      <a:avLst/>
                    </a:prstGeom>
                    <a:noFill/>
                    <a:ln>
                      <a:noFill/>
                    </a:ln>
                  </pic:spPr>
                </pic:pic>
              </a:graphicData>
            </a:graphic>
          </wp:inline>
        </w:drawing>
      </w:r>
    </w:p>
    <w:p>
      <w:pPr>
        <w:pStyle w:val="Caption"/>
        <w:tabs>
          <w:tab w:val="clear" w:pos="1871"/>
          <w:tab w:val="left" w:pos="0"/>
        </w:tabs>
        <w:ind w:left="0" w:hanging="28"/>
        <w:rPr>
          <w:noProof/>
        </w:rPr>
      </w:pPr>
      <w:r>
        <w:rPr>
          <w:noProof/>
          <w:lang w:val="en-US"/>
        </w:rPr>
        <w:drawing>
          <wp:inline distT="0" distB="0" distL="0" distR="0">
            <wp:extent cx="9972675" cy="5452894"/>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72675" cy="5452894"/>
                    </a:xfrm>
                    <a:prstGeom prst="rect">
                      <a:avLst/>
                    </a:prstGeom>
                    <a:noFill/>
                    <a:ln>
                      <a:noFill/>
                    </a:ln>
                  </pic:spPr>
                </pic:pic>
              </a:graphicData>
            </a:graphic>
          </wp:inline>
        </w:drawing>
      </w:r>
    </w:p>
    <w:p>
      <w:pPr>
        <w:pStyle w:val="Caption"/>
        <w:tabs>
          <w:tab w:val="clear" w:pos="1871"/>
          <w:tab w:val="left" w:pos="0"/>
        </w:tabs>
        <w:ind w:left="0" w:hanging="28"/>
        <w:rPr>
          <w:noProof/>
        </w:rPr>
      </w:pPr>
      <w:r>
        <w:rPr>
          <w:noProof/>
          <w:lang w:val="en-US"/>
        </w:rPr>
        <w:drawing>
          <wp:inline distT="0" distB="0" distL="0" distR="0">
            <wp:extent cx="9167751" cy="5755534"/>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171517" cy="5757898"/>
                    </a:xfrm>
                    <a:prstGeom prst="rect">
                      <a:avLst/>
                    </a:prstGeom>
                    <a:noFill/>
                    <a:ln>
                      <a:noFill/>
                    </a:ln>
                  </pic:spPr>
                </pic:pic>
              </a:graphicData>
            </a:graphic>
          </wp:inline>
        </w:drawing>
      </w:r>
    </w:p>
    <w:p>
      <w:pPr>
        <w:pStyle w:val="Caption"/>
        <w:tabs>
          <w:tab w:val="clear" w:pos="1871"/>
          <w:tab w:val="left" w:pos="0"/>
        </w:tabs>
        <w:ind w:left="0" w:hanging="28"/>
        <w:rPr>
          <w:noProof/>
        </w:rPr>
      </w:pPr>
      <w:r>
        <w:rPr>
          <w:noProof/>
          <w:lang w:val="en-US"/>
        </w:rPr>
        <w:drawing>
          <wp:inline distT="0" distB="0" distL="0" distR="0">
            <wp:extent cx="9972675" cy="4164148"/>
            <wp:effectExtent l="0" t="0" r="0" b="8255"/>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72675" cy="4164148"/>
                    </a:xfrm>
                    <a:prstGeom prst="rect">
                      <a:avLst/>
                    </a:prstGeom>
                    <a:noFill/>
                    <a:ln>
                      <a:noFill/>
                    </a:ln>
                  </pic:spPr>
                </pic:pic>
              </a:graphicData>
            </a:graphic>
          </wp:inline>
        </w:drawing>
      </w:r>
    </w:p>
    <w:p>
      <w:pPr>
        <w:pStyle w:val="Caption"/>
        <w:tabs>
          <w:tab w:val="clear" w:pos="1871"/>
          <w:tab w:val="left" w:pos="0"/>
        </w:tabs>
        <w:ind w:left="0" w:hanging="28"/>
        <w:rPr>
          <w:noProof/>
        </w:rPr>
      </w:pPr>
    </w:p>
    <w:p>
      <w:pPr>
        <w:pStyle w:val="Caption"/>
        <w:tabs>
          <w:tab w:val="clear" w:pos="1871"/>
          <w:tab w:val="left" w:pos="0"/>
        </w:tabs>
        <w:ind w:left="0" w:hanging="28"/>
        <w:rPr>
          <w:noProof/>
        </w:rPr>
      </w:pPr>
    </w:p>
    <w:p>
      <w:pPr>
        <w:spacing w:after="200" w:line="276" w:lineRule="auto"/>
        <w:jc w:val="left"/>
        <w:rPr>
          <w:noProof/>
        </w:rPr>
      </w:pPr>
    </w:p>
    <w:p>
      <w:pPr>
        <w:spacing w:after="200" w:line="276" w:lineRule="auto"/>
        <w:jc w:val="left"/>
        <w:rPr>
          <w:noProof/>
        </w:rPr>
      </w:pPr>
    </w:p>
    <w:p>
      <w:pPr>
        <w:pStyle w:val="Standardtext"/>
        <w:rPr>
          <w:noProof/>
        </w:rPr>
      </w:pPr>
    </w:p>
    <w:p>
      <w:pPr>
        <w:pStyle w:val="Standardtext"/>
        <w:rPr>
          <w:noProof/>
        </w:rPr>
        <w:sectPr>
          <w:headerReference w:type="even" r:id="rId27"/>
          <w:headerReference w:type="default" r:id="rId28"/>
          <w:footerReference w:type="even" r:id="rId29"/>
          <w:footerReference w:type="default" r:id="rId30"/>
          <w:headerReference w:type="first" r:id="rId31"/>
          <w:footerReference w:type="first" r:id="rId32"/>
          <w:type w:val="oddPage"/>
          <w:pgSz w:w="16839" w:h="11907" w:orient="landscape" w:code="9"/>
          <w:pgMar w:top="567" w:right="567" w:bottom="567" w:left="567" w:header="1134" w:footer="1134" w:gutter="0"/>
          <w:paperSrc w:first="15" w:other="15"/>
          <w:cols w:space="720"/>
          <w:docGrid w:linePitch="299"/>
        </w:sectPr>
      </w:pPr>
    </w:p>
    <w:p>
      <w:pPr>
        <w:pStyle w:val="Heading1"/>
        <w:rPr>
          <w:noProof/>
          <w:lang w:val="en-GB"/>
        </w:rPr>
      </w:pPr>
      <w:bookmarkStart w:id="12" w:name="_Toc422484952"/>
      <w:bookmarkStart w:id="13" w:name="_Toc434423710"/>
      <w:bookmarkStart w:id="14" w:name="_Toc434423952"/>
      <w:bookmarkStart w:id="15" w:name="_Toc434424003"/>
      <w:r>
        <w:rPr>
          <w:noProof/>
          <w:lang w:val="en-GB"/>
        </w:rPr>
        <w:t>CTF table 2</w:t>
      </w:r>
      <w:bookmarkEnd w:id="12"/>
      <w:r>
        <w:rPr>
          <w:noProof/>
          <w:lang w:val="en-GB"/>
        </w:rPr>
        <w:t>: Description of quantified economy-wide emission reduction target</w:t>
      </w:r>
      <w:bookmarkEnd w:id="13"/>
      <w:bookmarkEnd w:id="14"/>
      <w:bookmarkEnd w:id="15"/>
    </w:p>
    <w:tbl>
      <w:tblPr>
        <w:tblW w:w="4856" w:type="pct"/>
        <w:tblInd w:w="70" w:type="dxa"/>
        <w:tblCellMar>
          <w:left w:w="70" w:type="dxa"/>
          <w:right w:w="70" w:type="dxa"/>
        </w:tblCellMar>
        <w:tblLook w:val="04A0" w:firstRow="1" w:lastRow="0" w:firstColumn="1" w:lastColumn="0" w:noHBand="0" w:noVBand="1"/>
      </w:tblPr>
      <w:tblGrid>
        <w:gridCol w:w="1785"/>
        <w:gridCol w:w="1346"/>
        <w:gridCol w:w="5815"/>
      </w:tblGrid>
      <w:tr>
        <w:trPr>
          <w:trHeight w:val="300"/>
        </w:trPr>
        <w:tc>
          <w:tcPr>
            <w:tcW w:w="9497" w:type="dxa"/>
            <w:gridSpan w:val="3"/>
            <w:tcBorders>
              <w:top w:val="single" w:sz="4" w:space="0" w:color="auto"/>
              <w:left w:val="single" w:sz="4" w:space="0" w:color="auto"/>
              <w:bottom w:val="nil"/>
              <w:right w:val="single" w:sz="4" w:space="0" w:color="auto"/>
            </w:tcBorders>
            <w:shd w:val="clear" w:color="000000" w:fill="92CDDC"/>
            <w:vAlign w:val="center"/>
            <w:hideMark/>
          </w:tcPr>
          <w:p>
            <w:pPr>
              <w:spacing w:after="0" w:line="240" w:lineRule="auto"/>
              <w:jc w:val="left"/>
              <w:rPr>
                <w:rFonts w:ascii="Calibri" w:eastAsia="Times New Roman" w:hAnsi="Calibri"/>
                <w:b/>
                <w:bCs/>
                <w:noProof/>
                <w:color w:val="000000"/>
                <w:lang w:val="en-US" w:eastAsia="de-DE"/>
              </w:rPr>
            </w:pPr>
            <w:r>
              <w:rPr>
                <w:rFonts w:ascii="Calibri" w:eastAsia="Times New Roman" w:hAnsi="Calibri"/>
                <w:b/>
                <w:bCs/>
                <w:noProof/>
                <w:color w:val="000000"/>
                <w:lang w:val="en-US" w:eastAsia="de-DE"/>
              </w:rPr>
              <w:t>Emission reduction target: base year and target</w:t>
            </w:r>
          </w:p>
        </w:tc>
      </w:tr>
      <w:tr>
        <w:trPr>
          <w:trHeight w:val="300"/>
        </w:trPr>
        <w:tc>
          <w:tcPr>
            <w:tcW w:w="1843" w:type="dxa"/>
            <w:tcBorders>
              <w:top w:val="single" w:sz="4" w:space="0" w:color="auto"/>
              <w:left w:val="single" w:sz="4" w:space="0" w:color="auto"/>
              <w:bottom w:val="single" w:sz="4" w:space="0" w:color="auto"/>
              <w:right w:val="single" w:sz="4" w:space="0" w:color="auto"/>
            </w:tcBorders>
            <w:shd w:val="clear" w:color="000000" w:fill="DAEEF3"/>
            <w:vAlign w:val="center"/>
            <w:hideMark/>
          </w:tcPr>
          <w:p>
            <w:pPr>
              <w:spacing w:after="0" w:line="240" w:lineRule="auto"/>
              <w:jc w:val="center"/>
              <w:rPr>
                <w:rFonts w:ascii="Calibri" w:eastAsia="Times New Roman" w:hAnsi="Calibri"/>
                <w:b/>
                <w:bCs/>
                <w:noProof/>
                <w:color w:val="000000"/>
                <w:lang w:val="en-US" w:eastAsia="de-DE"/>
              </w:rPr>
            </w:pPr>
            <w:r>
              <w:rPr>
                <w:rFonts w:ascii="Calibri" w:eastAsia="Times New Roman" w:hAnsi="Calibri"/>
                <w:b/>
                <w:bCs/>
                <w:noProof/>
                <w:color w:val="000000"/>
                <w:lang w:val="en-US" w:eastAsia="de-DE"/>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b/>
                <w:bCs/>
                <w:noProof/>
                <w:color w:val="000000"/>
                <w:lang w:val="en-US" w:eastAsia="de-DE"/>
              </w:rPr>
            </w:pPr>
            <w:r>
              <w:rPr>
                <w:rFonts w:ascii="Calibri" w:eastAsia="Times New Roman" w:hAnsi="Calibri"/>
                <w:b/>
                <w:bCs/>
                <w:noProof/>
                <w:color w:val="000000"/>
                <w:lang w:val="en-US" w:eastAsia="de-DE"/>
              </w:rPr>
              <w:t> </w:t>
            </w:r>
          </w:p>
        </w:tc>
        <w:tc>
          <w:tcPr>
            <w:tcW w:w="6237" w:type="dxa"/>
            <w:tcBorders>
              <w:top w:val="nil"/>
              <w:left w:val="nil"/>
              <w:bottom w:val="nil"/>
              <w:right w:val="single" w:sz="4" w:space="0" w:color="auto"/>
            </w:tcBorders>
            <w:shd w:val="clear" w:color="000000" w:fill="B7DEE8"/>
            <w:vAlign w:val="center"/>
            <w:hideMark/>
          </w:tcPr>
          <w:p>
            <w:pPr>
              <w:spacing w:after="0" w:line="240" w:lineRule="auto"/>
              <w:jc w:val="center"/>
              <w:rPr>
                <w:rFonts w:ascii="Calibri" w:eastAsia="Times New Roman" w:hAnsi="Calibri"/>
                <w:b/>
                <w:bCs/>
                <w:noProof/>
                <w:color w:val="000000"/>
                <w:lang w:eastAsia="de-DE"/>
              </w:rPr>
            </w:pPr>
            <w:r>
              <w:rPr>
                <w:rFonts w:ascii="Calibri" w:eastAsia="Times New Roman" w:hAnsi="Calibri"/>
                <w:b/>
                <w:bCs/>
                <w:noProof/>
                <w:color w:val="000000"/>
                <w:lang w:eastAsia="de-DE"/>
              </w:rPr>
              <w:t>Comments</w:t>
            </w:r>
          </w:p>
        </w:tc>
      </w:tr>
      <w:tr>
        <w:trPr>
          <w:trHeight w:val="300"/>
        </w:trPr>
        <w:tc>
          <w:tcPr>
            <w:tcW w:w="1843" w:type="dxa"/>
            <w:tcBorders>
              <w:top w:val="nil"/>
              <w:left w:val="single" w:sz="4" w:space="0" w:color="auto"/>
              <w:right w:val="single" w:sz="4" w:space="0" w:color="auto"/>
            </w:tcBorders>
            <w:shd w:val="clear" w:color="000000" w:fill="DAEEF3"/>
            <w:vAlign w:val="center"/>
            <w:hideMark/>
          </w:tcPr>
          <w:p>
            <w:pPr>
              <w:spacing w:after="0" w:line="240" w:lineRule="auto"/>
              <w:jc w:val="left"/>
              <w:rPr>
                <w:rFonts w:ascii="Calibri" w:eastAsia="Times New Roman" w:hAnsi="Calibri"/>
                <w:b/>
                <w:bCs/>
                <w:noProof/>
                <w:color w:val="000000"/>
                <w:lang w:eastAsia="de-DE"/>
              </w:rPr>
            </w:pPr>
            <w:r>
              <w:rPr>
                <w:rFonts w:ascii="Calibri" w:eastAsia="Times New Roman" w:hAnsi="Calibri"/>
                <w:b/>
                <w:bCs/>
                <w:noProof/>
                <w:color w:val="000000"/>
                <w:lang w:eastAsia="de-DE"/>
              </w:rPr>
              <w:t>Base year/ base period</w:t>
            </w:r>
          </w:p>
        </w:tc>
        <w:tc>
          <w:tcPr>
            <w:tcW w:w="1417" w:type="dxa"/>
            <w:tcBorders>
              <w:top w:val="nil"/>
              <w:left w:val="nil"/>
              <w:right w:val="single" w:sz="4" w:space="0" w:color="auto"/>
            </w:tcBorders>
            <w:shd w:val="clear" w:color="auto" w:fill="auto"/>
            <w:vAlign w:val="center"/>
            <w:hideMark/>
          </w:tcPr>
          <w:p>
            <w:pPr>
              <w:spacing w:after="0" w:line="240" w:lineRule="auto"/>
              <w:jc w:val="right"/>
              <w:rPr>
                <w:rFonts w:ascii="Calibri" w:eastAsia="Times New Roman" w:hAnsi="Calibri"/>
                <w:noProof/>
                <w:color w:val="000000"/>
                <w:lang w:eastAsia="de-DE"/>
              </w:rPr>
            </w:pPr>
            <w:r>
              <w:rPr>
                <w:rFonts w:ascii="Calibri" w:eastAsia="Times New Roman" w:hAnsi="Calibri"/>
                <w:noProof/>
                <w:color w:val="000000"/>
                <w:lang w:eastAsia="de-DE"/>
              </w:rPr>
              <w:t>1990</w:t>
            </w:r>
          </w:p>
        </w:tc>
        <w:tc>
          <w:tcPr>
            <w:tcW w:w="6237" w:type="dxa"/>
            <w:vMerge w:val="restart"/>
            <w:tcBorders>
              <w:top w:val="nil"/>
              <w:left w:val="nil"/>
              <w:right w:val="single" w:sz="4" w:space="0" w:color="auto"/>
            </w:tcBorders>
            <w:shd w:val="clear" w:color="auto" w:fill="auto"/>
            <w:vAlign w:val="center"/>
            <w:hideMark/>
          </w:tcPr>
          <w:p>
            <w:pPr>
              <w:spacing w:after="0" w:line="240" w:lineRule="auto"/>
              <w:jc w:val="left"/>
              <w:rPr>
                <w:rFonts w:ascii="Calibri" w:eastAsia="Times New Roman" w:hAnsi="Calibri"/>
                <w:noProof/>
                <w:color w:val="000000"/>
                <w:lang w:val="en-US" w:eastAsia="de-DE"/>
              </w:rPr>
            </w:pPr>
            <w:r>
              <w:rPr>
                <w:rFonts w:ascii="Calibri" w:eastAsia="Times New Roman" w:hAnsi="Calibri"/>
                <w:noProof/>
                <w:color w:val="000000"/>
                <w:lang w:val="en-US" w:eastAsia="de-DE"/>
              </w:rPr>
              <w:t> Legally binding target trajectories for the period 2013-2020 are enshrined in both the EU-ETS Directive (Directive 2003/87/EC and respective amendments) and the Effort Sharing Decision (Decision No 406/2009/EC). These legally binding trajectories not only result in a 20% GHG reduction in 2020 compared to 1990 but also define the EU's annual target pathway to reduce EU GHG emissions from 2013 to 2020. The Effort Sharing Decision sets annual national emission targets for all Member States for the period 2013-2020 for those sectors not covered by the EU emissions trading system (ETS), expressed as percentage changes from 2005 levels. In March 2013, the Commission formally adopted the national annual limits throughout the period for each Member State. By 2020, the national targets will collectively deliver a reduction of around 10% in total EU emissions from the sectors covered compared with 2005 levels. The emission reduction to be achieved from the sectors covered by the EU ETS will be 21% below 2005 emission levels</w:t>
            </w:r>
          </w:p>
          <w:p>
            <w:pPr>
              <w:spacing w:after="0" w:line="240" w:lineRule="auto"/>
              <w:jc w:val="left"/>
              <w:rPr>
                <w:rFonts w:ascii="Calibri" w:eastAsia="Times New Roman" w:hAnsi="Calibri"/>
                <w:noProof/>
                <w:color w:val="000000"/>
                <w:lang w:val="en-US" w:eastAsia="de-DE"/>
              </w:rPr>
            </w:pPr>
            <w:r>
              <w:rPr>
                <w:rFonts w:ascii="Calibri" w:eastAsia="Times New Roman" w:hAnsi="Calibri"/>
                <w:noProof/>
                <w:color w:val="000000"/>
                <w:lang w:val="en-US" w:eastAsia="de-DE"/>
              </w:rPr>
              <w:t> </w:t>
            </w:r>
          </w:p>
        </w:tc>
      </w:tr>
      <w:tr>
        <w:trPr>
          <w:trHeight w:val="600"/>
        </w:trPr>
        <w:tc>
          <w:tcPr>
            <w:tcW w:w="1843" w:type="dxa"/>
            <w:tcBorders>
              <w:left w:val="single" w:sz="4" w:space="0" w:color="auto"/>
              <w:bottom w:val="single" w:sz="4" w:space="0" w:color="auto"/>
              <w:right w:val="single" w:sz="4" w:space="0" w:color="auto"/>
            </w:tcBorders>
            <w:shd w:val="clear" w:color="000000" w:fill="DAEEF3"/>
            <w:vAlign w:val="center"/>
            <w:hideMark/>
          </w:tcPr>
          <w:p>
            <w:pPr>
              <w:spacing w:after="0" w:line="240" w:lineRule="auto"/>
              <w:jc w:val="left"/>
              <w:rPr>
                <w:rFonts w:ascii="Calibri" w:eastAsia="Times New Roman" w:hAnsi="Calibri"/>
                <w:b/>
                <w:bCs/>
                <w:noProof/>
                <w:color w:val="000000"/>
                <w:lang w:val="en-US" w:eastAsia="de-DE"/>
              </w:rPr>
            </w:pPr>
            <w:r>
              <w:rPr>
                <w:rFonts w:ascii="Calibri" w:eastAsia="Times New Roman" w:hAnsi="Calibri"/>
                <w:b/>
                <w:bCs/>
                <w:noProof/>
                <w:color w:val="000000"/>
                <w:lang w:val="en-US" w:eastAsia="de-DE"/>
              </w:rPr>
              <w:t>Emission reductions target (% of base year/base period)</w:t>
            </w:r>
          </w:p>
        </w:tc>
        <w:tc>
          <w:tcPr>
            <w:tcW w:w="1417" w:type="dxa"/>
            <w:tcBorders>
              <w:left w:val="nil"/>
              <w:bottom w:val="single" w:sz="4" w:space="0" w:color="auto"/>
              <w:right w:val="single" w:sz="4" w:space="0" w:color="auto"/>
            </w:tcBorders>
            <w:shd w:val="clear" w:color="000000" w:fill="FFFFFF"/>
            <w:vAlign w:val="center"/>
            <w:hideMark/>
          </w:tcPr>
          <w:p>
            <w:pPr>
              <w:spacing w:after="0" w:line="240" w:lineRule="auto"/>
              <w:jc w:val="left"/>
              <w:rPr>
                <w:rFonts w:ascii="Calibri" w:eastAsia="Times New Roman" w:hAnsi="Calibri"/>
                <w:noProof/>
                <w:color w:val="000000"/>
                <w:lang w:val="en-US" w:eastAsia="de-DE"/>
              </w:rPr>
            </w:pPr>
            <w:r>
              <w:rPr>
                <w:rFonts w:ascii="Calibri" w:eastAsia="Times New Roman" w:hAnsi="Calibri"/>
                <w:noProof/>
                <w:color w:val="000000"/>
                <w:lang w:val="en-US" w:eastAsia="de-DE"/>
              </w:rPr>
              <w:t> </w:t>
            </w:r>
          </w:p>
        </w:tc>
        <w:tc>
          <w:tcPr>
            <w:tcW w:w="6237" w:type="dxa"/>
            <w:vMerge/>
            <w:tcBorders>
              <w:left w:val="nil"/>
              <w:right w:val="single" w:sz="4" w:space="0" w:color="auto"/>
            </w:tcBorders>
            <w:shd w:val="clear" w:color="000000" w:fill="FFFFFF"/>
            <w:vAlign w:val="center"/>
            <w:hideMark/>
          </w:tcPr>
          <w:p>
            <w:pPr>
              <w:spacing w:after="0" w:line="240" w:lineRule="auto"/>
              <w:jc w:val="left"/>
              <w:rPr>
                <w:rFonts w:ascii="Calibri" w:eastAsia="Times New Roman" w:hAnsi="Calibri"/>
                <w:noProof/>
                <w:color w:val="000000"/>
                <w:lang w:val="en-US" w:eastAsia="de-DE"/>
              </w:rPr>
            </w:pPr>
          </w:p>
        </w:tc>
      </w:tr>
      <w:tr>
        <w:trPr>
          <w:trHeight w:val="300"/>
        </w:trPr>
        <w:tc>
          <w:tcPr>
            <w:tcW w:w="1843" w:type="dxa"/>
            <w:tcBorders>
              <w:top w:val="nil"/>
              <w:left w:val="single" w:sz="4" w:space="0" w:color="auto"/>
              <w:bottom w:val="single" w:sz="4" w:space="0" w:color="auto"/>
              <w:right w:val="single" w:sz="4" w:space="0" w:color="auto"/>
            </w:tcBorders>
            <w:shd w:val="clear" w:color="000000" w:fill="DAEEF3"/>
            <w:vAlign w:val="center"/>
            <w:hideMark/>
          </w:tcPr>
          <w:p>
            <w:pPr>
              <w:spacing w:after="0" w:line="240" w:lineRule="auto"/>
              <w:jc w:val="left"/>
              <w:rPr>
                <w:rFonts w:ascii="Calibri" w:eastAsia="Times New Roman" w:hAnsi="Calibri"/>
                <w:b/>
                <w:bCs/>
                <w:noProof/>
                <w:color w:val="000000"/>
                <w:lang w:eastAsia="de-DE"/>
              </w:rPr>
            </w:pPr>
            <w:r>
              <w:rPr>
                <w:rFonts w:ascii="Calibri" w:eastAsia="Times New Roman" w:hAnsi="Calibri"/>
                <w:b/>
                <w:bCs/>
                <w:noProof/>
                <w:color w:val="000000"/>
                <w:lang w:eastAsia="de-DE"/>
              </w:rPr>
              <w:t>Emission reductions target (% of 1990)</w:t>
            </w:r>
          </w:p>
        </w:tc>
        <w:tc>
          <w:tcPr>
            <w:tcW w:w="1417"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Calibri" w:eastAsia="Times New Roman" w:hAnsi="Calibri"/>
                <w:noProof/>
                <w:color w:val="000000"/>
                <w:lang w:eastAsia="de-DE"/>
              </w:rPr>
            </w:pPr>
            <w:r>
              <w:rPr>
                <w:rFonts w:ascii="Calibri" w:eastAsia="Times New Roman" w:hAnsi="Calibri"/>
                <w:noProof/>
                <w:color w:val="000000"/>
                <w:lang w:eastAsia="de-DE"/>
              </w:rPr>
              <w:t>20%</w:t>
            </w:r>
          </w:p>
        </w:tc>
        <w:tc>
          <w:tcPr>
            <w:tcW w:w="6237" w:type="dxa"/>
            <w:vMerge/>
            <w:tcBorders>
              <w:left w:val="nil"/>
              <w:right w:val="single" w:sz="4" w:space="0" w:color="auto"/>
            </w:tcBorders>
            <w:shd w:val="clear" w:color="auto" w:fill="auto"/>
            <w:vAlign w:val="center"/>
            <w:hideMark/>
          </w:tcPr>
          <w:p>
            <w:pPr>
              <w:spacing w:after="0" w:line="240" w:lineRule="auto"/>
              <w:jc w:val="left"/>
              <w:rPr>
                <w:rFonts w:ascii="Calibri" w:eastAsia="Times New Roman" w:hAnsi="Calibri"/>
                <w:noProof/>
                <w:color w:val="000000"/>
                <w:lang w:eastAsia="de-DE"/>
              </w:rPr>
            </w:pPr>
          </w:p>
        </w:tc>
      </w:tr>
      <w:tr>
        <w:trPr>
          <w:trHeight w:val="2190"/>
        </w:trPr>
        <w:tc>
          <w:tcPr>
            <w:tcW w:w="1843" w:type="dxa"/>
            <w:tcBorders>
              <w:top w:val="nil"/>
              <w:left w:val="single" w:sz="4" w:space="0" w:color="auto"/>
              <w:bottom w:val="single" w:sz="4" w:space="0" w:color="auto"/>
              <w:right w:val="single" w:sz="4" w:space="0" w:color="auto"/>
            </w:tcBorders>
            <w:shd w:val="clear" w:color="000000" w:fill="DAEEF3"/>
            <w:vAlign w:val="center"/>
            <w:hideMark/>
          </w:tcPr>
          <w:p>
            <w:pPr>
              <w:spacing w:after="0" w:line="240" w:lineRule="auto"/>
              <w:jc w:val="left"/>
              <w:rPr>
                <w:rFonts w:ascii="Calibri" w:eastAsia="Times New Roman" w:hAnsi="Calibri"/>
                <w:b/>
                <w:bCs/>
                <w:noProof/>
                <w:color w:val="000000"/>
                <w:lang w:eastAsia="de-DE"/>
              </w:rPr>
            </w:pPr>
            <w:r>
              <w:rPr>
                <w:rFonts w:ascii="Calibri" w:eastAsia="Times New Roman" w:hAnsi="Calibri"/>
                <w:b/>
                <w:bCs/>
                <w:noProof/>
                <w:color w:val="000000"/>
                <w:lang w:eastAsia="de-DE"/>
              </w:rPr>
              <w:t>Period for reaching target</w:t>
            </w:r>
          </w:p>
        </w:tc>
        <w:tc>
          <w:tcPr>
            <w:tcW w:w="1417" w:type="dxa"/>
            <w:tcBorders>
              <w:top w:val="nil"/>
              <w:left w:val="nil"/>
              <w:bottom w:val="single" w:sz="4" w:space="0" w:color="auto"/>
              <w:right w:val="single" w:sz="4" w:space="0" w:color="auto"/>
            </w:tcBorders>
            <w:shd w:val="clear" w:color="000000" w:fill="FFFFFF"/>
            <w:vAlign w:val="center"/>
            <w:hideMark/>
          </w:tcPr>
          <w:p>
            <w:pPr>
              <w:spacing w:after="0" w:line="240" w:lineRule="auto"/>
              <w:jc w:val="left"/>
              <w:rPr>
                <w:rFonts w:ascii="Calibri" w:eastAsia="Times New Roman" w:hAnsi="Calibri"/>
                <w:b/>
                <w:bCs/>
                <w:noProof/>
                <w:color w:val="000000"/>
                <w:lang w:eastAsia="de-DE"/>
              </w:rPr>
            </w:pPr>
            <w:r>
              <w:rPr>
                <w:rFonts w:ascii="Calibri" w:eastAsia="Times New Roman" w:hAnsi="Calibri"/>
                <w:b/>
                <w:bCs/>
                <w:noProof/>
                <w:color w:val="000000"/>
                <w:lang w:eastAsia="de-DE"/>
              </w:rPr>
              <w:t>BY-2020</w:t>
            </w:r>
          </w:p>
        </w:tc>
        <w:tc>
          <w:tcPr>
            <w:tcW w:w="6237" w:type="dxa"/>
            <w:vMerge/>
            <w:tcBorders>
              <w:left w:val="nil"/>
              <w:bottom w:val="single" w:sz="4" w:space="0" w:color="auto"/>
              <w:right w:val="single" w:sz="4" w:space="0" w:color="auto"/>
            </w:tcBorders>
            <w:shd w:val="clear" w:color="000000" w:fill="FFFFFF"/>
            <w:vAlign w:val="center"/>
            <w:hideMark/>
          </w:tcPr>
          <w:p>
            <w:pPr>
              <w:spacing w:after="0" w:line="240" w:lineRule="auto"/>
              <w:jc w:val="left"/>
              <w:rPr>
                <w:rFonts w:ascii="Calibri" w:eastAsia="Times New Roman" w:hAnsi="Calibri"/>
                <w:noProof/>
                <w:color w:val="000000"/>
                <w:lang w:eastAsia="de-DE"/>
              </w:rPr>
            </w:pPr>
          </w:p>
        </w:tc>
      </w:tr>
    </w:tbl>
    <w:p>
      <w:pPr>
        <w:rPr>
          <w:noProof/>
        </w:rPr>
      </w:pPr>
    </w:p>
    <w:tbl>
      <w:tblPr>
        <w:tblW w:w="4964" w:type="pct"/>
        <w:tblInd w:w="70" w:type="dxa"/>
        <w:tblCellMar>
          <w:left w:w="70" w:type="dxa"/>
          <w:right w:w="70" w:type="dxa"/>
        </w:tblCellMar>
        <w:tblLook w:val="04A0" w:firstRow="1" w:lastRow="0" w:firstColumn="1" w:lastColumn="0" w:noHBand="0" w:noVBand="1"/>
      </w:tblPr>
      <w:tblGrid>
        <w:gridCol w:w="1040"/>
        <w:gridCol w:w="1223"/>
        <w:gridCol w:w="1040"/>
        <w:gridCol w:w="1100"/>
        <w:gridCol w:w="4742"/>
      </w:tblGrid>
      <w:tr>
        <w:trPr>
          <w:trHeight w:val="300"/>
          <w:tblHeader/>
        </w:trPr>
        <w:tc>
          <w:tcPr>
            <w:tcW w:w="9708" w:type="dxa"/>
            <w:gridSpan w:val="5"/>
            <w:tcBorders>
              <w:top w:val="single" w:sz="4" w:space="0" w:color="auto"/>
              <w:left w:val="single" w:sz="4" w:space="0" w:color="auto"/>
              <w:bottom w:val="nil"/>
              <w:right w:val="single" w:sz="4" w:space="0" w:color="auto"/>
            </w:tcBorders>
            <w:shd w:val="clear" w:color="000000" w:fill="92CDDC"/>
            <w:vAlign w:val="center"/>
            <w:hideMark/>
          </w:tcPr>
          <w:p>
            <w:pPr>
              <w:spacing w:after="0" w:line="240" w:lineRule="auto"/>
              <w:jc w:val="left"/>
              <w:rPr>
                <w:rFonts w:ascii="Calibri" w:eastAsia="Times New Roman" w:hAnsi="Calibri"/>
                <w:b/>
                <w:bCs/>
                <w:noProof/>
                <w:color w:val="000000"/>
                <w:lang w:val="en-US" w:eastAsia="de-DE"/>
              </w:rPr>
            </w:pPr>
            <w:r>
              <w:rPr>
                <w:rFonts w:ascii="Calibri" w:eastAsia="Times New Roman" w:hAnsi="Calibri"/>
                <w:b/>
                <w:bCs/>
                <w:noProof/>
                <w:color w:val="000000"/>
                <w:lang w:val="en-US" w:eastAsia="de-DE"/>
              </w:rPr>
              <w:t>Gases and sectors covered. GWP values.</w:t>
            </w:r>
          </w:p>
        </w:tc>
      </w:tr>
      <w:tr>
        <w:trPr>
          <w:trHeight w:val="945"/>
          <w:tblHeader/>
        </w:trPr>
        <w:tc>
          <w:tcPr>
            <w:tcW w:w="1054" w:type="dxa"/>
            <w:tcBorders>
              <w:top w:val="single" w:sz="4" w:space="0" w:color="auto"/>
              <w:left w:val="single" w:sz="4" w:space="0" w:color="auto"/>
              <w:bottom w:val="single" w:sz="4" w:space="0" w:color="auto"/>
              <w:right w:val="single" w:sz="4" w:space="0" w:color="auto"/>
            </w:tcBorders>
            <w:shd w:val="clear" w:color="000000" w:fill="DAEEF3"/>
            <w:vAlign w:val="center"/>
            <w:hideMark/>
          </w:tcPr>
          <w:p>
            <w:pPr>
              <w:spacing w:after="0" w:line="240" w:lineRule="auto"/>
              <w:jc w:val="center"/>
              <w:rPr>
                <w:rFonts w:ascii="Calibri" w:eastAsia="Times New Roman" w:hAnsi="Calibri"/>
                <w:b/>
                <w:bCs/>
                <w:noProof/>
                <w:color w:val="000000"/>
                <w:lang w:eastAsia="de-DE"/>
              </w:rPr>
            </w:pPr>
            <w:r>
              <w:rPr>
                <w:rFonts w:ascii="Calibri" w:eastAsia="Times New Roman" w:hAnsi="Calibri"/>
                <w:b/>
                <w:bCs/>
                <w:noProof/>
                <w:color w:val="000000"/>
                <w:lang w:eastAsia="de-DE"/>
              </w:rPr>
              <w:t>Gases covered</w:t>
            </w:r>
          </w:p>
        </w:tc>
        <w:tc>
          <w:tcPr>
            <w:tcW w:w="1257" w:type="dxa"/>
            <w:tcBorders>
              <w:top w:val="single" w:sz="4" w:space="0" w:color="auto"/>
              <w:left w:val="nil"/>
              <w:bottom w:val="single" w:sz="4" w:space="0" w:color="auto"/>
              <w:right w:val="single" w:sz="4" w:space="0" w:color="auto"/>
            </w:tcBorders>
            <w:shd w:val="clear" w:color="000000" w:fill="DAEEF3"/>
            <w:vAlign w:val="center"/>
            <w:hideMark/>
          </w:tcPr>
          <w:p>
            <w:pPr>
              <w:spacing w:after="0" w:line="240" w:lineRule="auto"/>
              <w:jc w:val="center"/>
              <w:rPr>
                <w:rFonts w:ascii="Calibri" w:eastAsia="Times New Roman" w:hAnsi="Calibri"/>
                <w:b/>
                <w:bCs/>
                <w:noProof/>
                <w:color w:val="000000"/>
                <w:lang w:eastAsia="de-DE"/>
              </w:rPr>
            </w:pPr>
            <w:r>
              <w:rPr>
                <w:rFonts w:ascii="Calibri" w:eastAsia="Times New Roman" w:hAnsi="Calibri"/>
                <w:b/>
                <w:bCs/>
                <w:noProof/>
                <w:color w:val="000000"/>
                <w:lang w:eastAsia="de-DE"/>
              </w:rPr>
              <w:t>Covered</w:t>
            </w:r>
          </w:p>
        </w:tc>
        <w:tc>
          <w:tcPr>
            <w:tcW w:w="1095" w:type="dxa"/>
            <w:tcBorders>
              <w:top w:val="single" w:sz="4" w:space="0" w:color="auto"/>
              <w:left w:val="nil"/>
              <w:bottom w:val="single" w:sz="4" w:space="0" w:color="auto"/>
              <w:right w:val="single" w:sz="4" w:space="0" w:color="auto"/>
            </w:tcBorders>
            <w:shd w:val="clear" w:color="000000" w:fill="DAEEF3"/>
            <w:vAlign w:val="center"/>
            <w:hideMark/>
          </w:tcPr>
          <w:p>
            <w:pPr>
              <w:spacing w:after="0" w:line="240" w:lineRule="auto"/>
              <w:jc w:val="center"/>
              <w:rPr>
                <w:rFonts w:ascii="Calibri" w:eastAsia="Times New Roman" w:hAnsi="Calibri"/>
                <w:b/>
                <w:bCs/>
                <w:noProof/>
                <w:color w:val="000000"/>
                <w:lang w:eastAsia="de-DE"/>
              </w:rPr>
            </w:pPr>
            <w:r>
              <w:rPr>
                <w:rFonts w:ascii="Calibri" w:eastAsia="Times New Roman" w:hAnsi="Calibri"/>
                <w:b/>
                <w:bCs/>
                <w:noProof/>
                <w:color w:val="000000"/>
                <w:lang w:eastAsia="de-DE"/>
              </w:rPr>
              <w:t>Base Year</w:t>
            </w:r>
          </w:p>
        </w:tc>
        <w:tc>
          <w:tcPr>
            <w:tcW w:w="1094" w:type="dxa"/>
            <w:tcBorders>
              <w:top w:val="single" w:sz="4" w:space="0" w:color="auto"/>
              <w:left w:val="nil"/>
              <w:bottom w:val="single" w:sz="4" w:space="0" w:color="auto"/>
              <w:right w:val="single" w:sz="4" w:space="0" w:color="auto"/>
            </w:tcBorders>
            <w:shd w:val="clear" w:color="000000" w:fill="DAEEF3"/>
            <w:vAlign w:val="center"/>
            <w:hideMark/>
          </w:tcPr>
          <w:p>
            <w:pPr>
              <w:spacing w:after="0" w:line="240" w:lineRule="auto"/>
              <w:jc w:val="center"/>
              <w:rPr>
                <w:rFonts w:ascii="Calibri" w:eastAsia="Times New Roman" w:hAnsi="Calibri"/>
                <w:b/>
                <w:bCs/>
                <w:noProof/>
                <w:color w:val="000000"/>
                <w:lang w:eastAsia="de-DE"/>
              </w:rPr>
            </w:pPr>
            <w:r>
              <w:rPr>
                <w:rFonts w:ascii="Calibri" w:eastAsia="Times New Roman" w:hAnsi="Calibri"/>
                <w:b/>
                <w:bCs/>
                <w:noProof/>
                <w:color w:val="000000"/>
                <w:lang w:eastAsia="de-DE"/>
              </w:rPr>
              <w:t>GWP</w:t>
            </w:r>
            <w:r>
              <w:rPr>
                <w:rFonts w:ascii="Calibri" w:eastAsia="Times New Roman" w:hAnsi="Calibri"/>
                <w:b/>
                <w:bCs/>
                <w:noProof/>
                <w:color w:val="000000"/>
                <w:vertAlign w:val="superscript"/>
                <w:lang w:eastAsia="de-DE"/>
              </w:rPr>
              <w:t>b</w:t>
            </w:r>
            <w:r>
              <w:rPr>
                <w:rFonts w:ascii="Calibri" w:eastAsia="Times New Roman" w:hAnsi="Calibri"/>
                <w:b/>
                <w:bCs/>
                <w:noProof/>
                <w:color w:val="000000"/>
                <w:lang w:eastAsia="de-DE"/>
              </w:rPr>
              <w:t xml:space="preserve"> reference source</w:t>
            </w:r>
          </w:p>
        </w:tc>
        <w:tc>
          <w:tcPr>
            <w:tcW w:w="5208" w:type="dxa"/>
            <w:tcBorders>
              <w:top w:val="single" w:sz="4" w:space="0" w:color="auto"/>
              <w:left w:val="nil"/>
              <w:bottom w:val="single" w:sz="4" w:space="0" w:color="auto"/>
              <w:right w:val="single" w:sz="4" w:space="0" w:color="auto"/>
            </w:tcBorders>
            <w:shd w:val="clear" w:color="000000" w:fill="DAEEF3"/>
            <w:vAlign w:val="center"/>
            <w:hideMark/>
          </w:tcPr>
          <w:p>
            <w:pPr>
              <w:spacing w:after="0" w:line="240" w:lineRule="auto"/>
              <w:jc w:val="center"/>
              <w:rPr>
                <w:rFonts w:ascii="Calibri" w:eastAsia="Times New Roman" w:hAnsi="Calibri"/>
                <w:b/>
                <w:bCs/>
                <w:noProof/>
                <w:color w:val="000000"/>
                <w:lang w:eastAsia="de-DE"/>
              </w:rPr>
            </w:pPr>
            <w:r>
              <w:rPr>
                <w:rFonts w:ascii="Calibri" w:eastAsia="Times New Roman" w:hAnsi="Calibri"/>
                <w:b/>
                <w:bCs/>
                <w:noProof/>
                <w:color w:val="000000"/>
                <w:lang w:eastAsia="de-DE"/>
              </w:rPr>
              <w:t>Comments</w:t>
            </w:r>
          </w:p>
        </w:tc>
      </w:tr>
      <w:tr>
        <w:trPr>
          <w:trHeight w:val="840"/>
        </w:trPr>
        <w:tc>
          <w:tcPr>
            <w:tcW w:w="1054" w:type="dxa"/>
            <w:tcBorders>
              <w:top w:val="nil"/>
              <w:left w:val="single" w:sz="4" w:space="0" w:color="auto"/>
              <w:bottom w:val="single" w:sz="4" w:space="0" w:color="auto"/>
              <w:right w:val="single" w:sz="4" w:space="0" w:color="auto"/>
            </w:tcBorders>
            <w:shd w:val="clear" w:color="000000" w:fill="DAEEF3"/>
            <w:vAlign w:val="center"/>
            <w:hideMark/>
          </w:tcPr>
          <w:p>
            <w:pPr>
              <w:spacing w:after="0" w:line="240" w:lineRule="auto"/>
              <w:jc w:val="left"/>
              <w:rPr>
                <w:rFonts w:ascii="Calibri" w:eastAsia="Times New Roman" w:hAnsi="Calibri"/>
                <w:noProof/>
                <w:color w:val="000000"/>
                <w:lang w:eastAsia="de-DE"/>
              </w:rPr>
            </w:pPr>
            <w:r>
              <w:rPr>
                <w:rFonts w:ascii="Calibri" w:eastAsia="Times New Roman" w:hAnsi="Calibri"/>
                <w:noProof/>
                <w:color w:val="000000"/>
                <w:lang w:eastAsia="de-DE"/>
              </w:rPr>
              <w:t>CO</w:t>
            </w:r>
            <w:r>
              <w:rPr>
                <w:rFonts w:ascii="Calibri" w:eastAsia="Times New Roman" w:hAnsi="Calibri"/>
                <w:noProof/>
                <w:color w:val="000000"/>
                <w:vertAlign w:val="subscript"/>
                <w:lang w:eastAsia="de-DE"/>
              </w:rPr>
              <w:t>2</w:t>
            </w:r>
          </w:p>
        </w:tc>
        <w:tc>
          <w:tcPr>
            <w:tcW w:w="1257" w:type="dxa"/>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ascii="Calibri" w:eastAsia="Times New Roman" w:hAnsi="Calibri"/>
                <w:noProof/>
                <w:color w:val="000000"/>
                <w:lang w:eastAsia="de-DE"/>
              </w:rPr>
            </w:pPr>
            <w:r>
              <w:rPr>
                <w:rFonts w:ascii="Calibri" w:eastAsia="Times New Roman" w:hAnsi="Calibri"/>
                <w:noProof/>
                <w:color w:val="000000"/>
                <w:lang w:eastAsia="de-DE"/>
              </w:rPr>
              <w:t>Yes</w:t>
            </w:r>
          </w:p>
        </w:tc>
        <w:tc>
          <w:tcPr>
            <w:tcW w:w="109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Calibri" w:eastAsia="Times New Roman" w:hAnsi="Calibri"/>
                <w:noProof/>
                <w:color w:val="000000"/>
                <w:lang w:eastAsia="de-DE"/>
              </w:rPr>
            </w:pPr>
            <w:r>
              <w:rPr>
                <w:rFonts w:ascii="Calibri" w:eastAsia="Times New Roman" w:hAnsi="Calibri"/>
                <w:noProof/>
                <w:color w:val="000000"/>
                <w:lang w:eastAsia="de-DE"/>
              </w:rPr>
              <w:t>1990</w:t>
            </w:r>
          </w:p>
        </w:tc>
        <w:tc>
          <w:tcPr>
            <w:tcW w:w="1094" w:type="dxa"/>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ascii="Calibri" w:eastAsia="Times New Roman" w:hAnsi="Calibri"/>
                <w:noProof/>
                <w:color w:val="000000"/>
                <w:lang w:eastAsia="de-DE"/>
              </w:rPr>
            </w:pPr>
            <w:r>
              <w:rPr>
                <w:rFonts w:ascii="Calibri" w:eastAsia="Times New Roman" w:hAnsi="Calibri"/>
                <w:noProof/>
                <w:color w:val="000000"/>
                <w:lang w:eastAsia="de-DE"/>
              </w:rPr>
              <w:t>IPCC AR4</w:t>
            </w:r>
          </w:p>
        </w:tc>
        <w:tc>
          <w:tcPr>
            <w:tcW w:w="5208" w:type="dxa"/>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ascii="Calibri" w:eastAsia="Times New Roman" w:hAnsi="Calibri"/>
                <w:noProof/>
                <w:color w:val="000000"/>
                <w:lang w:val="en-US" w:eastAsia="de-DE"/>
              </w:rPr>
            </w:pPr>
            <w:r>
              <w:rPr>
                <w:rFonts w:ascii="Calibri" w:eastAsia="Times New Roman" w:hAnsi="Calibri"/>
                <w:noProof/>
                <w:color w:val="000000"/>
                <w:lang w:val="en-US" w:eastAsia="de-DE"/>
              </w:rPr>
              <w:t>as adopted in UNFCCC reporting guidelines for national GHG inventories of Annex I Parties and as adopted under the EU Monitoring Mechanism Regulation</w:t>
            </w:r>
          </w:p>
        </w:tc>
      </w:tr>
      <w:tr>
        <w:trPr>
          <w:trHeight w:val="900"/>
        </w:trPr>
        <w:tc>
          <w:tcPr>
            <w:tcW w:w="1054" w:type="dxa"/>
            <w:tcBorders>
              <w:top w:val="nil"/>
              <w:left w:val="single" w:sz="4" w:space="0" w:color="auto"/>
              <w:bottom w:val="single" w:sz="4" w:space="0" w:color="auto"/>
              <w:right w:val="single" w:sz="4" w:space="0" w:color="auto"/>
            </w:tcBorders>
            <w:shd w:val="clear" w:color="000000" w:fill="DAEEF3"/>
            <w:vAlign w:val="center"/>
            <w:hideMark/>
          </w:tcPr>
          <w:p>
            <w:pPr>
              <w:spacing w:after="0" w:line="240" w:lineRule="auto"/>
              <w:jc w:val="left"/>
              <w:rPr>
                <w:rFonts w:ascii="Calibri" w:eastAsia="Times New Roman" w:hAnsi="Calibri"/>
                <w:noProof/>
                <w:color w:val="000000"/>
                <w:lang w:eastAsia="de-DE"/>
              </w:rPr>
            </w:pPr>
            <w:r>
              <w:rPr>
                <w:rFonts w:ascii="Calibri" w:eastAsia="Times New Roman" w:hAnsi="Calibri"/>
                <w:noProof/>
                <w:color w:val="000000"/>
                <w:lang w:eastAsia="de-DE"/>
              </w:rPr>
              <w:t>CH</w:t>
            </w:r>
            <w:r>
              <w:rPr>
                <w:rFonts w:ascii="Calibri" w:eastAsia="Times New Roman" w:hAnsi="Calibri"/>
                <w:noProof/>
                <w:color w:val="000000"/>
                <w:vertAlign w:val="subscript"/>
                <w:lang w:eastAsia="de-DE"/>
              </w:rPr>
              <w:t>4</w:t>
            </w:r>
          </w:p>
        </w:tc>
        <w:tc>
          <w:tcPr>
            <w:tcW w:w="1257" w:type="dxa"/>
            <w:tcBorders>
              <w:top w:val="nil"/>
              <w:left w:val="nil"/>
              <w:bottom w:val="single" w:sz="4" w:space="0" w:color="auto"/>
              <w:right w:val="single" w:sz="4" w:space="0" w:color="auto"/>
            </w:tcBorders>
            <w:shd w:val="clear" w:color="000000" w:fill="FFFFFF"/>
            <w:vAlign w:val="center"/>
            <w:hideMark/>
          </w:tcPr>
          <w:p>
            <w:pPr>
              <w:spacing w:after="0" w:line="240" w:lineRule="auto"/>
              <w:jc w:val="left"/>
              <w:rPr>
                <w:rFonts w:ascii="Calibri" w:eastAsia="Times New Roman" w:hAnsi="Calibri"/>
                <w:noProof/>
                <w:color w:val="000000"/>
                <w:lang w:eastAsia="de-DE"/>
              </w:rPr>
            </w:pPr>
            <w:r>
              <w:rPr>
                <w:rFonts w:ascii="Calibri" w:eastAsia="Times New Roman" w:hAnsi="Calibri"/>
                <w:noProof/>
                <w:color w:val="000000"/>
                <w:lang w:eastAsia="de-DE"/>
              </w:rPr>
              <w:t>Yes</w:t>
            </w:r>
          </w:p>
        </w:tc>
        <w:tc>
          <w:tcPr>
            <w:tcW w:w="109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Calibri" w:eastAsia="Times New Roman" w:hAnsi="Calibri"/>
                <w:noProof/>
                <w:color w:val="000000"/>
                <w:lang w:eastAsia="de-DE"/>
              </w:rPr>
            </w:pPr>
            <w:r>
              <w:rPr>
                <w:rFonts w:ascii="Calibri" w:eastAsia="Times New Roman" w:hAnsi="Calibri"/>
                <w:noProof/>
                <w:color w:val="000000"/>
                <w:lang w:eastAsia="de-DE"/>
              </w:rPr>
              <w:t>1990</w:t>
            </w:r>
          </w:p>
        </w:tc>
        <w:tc>
          <w:tcPr>
            <w:tcW w:w="1094" w:type="dxa"/>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ascii="Calibri" w:eastAsia="Times New Roman" w:hAnsi="Calibri"/>
                <w:noProof/>
                <w:color w:val="000000"/>
                <w:lang w:eastAsia="de-DE"/>
              </w:rPr>
            </w:pPr>
            <w:r>
              <w:rPr>
                <w:rFonts w:ascii="Calibri" w:eastAsia="Times New Roman" w:hAnsi="Calibri"/>
                <w:noProof/>
                <w:color w:val="000000"/>
                <w:lang w:eastAsia="de-DE"/>
              </w:rPr>
              <w:t>IPCC AR4</w:t>
            </w:r>
          </w:p>
        </w:tc>
        <w:tc>
          <w:tcPr>
            <w:tcW w:w="5208" w:type="dxa"/>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ascii="Calibri" w:eastAsia="Times New Roman" w:hAnsi="Calibri"/>
                <w:noProof/>
                <w:color w:val="000000"/>
                <w:lang w:val="en-US" w:eastAsia="de-DE"/>
              </w:rPr>
            </w:pPr>
            <w:r>
              <w:rPr>
                <w:rFonts w:ascii="Calibri" w:eastAsia="Times New Roman" w:hAnsi="Calibri"/>
                <w:noProof/>
                <w:color w:val="000000"/>
                <w:lang w:val="en-US" w:eastAsia="de-DE"/>
              </w:rPr>
              <w:t>as adopted in UNFCCC reporting guidelines for national GHG inventories of Annex I Parties and as adopted under the EU Monitoring Mechanism Regulation</w:t>
            </w:r>
          </w:p>
        </w:tc>
      </w:tr>
      <w:tr>
        <w:trPr>
          <w:trHeight w:val="900"/>
        </w:trPr>
        <w:tc>
          <w:tcPr>
            <w:tcW w:w="1054" w:type="dxa"/>
            <w:tcBorders>
              <w:top w:val="nil"/>
              <w:left w:val="single" w:sz="4" w:space="0" w:color="auto"/>
              <w:bottom w:val="single" w:sz="4" w:space="0" w:color="auto"/>
              <w:right w:val="single" w:sz="4" w:space="0" w:color="auto"/>
            </w:tcBorders>
            <w:shd w:val="clear" w:color="000000" w:fill="DAEEF3"/>
            <w:vAlign w:val="center"/>
            <w:hideMark/>
          </w:tcPr>
          <w:p>
            <w:pPr>
              <w:spacing w:after="0" w:line="240" w:lineRule="auto"/>
              <w:jc w:val="left"/>
              <w:rPr>
                <w:rFonts w:ascii="Calibri" w:eastAsia="Times New Roman" w:hAnsi="Calibri"/>
                <w:noProof/>
                <w:color w:val="000000"/>
                <w:lang w:eastAsia="de-DE"/>
              </w:rPr>
            </w:pPr>
            <w:r>
              <w:rPr>
                <w:rFonts w:ascii="Calibri" w:eastAsia="Times New Roman" w:hAnsi="Calibri"/>
                <w:noProof/>
                <w:color w:val="000000"/>
                <w:lang w:eastAsia="de-DE"/>
              </w:rPr>
              <w:t>N</w:t>
            </w:r>
            <w:r>
              <w:rPr>
                <w:rFonts w:ascii="Calibri" w:eastAsia="Times New Roman" w:hAnsi="Calibri"/>
                <w:noProof/>
                <w:color w:val="000000"/>
                <w:vertAlign w:val="subscript"/>
                <w:lang w:eastAsia="de-DE"/>
              </w:rPr>
              <w:t>2</w:t>
            </w:r>
            <w:r>
              <w:rPr>
                <w:rFonts w:ascii="Calibri" w:eastAsia="Times New Roman" w:hAnsi="Calibri"/>
                <w:noProof/>
                <w:color w:val="000000"/>
                <w:lang w:eastAsia="de-DE"/>
              </w:rPr>
              <w:t>O</w:t>
            </w:r>
          </w:p>
        </w:tc>
        <w:tc>
          <w:tcPr>
            <w:tcW w:w="1257" w:type="dxa"/>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ascii="Calibri" w:eastAsia="Times New Roman" w:hAnsi="Calibri"/>
                <w:noProof/>
                <w:color w:val="000000"/>
                <w:lang w:eastAsia="de-DE"/>
              </w:rPr>
            </w:pPr>
            <w:r>
              <w:rPr>
                <w:rFonts w:ascii="Calibri" w:eastAsia="Times New Roman" w:hAnsi="Calibri"/>
                <w:noProof/>
                <w:color w:val="000000"/>
                <w:lang w:eastAsia="de-DE"/>
              </w:rPr>
              <w:t>Yes</w:t>
            </w:r>
          </w:p>
        </w:tc>
        <w:tc>
          <w:tcPr>
            <w:tcW w:w="109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Calibri" w:eastAsia="Times New Roman" w:hAnsi="Calibri"/>
                <w:noProof/>
                <w:color w:val="000000"/>
                <w:lang w:eastAsia="de-DE"/>
              </w:rPr>
            </w:pPr>
            <w:r>
              <w:rPr>
                <w:rFonts w:ascii="Calibri" w:eastAsia="Times New Roman" w:hAnsi="Calibri"/>
                <w:noProof/>
                <w:color w:val="000000"/>
                <w:lang w:eastAsia="de-DE"/>
              </w:rPr>
              <w:t>1990</w:t>
            </w:r>
          </w:p>
        </w:tc>
        <w:tc>
          <w:tcPr>
            <w:tcW w:w="1094" w:type="dxa"/>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ascii="Calibri" w:eastAsia="Times New Roman" w:hAnsi="Calibri"/>
                <w:noProof/>
                <w:color w:val="000000"/>
                <w:lang w:eastAsia="de-DE"/>
              </w:rPr>
            </w:pPr>
            <w:r>
              <w:rPr>
                <w:rFonts w:ascii="Calibri" w:eastAsia="Times New Roman" w:hAnsi="Calibri"/>
                <w:noProof/>
                <w:color w:val="000000"/>
                <w:lang w:eastAsia="de-DE"/>
              </w:rPr>
              <w:t>IPCC AR4</w:t>
            </w:r>
          </w:p>
        </w:tc>
        <w:tc>
          <w:tcPr>
            <w:tcW w:w="5208" w:type="dxa"/>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ascii="Calibri" w:eastAsia="Times New Roman" w:hAnsi="Calibri"/>
                <w:noProof/>
                <w:color w:val="000000"/>
                <w:lang w:val="en-US" w:eastAsia="de-DE"/>
              </w:rPr>
            </w:pPr>
            <w:r>
              <w:rPr>
                <w:rFonts w:ascii="Calibri" w:eastAsia="Times New Roman" w:hAnsi="Calibri"/>
                <w:noProof/>
                <w:color w:val="000000"/>
                <w:lang w:val="en-US" w:eastAsia="de-DE"/>
              </w:rPr>
              <w:t>as adopted in UNFCCC reporting guidelines for national GHG inventories of Annex I Parties and as adopted under the EU Monitoring Mechanism Regulation</w:t>
            </w:r>
          </w:p>
        </w:tc>
      </w:tr>
      <w:tr>
        <w:trPr>
          <w:trHeight w:val="900"/>
        </w:trPr>
        <w:tc>
          <w:tcPr>
            <w:tcW w:w="1054" w:type="dxa"/>
            <w:tcBorders>
              <w:top w:val="nil"/>
              <w:left w:val="single" w:sz="4" w:space="0" w:color="auto"/>
              <w:bottom w:val="single" w:sz="4" w:space="0" w:color="auto"/>
              <w:right w:val="single" w:sz="4" w:space="0" w:color="auto"/>
            </w:tcBorders>
            <w:shd w:val="clear" w:color="000000" w:fill="DAEEF3"/>
            <w:vAlign w:val="center"/>
            <w:hideMark/>
          </w:tcPr>
          <w:p>
            <w:pPr>
              <w:spacing w:after="0" w:line="240" w:lineRule="auto"/>
              <w:jc w:val="left"/>
              <w:rPr>
                <w:rFonts w:ascii="Calibri" w:eastAsia="Times New Roman" w:hAnsi="Calibri"/>
                <w:noProof/>
                <w:color w:val="000000"/>
                <w:lang w:eastAsia="de-DE"/>
              </w:rPr>
            </w:pPr>
            <w:r>
              <w:rPr>
                <w:rFonts w:ascii="Calibri" w:eastAsia="Times New Roman" w:hAnsi="Calibri"/>
                <w:noProof/>
                <w:color w:val="000000"/>
                <w:lang w:eastAsia="de-DE"/>
              </w:rPr>
              <w:t>HFCs</w:t>
            </w:r>
          </w:p>
        </w:tc>
        <w:tc>
          <w:tcPr>
            <w:tcW w:w="1257" w:type="dxa"/>
            <w:tcBorders>
              <w:top w:val="nil"/>
              <w:left w:val="nil"/>
              <w:bottom w:val="single" w:sz="4" w:space="0" w:color="auto"/>
              <w:right w:val="single" w:sz="4" w:space="0" w:color="auto"/>
            </w:tcBorders>
            <w:shd w:val="clear" w:color="000000" w:fill="FFFFFF"/>
            <w:vAlign w:val="center"/>
            <w:hideMark/>
          </w:tcPr>
          <w:p>
            <w:pPr>
              <w:spacing w:after="0" w:line="240" w:lineRule="auto"/>
              <w:jc w:val="left"/>
              <w:rPr>
                <w:rFonts w:ascii="Calibri" w:eastAsia="Times New Roman" w:hAnsi="Calibri"/>
                <w:noProof/>
                <w:color w:val="000000"/>
                <w:lang w:eastAsia="de-DE"/>
              </w:rPr>
            </w:pPr>
            <w:r>
              <w:rPr>
                <w:rFonts w:ascii="Calibri" w:eastAsia="Times New Roman" w:hAnsi="Calibri"/>
                <w:noProof/>
                <w:color w:val="000000"/>
                <w:lang w:eastAsia="de-DE"/>
              </w:rPr>
              <w:t>Yes</w:t>
            </w:r>
          </w:p>
        </w:tc>
        <w:tc>
          <w:tcPr>
            <w:tcW w:w="109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Calibri" w:eastAsia="Times New Roman" w:hAnsi="Calibri"/>
                <w:noProof/>
                <w:color w:val="000000"/>
                <w:lang w:eastAsia="de-DE"/>
              </w:rPr>
            </w:pPr>
            <w:r>
              <w:rPr>
                <w:rFonts w:ascii="Calibri" w:eastAsia="Times New Roman" w:hAnsi="Calibri"/>
                <w:noProof/>
                <w:color w:val="000000"/>
                <w:lang w:eastAsia="de-DE"/>
              </w:rPr>
              <w:t>1990</w:t>
            </w:r>
          </w:p>
        </w:tc>
        <w:tc>
          <w:tcPr>
            <w:tcW w:w="1094" w:type="dxa"/>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ascii="Calibri" w:eastAsia="Times New Roman" w:hAnsi="Calibri"/>
                <w:noProof/>
                <w:color w:val="000000"/>
                <w:lang w:eastAsia="de-DE"/>
              </w:rPr>
            </w:pPr>
            <w:r>
              <w:rPr>
                <w:rFonts w:ascii="Calibri" w:eastAsia="Times New Roman" w:hAnsi="Calibri"/>
                <w:noProof/>
                <w:color w:val="000000"/>
                <w:lang w:eastAsia="de-DE"/>
              </w:rPr>
              <w:t>IPCC AR4</w:t>
            </w:r>
          </w:p>
        </w:tc>
        <w:tc>
          <w:tcPr>
            <w:tcW w:w="5208" w:type="dxa"/>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ascii="Calibri" w:eastAsia="Times New Roman" w:hAnsi="Calibri"/>
                <w:noProof/>
                <w:color w:val="000000"/>
                <w:lang w:val="en-US" w:eastAsia="de-DE"/>
              </w:rPr>
            </w:pPr>
            <w:r>
              <w:rPr>
                <w:rFonts w:ascii="Calibri" w:eastAsia="Times New Roman" w:hAnsi="Calibri"/>
                <w:noProof/>
                <w:color w:val="000000"/>
                <w:lang w:val="en-US" w:eastAsia="de-DE"/>
              </w:rPr>
              <w:t>as adopted in UNFCCC reporting guidelines for national GHG inventories of Annex I Parties and as adopted under the EU Monitoring Mechanism Regulation</w:t>
            </w:r>
          </w:p>
        </w:tc>
      </w:tr>
      <w:tr>
        <w:trPr>
          <w:trHeight w:val="900"/>
        </w:trPr>
        <w:tc>
          <w:tcPr>
            <w:tcW w:w="1054" w:type="dxa"/>
            <w:tcBorders>
              <w:top w:val="nil"/>
              <w:left w:val="single" w:sz="4" w:space="0" w:color="auto"/>
              <w:bottom w:val="single" w:sz="4" w:space="0" w:color="auto"/>
              <w:right w:val="single" w:sz="4" w:space="0" w:color="auto"/>
            </w:tcBorders>
            <w:shd w:val="clear" w:color="000000" w:fill="DAEEF3"/>
            <w:vAlign w:val="center"/>
            <w:hideMark/>
          </w:tcPr>
          <w:p>
            <w:pPr>
              <w:spacing w:after="0" w:line="240" w:lineRule="auto"/>
              <w:jc w:val="left"/>
              <w:rPr>
                <w:rFonts w:ascii="Calibri" w:eastAsia="Times New Roman" w:hAnsi="Calibri"/>
                <w:noProof/>
                <w:color w:val="000000"/>
                <w:lang w:eastAsia="de-DE"/>
              </w:rPr>
            </w:pPr>
            <w:r>
              <w:rPr>
                <w:rFonts w:ascii="Calibri" w:eastAsia="Times New Roman" w:hAnsi="Calibri"/>
                <w:noProof/>
                <w:color w:val="000000"/>
                <w:lang w:eastAsia="de-DE"/>
              </w:rPr>
              <w:t>PFCs</w:t>
            </w:r>
          </w:p>
        </w:tc>
        <w:tc>
          <w:tcPr>
            <w:tcW w:w="1257" w:type="dxa"/>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ascii="Calibri" w:eastAsia="Times New Roman" w:hAnsi="Calibri"/>
                <w:noProof/>
                <w:color w:val="000000"/>
                <w:lang w:eastAsia="de-DE"/>
              </w:rPr>
            </w:pPr>
            <w:r>
              <w:rPr>
                <w:rFonts w:ascii="Calibri" w:eastAsia="Times New Roman" w:hAnsi="Calibri"/>
                <w:noProof/>
                <w:color w:val="000000"/>
                <w:lang w:eastAsia="de-DE"/>
              </w:rPr>
              <w:t>Yes</w:t>
            </w:r>
          </w:p>
        </w:tc>
        <w:tc>
          <w:tcPr>
            <w:tcW w:w="109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Calibri" w:eastAsia="Times New Roman" w:hAnsi="Calibri"/>
                <w:noProof/>
                <w:color w:val="000000"/>
                <w:lang w:eastAsia="de-DE"/>
              </w:rPr>
            </w:pPr>
            <w:r>
              <w:rPr>
                <w:rFonts w:ascii="Calibri" w:eastAsia="Times New Roman" w:hAnsi="Calibri"/>
                <w:noProof/>
                <w:color w:val="000000"/>
                <w:lang w:eastAsia="de-DE"/>
              </w:rPr>
              <w:t>1990</w:t>
            </w:r>
          </w:p>
        </w:tc>
        <w:tc>
          <w:tcPr>
            <w:tcW w:w="1094" w:type="dxa"/>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ascii="Calibri" w:eastAsia="Times New Roman" w:hAnsi="Calibri"/>
                <w:noProof/>
                <w:color w:val="000000"/>
                <w:lang w:eastAsia="de-DE"/>
              </w:rPr>
            </w:pPr>
            <w:r>
              <w:rPr>
                <w:rFonts w:ascii="Calibri" w:eastAsia="Times New Roman" w:hAnsi="Calibri"/>
                <w:noProof/>
                <w:color w:val="000000"/>
                <w:lang w:eastAsia="de-DE"/>
              </w:rPr>
              <w:t>IPCC AR4</w:t>
            </w:r>
          </w:p>
        </w:tc>
        <w:tc>
          <w:tcPr>
            <w:tcW w:w="5208" w:type="dxa"/>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ascii="Calibri" w:eastAsia="Times New Roman" w:hAnsi="Calibri"/>
                <w:noProof/>
                <w:color w:val="000000"/>
                <w:lang w:val="en-US" w:eastAsia="de-DE"/>
              </w:rPr>
            </w:pPr>
            <w:r>
              <w:rPr>
                <w:rFonts w:ascii="Calibri" w:eastAsia="Times New Roman" w:hAnsi="Calibri"/>
                <w:noProof/>
                <w:color w:val="000000"/>
                <w:lang w:val="en-US" w:eastAsia="de-DE"/>
              </w:rPr>
              <w:t>as adopted in UNFCCC reporting guidelines for national GHG inventories of Annex I Parties and as adopted under the EU Monitoring Mechanism Regulation</w:t>
            </w:r>
          </w:p>
        </w:tc>
      </w:tr>
      <w:tr>
        <w:trPr>
          <w:trHeight w:val="900"/>
        </w:trPr>
        <w:tc>
          <w:tcPr>
            <w:tcW w:w="1054" w:type="dxa"/>
            <w:tcBorders>
              <w:top w:val="nil"/>
              <w:left w:val="single" w:sz="4" w:space="0" w:color="auto"/>
              <w:bottom w:val="single" w:sz="4" w:space="0" w:color="auto"/>
              <w:right w:val="single" w:sz="4" w:space="0" w:color="auto"/>
            </w:tcBorders>
            <w:shd w:val="clear" w:color="000000" w:fill="DAEEF3"/>
            <w:vAlign w:val="center"/>
            <w:hideMark/>
          </w:tcPr>
          <w:p>
            <w:pPr>
              <w:spacing w:after="0" w:line="240" w:lineRule="auto"/>
              <w:jc w:val="left"/>
              <w:rPr>
                <w:rFonts w:ascii="Calibri" w:eastAsia="Times New Roman" w:hAnsi="Calibri"/>
                <w:noProof/>
                <w:color w:val="000000"/>
                <w:lang w:eastAsia="de-DE"/>
              </w:rPr>
            </w:pPr>
            <w:r>
              <w:rPr>
                <w:rFonts w:ascii="Calibri" w:eastAsia="Times New Roman" w:hAnsi="Calibri"/>
                <w:noProof/>
                <w:color w:val="000000"/>
                <w:lang w:eastAsia="de-DE"/>
              </w:rPr>
              <w:t>SF</w:t>
            </w:r>
            <w:r>
              <w:rPr>
                <w:rFonts w:ascii="Calibri" w:eastAsia="Times New Roman" w:hAnsi="Calibri"/>
                <w:noProof/>
                <w:color w:val="000000"/>
                <w:vertAlign w:val="subscript"/>
                <w:lang w:eastAsia="de-DE"/>
              </w:rPr>
              <w:t>6</w:t>
            </w:r>
          </w:p>
        </w:tc>
        <w:tc>
          <w:tcPr>
            <w:tcW w:w="1257" w:type="dxa"/>
            <w:tcBorders>
              <w:top w:val="nil"/>
              <w:left w:val="nil"/>
              <w:bottom w:val="single" w:sz="4" w:space="0" w:color="auto"/>
              <w:right w:val="single" w:sz="4" w:space="0" w:color="auto"/>
            </w:tcBorders>
            <w:shd w:val="clear" w:color="000000" w:fill="FFFFFF"/>
            <w:vAlign w:val="center"/>
            <w:hideMark/>
          </w:tcPr>
          <w:p>
            <w:pPr>
              <w:spacing w:after="0" w:line="240" w:lineRule="auto"/>
              <w:jc w:val="left"/>
              <w:rPr>
                <w:rFonts w:ascii="Calibri" w:eastAsia="Times New Roman" w:hAnsi="Calibri"/>
                <w:noProof/>
                <w:color w:val="000000"/>
                <w:lang w:eastAsia="de-DE"/>
              </w:rPr>
            </w:pPr>
            <w:r>
              <w:rPr>
                <w:rFonts w:ascii="Calibri" w:eastAsia="Times New Roman" w:hAnsi="Calibri"/>
                <w:noProof/>
                <w:color w:val="000000"/>
                <w:lang w:eastAsia="de-DE"/>
              </w:rPr>
              <w:t>Yes</w:t>
            </w:r>
          </w:p>
        </w:tc>
        <w:tc>
          <w:tcPr>
            <w:tcW w:w="109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Calibri" w:eastAsia="Times New Roman" w:hAnsi="Calibri"/>
                <w:noProof/>
                <w:color w:val="000000"/>
                <w:lang w:eastAsia="de-DE"/>
              </w:rPr>
            </w:pPr>
            <w:r>
              <w:rPr>
                <w:rFonts w:ascii="Calibri" w:eastAsia="Times New Roman" w:hAnsi="Calibri"/>
                <w:noProof/>
                <w:color w:val="000000"/>
                <w:lang w:eastAsia="de-DE"/>
              </w:rPr>
              <w:t>1990</w:t>
            </w:r>
          </w:p>
        </w:tc>
        <w:tc>
          <w:tcPr>
            <w:tcW w:w="1094" w:type="dxa"/>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ascii="Calibri" w:eastAsia="Times New Roman" w:hAnsi="Calibri"/>
                <w:noProof/>
                <w:color w:val="000000"/>
                <w:lang w:eastAsia="de-DE"/>
              </w:rPr>
            </w:pPr>
            <w:r>
              <w:rPr>
                <w:rFonts w:ascii="Calibri" w:eastAsia="Times New Roman" w:hAnsi="Calibri"/>
                <w:noProof/>
                <w:color w:val="000000"/>
                <w:lang w:eastAsia="de-DE"/>
              </w:rPr>
              <w:t>IPCC AR4</w:t>
            </w:r>
          </w:p>
        </w:tc>
        <w:tc>
          <w:tcPr>
            <w:tcW w:w="5208" w:type="dxa"/>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ascii="Calibri" w:eastAsia="Times New Roman" w:hAnsi="Calibri"/>
                <w:noProof/>
                <w:color w:val="000000"/>
                <w:lang w:val="en-US" w:eastAsia="de-DE"/>
              </w:rPr>
            </w:pPr>
            <w:r>
              <w:rPr>
                <w:rFonts w:ascii="Calibri" w:eastAsia="Times New Roman" w:hAnsi="Calibri"/>
                <w:noProof/>
                <w:color w:val="000000"/>
                <w:lang w:val="en-US" w:eastAsia="de-DE"/>
              </w:rPr>
              <w:t>as adopted in UNFCCC reporting guidelines for national GHG inventories of Annex I Parties and as adopted under the EU Monitoring Mechanism Regulation</w:t>
            </w:r>
          </w:p>
        </w:tc>
      </w:tr>
      <w:tr>
        <w:trPr>
          <w:trHeight w:val="360"/>
        </w:trPr>
        <w:tc>
          <w:tcPr>
            <w:tcW w:w="1054" w:type="dxa"/>
            <w:tcBorders>
              <w:top w:val="nil"/>
              <w:left w:val="single" w:sz="4" w:space="0" w:color="auto"/>
              <w:bottom w:val="single" w:sz="4" w:space="0" w:color="auto"/>
              <w:right w:val="single" w:sz="4" w:space="0" w:color="auto"/>
            </w:tcBorders>
            <w:shd w:val="clear" w:color="000000" w:fill="DAEEF3"/>
            <w:vAlign w:val="center"/>
            <w:hideMark/>
          </w:tcPr>
          <w:p>
            <w:pPr>
              <w:spacing w:after="0" w:line="240" w:lineRule="auto"/>
              <w:jc w:val="left"/>
              <w:rPr>
                <w:rFonts w:ascii="Calibri" w:eastAsia="Times New Roman" w:hAnsi="Calibri"/>
                <w:noProof/>
                <w:color w:val="000000"/>
                <w:lang w:eastAsia="de-DE"/>
              </w:rPr>
            </w:pPr>
            <w:r>
              <w:rPr>
                <w:rFonts w:ascii="Calibri" w:eastAsia="Times New Roman" w:hAnsi="Calibri"/>
                <w:noProof/>
                <w:color w:val="000000"/>
                <w:lang w:eastAsia="de-DE"/>
              </w:rPr>
              <w:t>NF</w:t>
            </w:r>
            <w:r>
              <w:rPr>
                <w:rFonts w:ascii="Calibri" w:eastAsia="Times New Roman" w:hAnsi="Calibri"/>
                <w:noProof/>
                <w:color w:val="000000"/>
                <w:vertAlign w:val="subscript"/>
                <w:lang w:eastAsia="de-DE"/>
              </w:rPr>
              <w:t>3</w:t>
            </w:r>
          </w:p>
        </w:tc>
        <w:tc>
          <w:tcPr>
            <w:tcW w:w="1257" w:type="dxa"/>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ascii="Calibri" w:eastAsia="Times New Roman" w:hAnsi="Calibri"/>
                <w:noProof/>
                <w:color w:val="000000"/>
                <w:lang w:eastAsia="de-DE"/>
              </w:rPr>
            </w:pPr>
            <w:r>
              <w:rPr>
                <w:rFonts w:ascii="Calibri" w:eastAsia="Times New Roman" w:hAnsi="Calibri"/>
                <w:noProof/>
                <w:color w:val="000000"/>
                <w:lang w:eastAsia="de-DE"/>
              </w:rPr>
              <w:t>NO</w:t>
            </w:r>
          </w:p>
        </w:tc>
        <w:tc>
          <w:tcPr>
            <w:tcW w:w="1095" w:type="dxa"/>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ascii="Calibri" w:eastAsia="Times New Roman" w:hAnsi="Calibri"/>
                <w:noProof/>
                <w:color w:val="000000"/>
                <w:lang w:eastAsia="de-DE"/>
              </w:rPr>
            </w:pPr>
          </w:p>
        </w:tc>
        <w:tc>
          <w:tcPr>
            <w:tcW w:w="1094" w:type="dxa"/>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ascii="Calibri" w:eastAsia="Times New Roman" w:hAnsi="Calibri"/>
                <w:noProof/>
                <w:color w:val="000000"/>
                <w:lang w:eastAsia="de-DE"/>
              </w:rPr>
            </w:pPr>
            <w:r>
              <w:rPr>
                <w:rFonts w:ascii="Calibri" w:eastAsia="Times New Roman" w:hAnsi="Calibri"/>
                <w:noProof/>
                <w:color w:val="000000"/>
                <w:lang w:eastAsia="de-DE"/>
              </w:rPr>
              <w:t>IPCC AR4</w:t>
            </w:r>
          </w:p>
        </w:tc>
        <w:tc>
          <w:tcPr>
            <w:tcW w:w="5208" w:type="dxa"/>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ascii="Calibri" w:eastAsia="Times New Roman" w:hAnsi="Calibri"/>
                <w:noProof/>
                <w:color w:val="000000"/>
                <w:lang w:eastAsia="de-DE"/>
              </w:rPr>
            </w:pPr>
            <w:r>
              <w:rPr>
                <w:rFonts w:ascii="Calibri" w:eastAsia="Times New Roman" w:hAnsi="Calibri"/>
                <w:noProof/>
                <w:color w:val="000000"/>
                <w:lang w:eastAsia="de-DE"/>
              </w:rPr>
              <w:t> </w:t>
            </w:r>
          </w:p>
        </w:tc>
      </w:tr>
    </w:tbl>
    <w:p>
      <w:pPr>
        <w:rPr>
          <w:noProof/>
        </w:rPr>
      </w:pPr>
    </w:p>
    <w:tbl>
      <w:tblPr>
        <w:tblW w:w="4964" w:type="pct"/>
        <w:tblInd w:w="70" w:type="dxa"/>
        <w:tblCellMar>
          <w:left w:w="70" w:type="dxa"/>
          <w:right w:w="70" w:type="dxa"/>
        </w:tblCellMar>
        <w:tblLook w:val="04A0" w:firstRow="1" w:lastRow="0" w:firstColumn="1" w:lastColumn="0" w:noHBand="0" w:noVBand="1"/>
      </w:tblPr>
      <w:tblGrid>
        <w:gridCol w:w="1293"/>
        <w:gridCol w:w="1007"/>
        <w:gridCol w:w="544"/>
        <w:gridCol w:w="1094"/>
        <w:gridCol w:w="5207"/>
      </w:tblGrid>
      <w:tr>
        <w:trPr>
          <w:trHeight w:val="300"/>
        </w:trPr>
        <w:tc>
          <w:tcPr>
            <w:tcW w:w="1367" w:type="dxa"/>
            <w:tcBorders>
              <w:top w:val="single" w:sz="4" w:space="0" w:color="auto"/>
              <w:left w:val="single" w:sz="4" w:space="0" w:color="auto"/>
              <w:bottom w:val="single" w:sz="4" w:space="0" w:color="auto"/>
              <w:right w:val="single" w:sz="4" w:space="0" w:color="auto"/>
            </w:tcBorders>
            <w:shd w:val="clear" w:color="000000" w:fill="92CDDC"/>
            <w:vAlign w:val="center"/>
            <w:hideMark/>
          </w:tcPr>
          <w:p>
            <w:pPr>
              <w:spacing w:after="0" w:line="240" w:lineRule="auto"/>
              <w:jc w:val="center"/>
              <w:rPr>
                <w:rFonts w:eastAsia="Times New Roman"/>
                <w:b/>
                <w:bCs/>
                <w:noProof/>
                <w:color w:val="000000"/>
                <w:lang w:eastAsia="de-DE"/>
              </w:rPr>
            </w:pPr>
            <w:r>
              <w:rPr>
                <w:rFonts w:eastAsia="Times New Roman"/>
                <w:b/>
                <w:bCs/>
                <w:noProof/>
                <w:color w:val="000000"/>
                <w:lang w:eastAsia="de-DE"/>
              </w:rPr>
              <w:t>Sectors covered</w:t>
            </w:r>
          </w:p>
        </w:tc>
        <w:tc>
          <w:tcPr>
            <w:tcW w:w="945" w:type="dxa"/>
            <w:tcBorders>
              <w:top w:val="single" w:sz="4" w:space="0" w:color="auto"/>
              <w:left w:val="nil"/>
              <w:bottom w:val="single" w:sz="4" w:space="0" w:color="auto"/>
              <w:right w:val="single" w:sz="4" w:space="0" w:color="auto"/>
            </w:tcBorders>
            <w:shd w:val="clear" w:color="000000" w:fill="92CDDC"/>
            <w:vAlign w:val="center"/>
            <w:hideMark/>
          </w:tcPr>
          <w:p>
            <w:pPr>
              <w:spacing w:after="0" w:line="240" w:lineRule="auto"/>
              <w:jc w:val="center"/>
              <w:rPr>
                <w:rFonts w:eastAsia="Times New Roman"/>
                <w:b/>
                <w:bCs/>
                <w:noProof/>
                <w:color w:val="000000"/>
                <w:lang w:eastAsia="de-DE"/>
              </w:rPr>
            </w:pPr>
            <w:r>
              <w:rPr>
                <w:rFonts w:eastAsia="Times New Roman"/>
                <w:b/>
                <w:bCs/>
                <w:noProof/>
                <w:color w:val="000000"/>
                <w:lang w:eastAsia="de-DE"/>
              </w:rPr>
              <w:t>Covered</w:t>
            </w:r>
          </w:p>
        </w:tc>
        <w:tc>
          <w:tcPr>
            <w:tcW w:w="7396" w:type="dxa"/>
            <w:gridSpan w:val="3"/>
            <w:tcBorders>
              <w:top w:val="single" w:sz="4" w:space="0" w:color="auto"/>
              <w:left w:val="nil"/>
              <w:bottom w:val="single" w:sz="4" w:space="0" w:color="auto"/>
              <w:right w:val="single" w:sz="4" w:space="0" w:color="auto"/>
            </w:tcBorders>
            <w:shd w:val="clear" w:color="000000" w:fill="92CDDC"/>
            <w:vAlign w:val="center"/>
          </w:tcPr>
          <w:p>
            <w:pPr>
              <w:spacing w:after="0" w:line="240" w:lineRule="auto"/>
              <w:jc w:val="left"/>
              <w:rPr>
                <w:rFonts w:eastAsia="Times New Roman"/>
                <w:noProof/>
                <w:color w:val="000000"/>
                <w:lang w:eastAsia="de-DE"/>
              </w:rPr>
            </w:pPr>
            <w:r>
              <w:rPr>
                <w:rFonts w:eastAsia="Times New Roman"/>
                <w:b/>
                <w:bCs/>
                <w:noProof/>
                <w:color w:val="000000"/>
                <w:lang w:eastAsia="de-DE"/>
              </w:rPr>
              <w:t>Comment:</w:t>
            </w:r>
          </w:p>
        </w:tc>
      </w:tr>
      <w:tr>
        <w:trPr>
          <w:trHeight w:val="300"/>
        </w:trPr>
        <w:tc>
          <w:tcPr>
            <w:tcW w:w="1367" w:type="dxa"/>
            <w:tcBorders>
              <w:top w:val="nil"/>
              <w:left w:val="single" w:sz="4" w:space="0" w:color="auto"/>
              <w:bottom w:val="single" w:sz="4" w:space="0" w:color="auto"/>
              <w:right w:val="single" w:sz="4" w:space="0" w:color="auto"/>
            </w:tcBorders>
            <w:shd w:val="clear" w:color="000000" w:fill="DAEEF3"/>
            <w:vAlign w:val="center"/>
            <w:hideMark/>
          </w:tcPr>
          <w:p>
            <w:pPr>
              <w:spacing w:after="0" w:line="240" w:lineRule="auto"/>
              <w:jc w:val="left"/>
              <w:rPr>
                <w:rFonts w:eastAsia="Times New Roman"/>
                <w:noProof/>
                <w:color w:val="000000"/>
                <w:lang w:eastAsia="de-DE"/>
              </w:rPr>
            </w:pPr>
            <w:r>
              <w:rPr>
                <w:rFonts w:eastAsia="Times New Roman"/>
                <w:noProof/>
                <w:color w:val="000000"/>
                <w:lang w:eastAsia="de-DE"/>
              </w:rPr>
              <w:t>Energy</w:t>
            </w:r>
          </w:p>
        </w:tc>
        <w:tc>
          <w:tcPr>
            <w:tcW w:w="945" w:type="dxa"/>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lang w:eastAsia="de-DE"/>
              </w:rPr>
            </w:pPr>
            <w:r>
              <w:rPr>
                <w:rFonts w:eastAsia="Times New Roman"/>
                <w:noProof/>
                <w:color w:val="000000"/>
                <w:lang w:eastAsia="de-DE"/>
              </w:rPr>
              <w:t>Yes</w:t>
            </w:r>
          </w:p>
        </w:tc>
        <w:tc>
          <w:tcPr>
            <w:tcW w:w="1095" w:type="dxa"/>
            <w:tcBorders>
              <w:top w:val="nil"/>
              <w:left w:val="nil"/>
              <w:bottom w:val="nil"/>
              <w:right w:val="nil"/>
            </w:tcBorders>
            <w:shd w:val="clear" w:color="auto" w:fill="auto"/>
            <w:vAlign w:val="center"/>
            <w:hideMark/>
          </w:tcPr>
          <w:p>
            <w:pPr>
              <w:spacing w:after="0" w:line="240" w:lineRule="auto"/>
              <w:jc w:val="left"/>
              <w:rPr>
                <w:rFonts w:eastAsia="Times New Roman"/>
                <w:noProof/>
                <w:color w:val="000000"/>
                <w:lang w:eastAsia="de-DE"/>
              </w:rPr>
            </w:pPr>
          </w:p>
        </w:tc>
        <w:tc>
          <w:tcPr>
            <w:tcW w:w="1094" w:type="dxa"/>
            <w:tcBorders>
              <w:top w:val="nil"/>
              <w:left w:val="nil"/>
              <w:bottom w:val="nil"/>
              <w:right w:val="nil"/>
            </w:tcBorders>
            <w:shd w:val="clear" w:color="auto" w:fill="auto"/>
            <w:noWrap/>
            <w:vAlign w:val="bottom"/>
            <w:hideMark/>
          </w:tcPr>
          <w:p>
            <w:pPr>
              <w:spacing w:after="0" w:line="240" w:lineRule="auto"/>
              <w:jc w:val="left"/>
              <w:rPr>
                <w:rFonts w:eastAsia="Times New Roman"/>
                <w:noProof/>
                <w:color w:val="000000"/>
                <w:lang w:eastAsia="de-DE"/>
              </w:rPr>
            </w:pPr>
          </w:p>
        </w:tc>
        <w:tc>
          <w:tcPr>
            <w:tcW w:w="5207" w:type="dxa"/>
            <w:tcBorders>
              <w:top w:val="nil"/>
              <w:left w:val="nil"/>
              <w:bottom w:val="nil"/>
              <w:right w:val="single" w:sz="4" w:space="0" w:color="auto"/>
            </w:tcBorders>
            <w:shd w:val="clear" w:color="auto" w:fill="auto"/>
            <w:noWrap/>
            <w:vAlign w:val="bottom"/>
            <w:hideMark/>
          </w:tcPr>
          <w:p>
            <w:pPr>
              <w:spacing w:after="0" w:line="240" w:lineRule="auto"/>
              <w:jc w:val="left"/>
              <w:rPr>
                <w:rFonts w:eastAsia="Times New Roman"/>
                <w:noProof/>
                <w:color w:val="000000"/>
                <w:lang w:eastAsia="de-DE"/>
              </w:rPr>
            </w:pPr>
          </w:p>
        </w:tc>
      </w:tr>
      <w:tr>
        <w:trPr>
          <w:trHeight w:val="345"/>
        </w:trPr>
        <w:tc>
          <w:tcPr>
            <w:tcW w:w="1367" w:type="dxa"/>
            <w:tcBorders>
              <w:top w:val="nil"/>
              <w:left w:val="single" w:sz="4" w:space="0" w:color="auto"/>
              <w:bottom w:val="single" w:sz="4" w:space="0" w:color="auto"/>
              <w:right w:val="single" w:sz="4" w:space="0" w:color="auto"/>
            </w:tcBorders>
            <w:shd w:val="clear" w:color="000000" w:fill="DAEEF3"/>
            <w:vAlign w:val="center"/>
            <w:hideMark/>
          </w:tcPr>
          <w:p>
            <w:pPr>
              <w:spacing w:after="0" w:line="240" w:lineRule="auto"/>
              <w:jc w:val="left"/>
              <w:rPr>
                <w:rFonts w:eastAsia="Times New Roman"/>
                <w:noProof/>
                <w:color w:val="000000"/>
                <w:lang w:eastAsia="de-DE"/>
              </w:rPr>
            </w:pPr>
            <w:r>
              <w:rPr>
                <w:rFonts w:eastAsia="Times New Roman"/>
                <w:noProof/>
                <w:color w:val="000000"/>
                <w:lang w:eastAsia="de-DE"/>
              </w:rPr>
              <w:t>Transport</w:t>
            </w:r>
            <w:r>
              <w:rPr>
                <w:rFonts w:eastAsia="Times New Roman"/>
                <w:noProof/>
                <w:color w:val="000000"/>
                <w:vertAlign w:val="superscript"/>
                <w:lang w:eastAsia="de-DE"/>
              </w:rPr>
              <w:t>c</w:t>
            </w:r>
          </w:p>
        </w:tc>
        <w:tc>
          <w:tcPr>
            <w:tcW w:w="945" w:type="dxa"/>
            <w:tcBorders>
              <w:top w:val="nil"/>
              <w:left w:val="nil"/>
              <w:bottom w:val="single" w:sz="4" w:space="0" w:color="auto"/>
              <w:right w:val="single" w:sz="4" w:space="0" w:color="auto"/>
            </w:tcBorders>
            <w:shd w:val="clear" w:color="000000" w:fill="FFFFFF"/>
            <w:vAlign w:val="center"/>
            <w:hideMark/>
          </w:tcPr>
          <w:p>
            <w:pPr>
              <w:spacing w:after="0" w:line="240" w:lineRule="auto"/>
              <w:jc w:val="left"/>
              <w:rPr>
                <w:rFonts w:eastAsia="Times New Roman"/>
                <w:noProof/>
                <w:color w:val="000000"/>
                <w:lang w:eastAsia="de-DE"/>
              </w:rPr>
            </w:pPr>
            <w:r>
              <w:rPr>
                <w:rFonts w:eastAsia="Times New Roman"/>
                <w:noProof/>
                <w:color w:val="000000"/>
                <w:lang w:eastAsia="de-DE"/>
              </w:rPr>
              <w:t>Yes</w:t>
            </w:r>
          </w:p>
        </w:tc>
        <w:tc>
          <w:tcPr>
            <w:tcW w:w="1095" w:type="dxa"/>
            <w:tcBorders>
              <w:top w:val="nil"/>
              <w:left w:val="nil"/>
              <w:bottom w:val="nil"/>
              <w:right w:val="nil"/>
            </w:tcBorders>
            <w:shd w:val="clear" w:color="000000" w:fill="FFFFFF"/>
            <w:vAlign w:val="center"/>
            <w:hideMark/>
          </w:tcPr>
          <w:p>
            <w:pPr>
              <w:spacing w:after="0" w:line="240" w:lineRule="auto"/>
              <w:jc w:val="left"/>
              <w:rPr>
                <w:rFonts w:eastAsia="Times New Roman"/>
                <w:noProof/>
                <w:color w:val="000000"/>
                <w:lang w:eastAsia="de-DE"/>
              </w:rPr>
            </w:pPr>
            <w:r>
              <w:rPr>
                <w:rFonts w:eastAsia="Times New Roman"/>
                <w:noProof/>
                <w:color w:val="000000"/>
                <w:lang w:eastAsia="de-DE"/>
              </w:rPr>
              <w:t> </w:t>
            </w:r>
          </w:p>
        </w:tc>
        <w:tc>
          <w:tcPr>
            <w:tcW w:w="1094" w:type="dxa"/>
            <w:tcBorders>
              <w:top w:val="nil"/>
              <w:left w:val="nil"/>
              <w:bottom w:val="nil"/>
              <w:right w:val="nil"/>
            </w:tcBorders>
            <w:shd w:val="clear" w:color="auto" w:fill="auto"/>
            <w:noWrap/>
            <w:vAlign w:val="bottom"/>
            <w:hideMark/>
          </w:tcPr>
          <w:p>
            <w:pPr>
              <w:spacing w:after="0" w:line="240" w:lineRule="auto"/>
              <w:jc w:val="left"/>
              <w:rPr>
                <w:rFonts w:eastAsia="Times New Roman"/>
                <w:noProof/>
                <w:color w:val="000000"/>
                <w:lang w:eastAsia="de-DE"/>
              </w:rPr>
            </w:pPr>
          </w:p>
        </w:tc>
        <w:tc>
          <w:tcPr>
            <w:tcW w:w="5207" w:type="dxa"/>
            <w:tcBorders>
              <w:top w:val="nil"/>
              <w:left w:val="nil"/>
              <w:bottom w:val="nil"/>
              <w:right w:val="single" w:sz="4" w:space="0" w:color="auto"/>
            </w:tcBorders>
            <w:shd w:val="clear" w:color="auto" w:fill="auto"/>
            <w:noWrap/>
            <w:vAlign w:val="bottom"/>
            <w:hideMark/>
          </w:tcPr>
          <w:p>
            <w:pPr>
              <w:spacing w:after="0" w:line="240" w:lineRule="auto"/>
              <w:jc w:val="left"/>
              <w:rPr>
                <w:rFonts w:eastAsia="Times New Roman"/>
                <w:noProof/>
                <w:color w:val="000000"/>
                <w:lang w:eastAsia="de-DE"/>
              </w:rPr>
            </w:pPr>
          </w:p>
        </w:tc>
      </w:tr>
      <w:tr>
        <w:trPr>
          <w:trHeight w:val="345"/>
        </w:trPr>
        <w:tc>
          <w:tcPr>
            <w:tcW w:w="1367" w:type="dxa"/>
            <w:tcBorders>
              <w:top w:val="nil"/>
              <w:left w:val="single" w:sz="4" w:space="0" w:color="auto"/>
              <w:bottom w:val="single" w:sz="4" w:space="0" w:color="auto"/>
              <w:right w:val="single" w:sz="4" w:space="0" w:color="auto"/>
            </w:tcBorders>
            <w:shd w:val="clear" w:color="000000" w:fill="DAEEF3"/>
            <w:vAlign w:val="center"/>
            <w:hideMark/>
          </w:tcPr>
          <w:p>
            <w:pPr>
              <w:spacing w:after="0" w:line="240" w:lineRule="auto"/>
              <w:jc w:val="left"/>
              <w:rPr>
                <w:rFonts w:eastAsia="Times New Roman"/>
                <w:noProof/>
                <w:color w:val="000000"/>
                <w:lang w:eastAsia="de-DE"/>
              </w:rPr>
            </w:pPr>
            <w:r>
              <w:rPr>
                <w:rFonts w:eastAsia="Times New Roman"/>
                <w:noProof/>
                <w:color w:val="000000"/>
                <w:lang w:eastAsia="de-DE"/>
              </w:rPr>
              <w:t>Industrial processes</w:t>
            </w:r>
            <w:r>
              <w:rPr>
                <w:rFonts w:eastAsia="Times New Roman"/>
                <w:noProof/>
                <w:color w:val="000000"/>
                <w:vertAlign w:val="superscript"/>
                <w:lang w:eastAsia="de-DE"/>
              </w:rPr>
              <w:t>d</w:t>
            </w:r>
          </w:p>
        </w:tc>
        <w:tc>
          <w:tcPr>
            <w:tcW w:w="945" w:type="dxa"/>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lang w:eastAsia="de-DE"/>
              </w:rPr>
            </w:pPr>
            <w:r>
              <w:rPr>
                <w:rFonts w:eastAsia="Times New Roman"/>
                <w:noProof/>
                <w:color w:val="000000"/>
                <w:lang w:eastAsia="de-DE"/>
              </w:rPr>
              <w:t>Yes</w:t>
            </w:r>
          </w:p>
        </w:tc>
        <w:tc>
          <w:tcPr>
            <w:tcW w:w="1095" w:type="dxa"/>
            <w:tcBorders>
              <w:top w:val="nil"/>
              <w:left w:val="nil"/>
              <w:bottom w:val="nil"/>
              <w:right w:val="nil"/>
            </w:tcBorders>
            <w:shd w:val="clear" w:color="auto" w:fill="auto"/>
            <w:vAlign w:val="center"/>
            <w:hideMark/>
          </w:tcPr>
          <w:p>
            <w:pPr>
              <w:spacing w:after="0" w:line="240" w:lineRule="auto"/>
              <w:jc w:val="left"/>
              <w:rPr>
                <w:rFonts w:eastAsia="Times New Roman"/>
                <w:noProof/>
                <w:color w:val="000000"/>
                <w:lang w:eastAsia="de-DE"/>
              </w:rPr>
            </w:pPr>
          </w:p>
        </w:tc>
        <w:tc>
          <w:tcPr>
            <w:tcW w:w="1094" w:type="dxa"/>
            <w:tcBorders>
              <w:top w:val="nil"/>
              <w:left w:val="nil"/>
              <w:bottom w:val="nil"/>
              <w:right w:val="nil"/>
            </w:tcBorders>
            <w:shd w:val="clear" w:color="auto" w:fill="auto"/>
            <w:noWrap/>
            <w:vAlign w:val="bottom"/>
            <w:hideMark/>
          </w:tcPr>
          <w:p>
            <w:pPr>
              <w:spacing w:after="0" w:line="240" w:lineRule="auto"/>
              <w:jc w:val="left"/>
              <w:rPr>
                <w:rFonts w:eastAsia="Times New Roman"/>
                <w:noProof/>
                <w:color w:val="000000"/>
                <w:lang w:eastAsia="de-DE"/>
              </w:rPr>
            </w:pPr>
          </w:p>
        </w:tc>
        <w:tc>
          <w:tcPr>
            <w:tcW w:w="5207" w:type="dxa"/>
            <w:tcBorders>
              <w:top w:val="nil"/>
              <w:left w:val="nil"/>
              <w:bottom w:val="nil"/>
              <w:right w:val="single" w:sz="4" w:space="0" w:color="auto"/>
            </w:tcBorders>
            <w:shd w:val="clear" w:color="auto" w:fill="auto"/>
            <w:noWrap/>
            <w:vAlign w:val="bottom"/>
            <w:hideMark/>
          </w:tcPr>
          <w:p>
            <w:pPr>
              <w:spacing w:after="0" w:line="240" w:lineRule="auto"/>
              <w:jc w:val="left"/>
              <w:rPr>
                <w:rFonts w:eastAsia="Times New Roman"/>
                <w:noProof/>
                <w:color w:val="000000"/>
                <w:lang w:eastAsia="de-DE"/>
              </w:rPr>
            </w:pPr>
          </w:p>
        </w:tc>
      </w:tr>
      <w:tr>
        <w:trPr>
          <w:trHeight w:val="300"/>
        </w:trPr>
        <w:tc>
          <w:tcPr>
            <w:tcW w:w="1367" w:type="dxa"/>
            <w:tcBorders>
              <w:top w:val="nil"/>
              <w:left w:val="single" w:sz="4" w:space="0" w:color="auto"/>
              <w:bottom w:val="single" w:sz="4" w:space="0" w:color="auto"/>
              <w:right w:val="single" w:sz="4" w:space="0" w:color="auto"/>
            </w:tcBorders>
            <w:shd w:val="clear" w:color="000000" w:fill="DAEEF3"/>
            <w:vAlign w:val="center"/>
            <w:hideMark/>
          </w:tcPr>
          <w:p>
            <w:pPr>
              <w:spacing w:after="0" w:line="240" w:lineRule="auto"/>
              <w:jc w:val="left"/>
              <w:rPr>
                <w:rFonts w:eastAsia="Times New Roman"/>
                <w:noProof/>
                <w:color w:val="000000"/>
                <w:lang w:eastAsia="de-DE"/>
              </w:rPr>
            </w:pPr>
            <w:r>
              <w:rPr>
                <w:rFonts w:eastAsia="Times New Roman"/>
                <w:noProof/>
                <w:color w:val="000000"/>
                <w:lang w:eastAsia="de-DE"/>
              </w:rPr>
              <w:t>Agriculture</w:t>
            </w:r>
          </w:p>
        </w:tc>
        <w:tc>
          <w:tcPr>
            <w:tcW w:w="945" w:type="dxa"/>
            <w:tcBorders>
              <w:top w:val="nil"/>
              <w:left w:val="nil"/>
              <w:bottom w:val="single" w:sz="4" w:space="0" w:color="auto"/>
              <w:right w:val="single" w:sz="4" w:space="0" w:color="auto"/>
            </w:tcBorders>
            <w:shd w:val="clear" w:color="000000" w:fill="FFFFFF"/>
            <w:vAlign w:val="center"/>
            <w:hideMark/>
          </w:tcPr>
          <w:p>
            <w:pPr>
              <w:spacing w:after="0" w:line="240" w:lineRule="auto"/>
              <w:jc w:val="left"/>
              <w:rPr>
                <w:rFonts w:eastAsia="Times New Roman"/>
                <w:noProof/>
                <w:color w:val="000000"/>
                <w:lang w:eastAsia="de-DE"/>
              </w:rPr>
            </w:pPr>
            <w:r>
              <w:rPr>
                <w:rFonts w:eastAsia="Times New Roman"/>
                <w:noProof/>
                <w:color w:val="000000"/>
                <w:lang w:eastAsia="de-DE"/>
              </w:rPr>
              <w:t>Yes</w:t>
            </w:r>
          </w:p>
        </w:tc>
        <w:tc>
          <w:tcPr>
            <w:tcW w:w="1095" w:type="dxa"/>
            <w:tcBorders>
              <w:top w:val="nil"/>
              <w:left w:val="nil"/>
              <w:bottom w:val="nil"/>
              <w:right w:val="nil"/>
            </w:tcBorders>
            <w:shd w:val="clear" w:color="000000" w:fill="FFFFFF"/>
            <w:vAlign w:val="center"/>
            <w:hideMark/>
          </w:tcPr>
          <w:p>
            <w:pPr>
              <w:spacing w:after="0" w:line="240" w:lineRule="auto"/>
              <w:jc w:val="left"/>
              <w:rPr>
                <w:rFonts w:eastAsia="Times New Roman"/>
                <w:noProof/>
                <w:color w:val="000000"/>
                <w:lang w:eastAsia="de-DE"/>
              </w:rPr>
            </w:pPr>
            <w:r>
              <w:rPr>
                <w:rFonts w:eastAsia="Times New Roman"/>
                <w:noProof/>
                <w:color w:val="000000"/>
                <w:lang w:eastAsia="de-DE"/>
              </w:rPr>
              <w:t> </w:t>
            </w:r>
          </w:p>
        </w:tc>
        <w:tc>
          <w:tcPr>
            <w:tcW w:w="1094" w:type="dxa"/>
            <w:tcBorders>
              <w:top w:val="nil"/>
              <w:left w:val="nil"/>
              <w:bottom w:val="nil"/>
              <w:right w:val="nil"/>
            </w:tcBorders>
            <w:shd w:val="clear" w:color="auto" w:fill="auto"/>
            <w:noWrap/>
            <w:vAlign w:val="bottom"/>
            <w:hideMark/>
          </w:tcPr>
          <w:p>
            <w:pPr>
              <w:spacing w:after="0" w:line="240" w:lineRule="auto"/>
              <w:jc w:val="left"/>
              <w:rPr>
                <w:rFonts w:eastAsia="Times New Roman"/>
                <w:noProof/>
                <w:color w:val="000000"/>
                <w:lang w:eastAsia="de-DE"/>
              </w:rPr>
            </w:pPr>
          </w:p>
        </w:tc>
        <w:tc>
          <w:tcPr>
            <w:tcW w:w="5207" w:type="dxa"/>
            <w:tcBorders>
              <w:top w:val="nil"/>
              <w:left w:val="nil"/>
              <w:bottom w:val="nil"/>
              <w:right w:val="single" w:sz="4" w:space="0" w:color="auto"/>
            </w:tcBorders>
            <w:shd w:val="clear" w:color="auto" w:fill="auto"/>
            <w:noWrap/>
            <w:vAlign w:val="bottom"/>
            <w:hideMark/>
          </w:tcPr>
          <w:p>
            <w:pPr>
              <w:spacing w:after="0" w:line="240" w:lineRule="auto"/>
              <w:jc w:val="left"/>
              <w:rPr>
                <w:rFonts w:eastAsia="Times New Roman"/>
                <w:noProof/>
                <w:color w:val="000000"/>
                <w:lang w:eastAsia="de-DE"/>
              </w:rPr>
            </w:pPr>
          </w:p>
        </w:tc>
      </w:tr>
      <w:tr>
        <w:trPr>
          <w:trHeight w:val="300"/>
        </w:trPr>
        <w:tc>
          <w:tcPr>
            <w:tcW w:w="1367" w:type="dxa"/>
            <w:tcBorders>
              <w:top w:val="nil"/>
              <w:left w:val="single" w:sz="4" w:space="0" w:color="auto"/>
              <w:bottom w:val="single" w:sz="4" w:space="0" w:color="auto"/>
              <w:right w:val="single" w:sz="4" w:space="0" w:color="auto"/>
            </w:tcBorders>
            <w:shd w:val="clear" w:color="000000" w:fill="DAEEF3"/>
            <w:vAlign w:val="center"/>
            <w:hideMark/>
          </w:tcPr>
          <w:p>
            <w:pPr>
              <w:spacing w:after="0" w:line="240" w:lineRule="auto"/>
              <w:jc w:val="left"/>
              <w:rPr>
                <w:rFonts w:eastAsia="Times New Roman"/>
                <w:noProof/>
                <w:color w:val="000000"/>
                <w:lang w:eastAsia="de-DE"/>
              </w:rPr>
            </w:pPr>
            <w:r>
              <w:rPr>
                <w:rFonts w:eastAsia="Times New Roman"/>
                <w:noProof/>
                <w:color w:val="000000"/>
                <w:lang w:eastAsia="de-DE"/>
              </w:rPr>
              <w:t>LULUCF</w:t>
            </w:r>
          </w:p>
        </w:tc>
        <w:tc>
          <w:tcPr>
            <w:tcW w:w="945" w:type="dxa"/>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lang w:eastAsia="de-DE"/>
              </w:rPr>
            </w:pPr>
            <w:r>
              <w:rPr>
                <w:rFonts w:eastAsia="Times New Roman"/>
                <w:noProof/>
                <w:color w:val="000000"/>
                <w:lang w:eastAsia="de-DE"/>
              </w:rPr>
              <w:t>No</w:t>
            </w:r>
          </w:p>
        </w:tc>
        <w:tc>
          <w:tcPr>
            <w:tcW w:w="1095" w:type="dxa"/>
            <w:tcBorders>
              <w:top w:val="nil"/>
              <w:left w:val="nil"/>
              <w:bottom w:val="nil"/>
              <w:right w:val="nil"/>
            </w:tcBorders>
            <w:shd w:val="clear" w:color="auto" w:fill="auto"/>
            <w:vAlign w:val="center"/>
            <w:hideMark/>
          </w:tcPr>
          <w:p>
            <w:pPr>
              <w:spacing w:after="0" w:line="240" w:lineRule="auto"/>
              <w:jc w:val="left"/>
              <w:rPr>
                <w:rFonts w:eastAsia="Times New Roman"/>
                <w:noProof/>
                <w:color w:val="000000"/>
                <w:lang w:eastAsia="de-DE"/>
              </w:rPr>
            </w:pPr>
          </w:p>
        </w:tc>
        <w:tc>
          <w:tcPr>
            <w:tcW w:w="1094" w:type="dxa"/>
            <w:tcBorders>
              <w:top w:val="nil"/>
              <w:left w:val="nil"/>
              <w:bottom w:val="nil"/>
              <w:right w:val="nil"/>
            </w:tcBorders>
            <w:shd w:val="clear" w:color="auto" w:fill="auto"/>
            <w:noWrap/>
            <w:vAlign w:val="bottom"/>
            <w:hideMark/>
          </w:tcPr>
          <w:p>
            <w:pPr>
              <w:spacing w:after="0" w:line="240" w:lineRule="auto"/>
              <w:jc w:val="left"/>
              <w:rPr>
                <w:rFonts w:eastAsia="Times New Roman"/>
                <w:noProof/>
                <w:color w:val="000000"/>
                <w:lang w:eastAsia="de-DE"/>
              </w:rPr>
            </w:pPr>
          </w:p>
        </w:tc>
        <w:tc>
          <w:tcPr>
            <w:tcW w:w="5207" w:type="dxa"/>
            <w:tcBorders>
              <w:top w:val="nil"/>
              <w:left w:val="nil"/>
              <w:bottom w:val="nil"/>
              <w:right w:val="single" w:sz="4" w:space="0" w:color="auto"/>
            </w:tcBorders>
            <w:shd w:val="clear" w:color="auto" w:fill="auto"/>
            <w:noWrap/>
            <w:vAlign w:val="bottom"/>
            <w:hideMark/>
          </w:tcPr>
          <w:p>
            <w:pPr>
              <w:spacing w:after="0" w:line="240" w:lineRule="auto"/>
              <w:jc w:val="left"/>
              <w:rPr>
                <w:rFonts w:eastAsia="Times New Roman"/>
                <w:noProof/>
                <w:color w:val="000000"/>
                <w:lang w:eastAsia="de-DE"/>
              </w:rPr>
            </w:pPr>
          </w:p>
        </w:tc>
      </w:tr>
      <w:tr>
        <w:trPr>
          <w:trHeight w:val="300"/>
        </w:trPr>
        <w:tc>
          <w:tcPr>
            <w:tcW w:w="1367" w:type="dxa"/>
            <w:tcBorders>
              <w:top w:val="nil"/>
              <w:left w:val="single" w:sz="4" w:space="0" w:color="auto"/>
              <w:bottom w:val="single" w:sz="4" w:space="0" w:color="auto"/>
              <w:right w:val="single" w:sz="4" w:space="0" w:color="auto"/>
            </w:tcBorders>
            <w:shd w:val="clear" w:color="000000" w:fill="DAEEF3"/>
            <w:vAlign w:val="center"/>
            <w:hideMark/>
          </w:tcPr>
          <w:p>
            <w:pPr>
              <w:spacing w:after="0" w:line="240" w:lineRule="auto"/>
              <w:jc w:val="left"/>
              <w:rPr>
                <w:rFonts w:eastAsia="Times New Roman"/>
                <w:noProof/>
                <w:color w:val="000000"/>
                <w:lang w:eastAsia="de-DE"/>
              </w:rPr>
            </w:pPr>
            <w:r>
              <w:rPr>
                <w:rFonts w:eastAsia="Times New Roman"/>
                <w:noProof/>
                <w:color w:val="000000"/>
                <w:lang w:eastAsia="de-DE"/>
              </w:rPr>
              <w:t>Waste</w:t>
            </w:r>
          </w:p>
        </w:tc>
        <w:tc>
          <w:tcPr>
            <w:tcW w:w="945" w:type="dxa"/>
            <w:tcBorders>
              <w:top w:val="nil"/>
              <w:left w:val="nil"/>
              <w:bottom w:val="single" w:sz="4" w:space="0" w:color="auto"/>
              <w:right w:val="single" w:sz="4" w:space="0" w:color="auto"/>
            </w:tcBorders>
            <w:shd w:val="clear" w:color="000000" w:fill="FFFFFF"/>
            <w:vAlign w:val="center"/>
            <w:hideMark/>
          </w:tcPr>
          <w:p>
            <w:pPr>
              <w:spacing w:after="0" w:line="240" w:lineRule="auto"/>
              <w:jc w:val="left"/>
              <w:rPr>
                <w:rFonts w:eastAsia="Times New Roman"/>
                <w:noProof/>
                <w:color w:val="000000"/>
                <w:lang w:eastAsia="de-DE"/>
              </w:rPr>
            </w:pPr>
            <w:r>
              <w:rPr>
                <w:rFonts w:eastAsia="Times New Roman"/>
                <w:noProof/>
                <w:color w:val="000000"/>
                <w:lang w:eastAsia="de-DE"/>
              </w:rPr>
              <w:t>Yes</w:t>
            </w:r>
          </w:p>
        </w:tc>
        <w:tc>
          <w:tcPr>
            <w:tcW w:w="1095" w:type="dxa"/>
            <w:tcBorders>
              <w:top w:val="nil"/>
              <w:left w:val="nil"/>
              <w:bottom w:val="nil"/>
              <w:right w:val="nil"/>
            </w:tcBorders>
            <w:shd w:val="clear" w:color="000000" w:fill="FFFFFF"/>
            <w:vAlign w:val="center"/>
            <w:hideMark/>
          </w:tcPr>
          <w:p>
            <w:pPr>
              <w:spacing w:after="0" w:line="240" w:lineRule="auto"/>
              <w:jc w:val="left"/>
              <w:rPr>
                <w:rFonts w:eastAsia="Times New Roman"/>
                <w:noProof/>
                <w:color w:val="000000"/>
                <w:lang w:eastAsia="de-DE"/>
              </w:rPr>
            </w:pPr>
            <w:r>
              <w:rPr>
                <w:rFonts w:eastAsia="Times New Roman"/>
                <w:noProof/>
                <w:color w:val="000000"/>
                <w:lang w:eastAsia="de-DE"/>
              </w:rPr>
              <w:t> </w:t>
            </w:r>
          </w:p>
        </w:tc>
        <w:tc>
          <w:tcPr>
            <w:tcW w:w="1094" w:type="dxa"/>
            <w:tcBorders>
              <w:top w:val="nil"/>
              <w:left w:val="nil"/>
              <w:bottom w:val="nil"/>
              <w:right w:val="nil"/>
            </w:tcBorders>
            <w:shd w:val="clear" w:color="auto" w:fill="auto"/>
            <w:noWrap/>
            <w:vAlign w:val="bottom"/>
            <w:hideMark/>
          </w:tcPr>
          <w:p>
            <w:pPr>
              <w:spacing w:after="0" w:line="240" w:lineRule="auto"/>
              <w:jc w:val="left"/>
              <w:rPr>
                <w:rFonts w:eastAsia="Times New Roman"/>
                <w:noProof/>
                <w:color w:val="000000"/>
                <w:lang w:eastAsia="de-DE"/>
              </w:rPr>
            </w:pPr>
          </w:p>
        </w:tc>
        <w:tc>
          <w:tcPr>
            <w:tcW w:w="5207" w:type="dxa"/>
            <w:tcBorders>
              <w:top w:val="nil"/>
              <w:left w:val="nil"/>
              <w:bottom w:val="nil"/>
              <w:right w:val="single" w:sz="4" w:space="0" w:color="auto"/>
            </w:tcBorders>
            <w:shd w:val="clear" w:color="auto" w:fill="auto"/>
            <w:noWrap/>
            <w:vAlign w:val="bottom"/>
            <w:hideMark/>
          </w:tcPr>
          <w:p>
            <w:pPr>
              <w:spacing w:after="0" w:line="240" w:lineRule="auto"/>
              <w:jc w:val="left"/>
              <w:rPr>
                <w:rFonts w:eastAsia="Times New Roman"/>
                <w:noProof/>
                <w:color w:val="000000"/>
                <w:lang w:eastAsia="de-DE"/>
              </w:rPr>
            </w:pPr>
          </w:p>
        </w:tc>
      </w:tr>
      <w:tr>
        <w:trPr>
          <w:trHeight w:val="300"/>
        </w:trPr>
        <w:tc>
          <w:tcPr>
            <w:tcW w:w="1367" w:type="dxa"/>
            <w:tcBorders>
              <w:top w:val="nil"/>
              <w:left w:val="single" w:sz="4" w:space="0" w:color="auto"/>
              <w:bottom w:val="single" w:sz="4" w:space="0" w:color="auto"/>
              <w:right w:val="single" w:sz="4" w:space="0" w:color="auto"/>
            </w:tcBorders>
            <w:shd w:val="clear" w:color="000000" w:fill="DAEEF3"/>
            <w:vAlign w:val="center"/>
            <w:hideMark/>
          </w:tcPr>
          <w:p>
            <w:pPr>
              <w:spacing w:after="0" w:line="240" w:lineRule="auto"/>
              <w:jc w:val="left"/>
              <w:rPr>
                <w:rFonts w:eastAsia="Times New Roman"/>
                <w:noProof/>
                <w:color w:val="000000"/>
                <w:lang w:eastAsia="de-DE"/>
              </w:rPr>
            </w:pPr>
            <w:r>
              <w:rPr>
                <w:rFonts w:eastAsia="Times New Roman"/>
                <w:noProof/>
                <w:color w:val="000000"/>
                <w:lang w:eastAsia="de-DE"/>
              </w:rPr>
              <w:t>Other sectors (specify)</w:t>
            </w:r>
          </w:p>
        </w:tc>
        <w:tc>
          <w:tcPr>
            <w:tcW w:w="945" w:type="dxa"/>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lang w:eastAsia="de-DE"/>
              </w:rPr>
            </w:pPr>
            <w:r>
              <w:rPr>
                <w:rFonts w:eastAsia="Times New Roman"/>
                <w:noProof/>
                <w:color w:val="000000"/>
                <w:lang w:eastAsia="de-DE"/>
              </w:rPr>
              <w:t> </w:t>
            </w:r>
          </w:p>
        </w:tc>
        <w:tc>
          <w:tcPr>
            <w:tcW w:w="1095" w:type="dxa"/>
            <w:tcBorders>
              <w:top w:val="nil"/>
              <w:left w:val="nil"/>
              <w:bottom w:val="nil"/>
              <w:right w:val="nil"/>
            </w:tcBorders>
            <w:shd w:val="clear" w:color="auto" w:fill="auto"/>
            <w:vAlign w:val="center"/>
            <w:hideMark/>
          </w:tcPr>
          <w:p>
            <w:pPr>
              <w:spacing w:after="0" w:line="240" w:lineRule="auto"/>
              <w:jc w:val="left"/>
              <w:rPr>
                <w:rFonts w:eastAsia="Times New Roman"/>
                <w:noProof/>
                <w:color w:val="000000"/>
                <w:lang w:eastAsia="de-DE"/>
              </w:rPr>
            </w:pPr>
          </w:p>
        </w:tc>
        <w:tc>
          <w:tcPr>
            <w:tcW w:w="1094" w:type="dxa"/>
            <w:tcBorders>
              <w:top w:val="nil"/>
              <w:left w:val="nil"/>
              <w:bottom w:val="nil"/>
              <w:right w:val="nil"/>
            </w:tcBorders>
            <w:shd w:val="clear" w:color="auto" w:fill="auto"/>
            <w:noWrap/>
            <w:vAlign w:val="bottom"/>
            <w:hideMark/>
          </w:tcPr>
          <w:p>
            <w:pPr>
              <w:spacing w:after="0" w:line="240" w:lineRule="auto"/>
              <w:jc w:val="left"/>
              <w:rPr>
                <w:rFonts w:eastAsia="Times New Roman"/>
                <w:noProof/>
                <w:color w:val="000000"/>
                <w:lang w:eastAsia="de-DE"/>
              </w:rPr>
            </w:pPr>
          </w:p>
        </w:tc>
        <w:tc>
          <w:tcPr>
            <w:tcW w:w="5207" w:type="dxa"/>
            <w:tcBorders>
              <w:top w:val="nil"/>
              <w:left w:val="nil"/>
              <w:bottom w:val="nil"/>
              <w:right w:val="single" w:sz="4" w:space="0" w:color="auto"/>
            </w:tcBorders>
            <w:shd w:val="clear" w:color="auto" w:fill="auto"/>
            <w:noWrap/>
            <w:vAlign w:val="bottom"/>
            <w:hideMark/>
          </w:tcPr>
          <w:p>
            <w:pPr>
              <w:spacing w:after="0" w:line="240" w:lineRule="auto"/>
              <w:jc w:val="left"/>
              <w:rPr>
                <w:rFonts w:eastAsia="Times New Roman"/>
                <w:noProof/>
                <w:color w:val="000000"/>
                <w:lang w:eastAsia="de-DE"/>
              </w:rPr>
            </w:pPr>
          </w:p>
        </w:tc>
      </w:tr>
      <w:tr>
        <w:trPr>
          <w:trHeight w:val="1905"/>
        </w:trPr>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left"/>
              <w:rPr>
                <w:rFonts w:eastAsia="Times New Roman"/>
                <w:b/>
                <w:bCs/>
                <w:noProof/>
                <w:color w:val="000000"/>
                <w:lang w:val="en-US" w:eastAsia="de-DE"/>
              </w:rPr>
            </w:pPr>
            <w:r>
              <w:rPr>
                <w:rFonts w:eastAsia="Times New Roman"/>
                <w:b/>
                <w:bCs/>
                <w:noProof/>
                <w:color w:val="000000"/>
                <w:lang w:val="en-US" w:eastAsia="de-DE"/>
              </w:rPr>
              <w:t>Aviation in the scope of the EU-ETS</w:t>
            </w:r>
          </w:p>
        </w:tc>
        <w:tc>
          <w:tcPr>
            <w:tcW w:w="94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lang w:val="en-US" w:eastAsia="de-DE"/>
              </w:rPr>
            </w:pPr>
            <w:r>
              <w:rPr>
                <w:rFonts w:eastAsia="Times New Roman"/>
                <w:noProof/>
                <w:color w:val="000000"/>
                <w:lang w:val="en-US" w:eastAsia="de-DE"/>
              </w:rPr>
              <w:t> </w:t>
            </w:r>
          </w:p>
        </w:tc>
        <w:tc>
          <w:tcPr>
            <w:tcW w:w="7396" w:type="dxa"/>
            <w:gridSpan w:val="3"/>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lang w:val="en-US" w:eastAsia="de-DE"/>
              </w:rPr>
            </w:pPr>
            <w:r>
              <w:rPr>
                <w:rFonts w:eastAsia="Times New Roman"/>
                <w:noProof/>
                <w:color w:val="000000"/>
                <w:lang w:val="en-US" w:eastAsia="de-DE"/>
              </w:rPr>
              <w:t>In principle, the EU ETS should cover CO2 emissions of all flights arriving at, and departing from, airports in all EU Member States, Norway, Iceland and Liechtenstein and closely related territories.  However, since 2012, flights to and from aerodromes from other countries have not been included in the EU ETS.</w:t>
            </w:r>
            <w:r>
              <w:rPr>
                <w:rFonts w:eastAsia="Times New Roman"/>
                <w:noProof/>
                <w:color w:val="000000"/>
                <w:lang w:val="en-US" w:eastAsia="de-DE"/>
              </w:rPr>
              <w:br w:type="page"/>
              <w:t>This exclusion was taken in order to facilitate negotiation of a global agreement to address aviation emissions in the forum of the International Civil Aviation Organisation (ICAO). The EU has decided on a reduced scope in the 2013–2016 period (Regulation (EU) No 421/2014 of the European Parliament and of the Council of 16 April 2014)</w:t>
            </w:r>
          </w:p>
        </w:tc>
      </w:tr>
    </w:tbl>
    <w:p>
      <w:pPr>
        <w:rPr>
          <w:noProof/>
          <w:lang w:val="en-GB"/>
        </w:rPr>
      </w:pPr>
    </w:p>
    <w:tbl>
      <w:tblPr>
        <w:tblW w:w="5000" w:type="pct"/>
        <w:tblCellMar>
          <w:left w:w="70" w:type="dxa"/>
          <w:right w:w="70" w:type="dxa"/>
        </w:tblCellMar>
        <w:tblLook w:val="04A0" w:firstRow="1" w:lastRow="0" w:firstColumn="1" w:lastColumn="0" w:noHBand="0" w:noVBand="1"/>
      </w:tblPr>
      <w:tblGrid>
        <w:gridCol w:w="1390"/>
        <w:gridCol w:w="1026"/>
        <w:gridCol w:w="448"/>
        <w:gridCol w:w="1102"/>
        <w:gridCol w:w="5245"/>
      </w:tblGrid>
      <w:tr>
        <w:trPr>
          <w:trHeight w:val="300"/>
        </w:trPr>
        <w:tc>
          <w:tcPr>
            <w:tcW w:w="5000" w:type="pct"/>
            <w:gridSpan w:val="5"/>
            <w:tcBorders>
              <w:top w:val="single" w:sz="4" w:space="0" w:color="auto"/>
              <w:left w:val="single" w:sz="4" w:space="0" w:color="auto"/>
              <w:bottom w:val="nil"/>
              <w:right w:val="single" w:sz="4" w:space="0" w:color="auto"/>
            </w:tcBorders>
            <w:shd w:val="clear" w:color="000000" w:fill="92CDDC"/>
            <w:vAlign w:val="center"/>
            <w:hideMark/>
          </w:tcPr>
          <w:p>
            <w:pPr>
              <w:spacing w:after="0" w:line="240" w:lineRule="auto"/>
              <w:jc w:val="left"/>
              <w:rPr>
                <w:rFonts w:eastAsia="Times New Roman"/>
                <w:b/>
                <w:bCs/>
                <w:noProof/>
                <w:color w:val="000000"/>
                <w:szCs w:val="24"/>
                <w:lang w:eastAsia="de-DE"/>
              </w:rPr>
            </w:pPr>
            <w:r>
              <w:rPr>
                <w:rFonts w:eastAsia="Times New Roman"/>
                <w:b/>
                <w:bCs/>
                <w:noProof/>
                <w:color w:val="000000"/>
                <w:szCs w:val="24"/>
                <w:lang w:eastAsia="de-DE"/>
              </w:rPr>
              <w:t>Role of LULUCF sector</w:t>
            </w:r>
          </w:p>
        </w:tc>
      </w:tr>
      <w:tr>
        <w:trPr>
          <w:trHeight w:val="585"/>
        </w:trPr>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Cs w:val="24"/>
                <w:lang w:val="en-US" w:eastAsia="de-DE"/>
              </w:rPr>
            </w:pPr>
            <w:r>
              <w:rPr>
                <w:rFonts w:eastAsia="Times New Roman"/>
                <w:noProof/>
                <w:color w:val="000000"/>
                <w:szCs w:val="24"/>
                <w:lang w:val="en-US" w:eastAsia="de-DE"/>
              </w:rPr>
              <w:t>LULUCF in base year level and target</w:t>
            </w:r>
          </w:p>
        </w:tc>
        <w:tc>
          <w:tcPr>
            <w:tcW w:w="557" w:type="pct"/>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Cs w:val="24"/>
                <w:lang w:eastAsia="de-DE"/>
              </w:rPr>
            </w:pPr>
            <w:r>
              <w:rPr>
                <w:rFonts w:eastAsia="Times New Roman"/>
                <w:noProof/>
                <w:color w:val="000000"/>
                <w:szCs w:val="24"/>
                <w:lang w:eastAsia="de-DE"/>
              </w:rPr>
              <w:t>excluded</w:t>
            </w:r>
          </w:p>
        </w:tc>
        <w:tc>
          <w:tcPr>
            <w:tcW w:w="243" w:type="pct"/>
            <w:tcBorders>
              <w:top w:val="nil"/>
              <w:left w:val="nil"/>
              <w:bottom w:val="nil"/>
              <w:right w:val="nil"/>
            </w:tcBorders>
            <w:shd w:val="clear" w:color="auto" w:fill="auto"/>
            <w:vAlign w:val="center"/>
            <w:hideMark/>
          </w:tcPr>
          <w:p>
            <w:pPr>
              <w:spacing w:after="0" w:line="240" w:lineRule="auto"/>
              <w:jc w:val="left"/>
              <w:rPr>
                <w:rFonts w:eastAsia="Times New Roman"/>
                <w:noProof/>
                <w:color w:val="000000"/>
                <w:szCs w:val="24"/>
                <w:lang w:eastAsia="de-DE"/>
              </w:rPr>
            </w:pPr>
          </w:p>
        </w:tc>
        <w:tc>
          <w:tcPr>
            <w:tcW w:w="598" w:type="pct"/>
            <w:tcBorders>
              <w:top w:val="nil"/>
              <w:left w:val="nil"/>
              <w:bottom w:val="nil"/>
              <w:right w:val="nil"/>
            </w:tcBorders>
            <w:shd w:val="clear" w:color="auto" w:fill="auto"/>
            <w:noWrap/>
            <w:vAlign w:val="bottom"/>
            <w:hideMark/>
          </w:tcPr>
          <w:p>
            <w:pPr>
              <w:spacing w:after="0" w:line="240" w:lineRule="auto"/>
              <w:jc w:val="left"/>
              <w:rPr>
                <w:rFonts w:eastAsia="Times New Roman"/>
                <w:noProof/>
                <w:color w:val="000000"/>
                <w:szCs w:val="24"/>
                <w:lang w:eastAsia="de-DE"/>
              </w:rPr>
            </w:pPr>
          </w:p>
        </w:tc>
        <w:tc>
          <w:tcPr>
            <w:tcW w:w="2847" w:type="pct"/>
            <w:tcBorders>
              <w:top w:val="nil"/>
              <w:left w:val="nil"/>
              <w:bottom w:val="nil"/>
              <w:right w:val="single" w:sz="4" w:space="0" w:color="auto"/>
            </w:tcBorders>
            <w:shd w:val="clear" w:color="auto" w:fill="auto"/>
            <w:noWrap/>
            <w:vAlign w:val="bottom"/>
            <w:hideMark/>
          </w:tcPr>
          <w:p>
            <w:pPr>
              <w:spacing w:after="0" w:line="240" w:lineRule="auto"/>
              <w:jc w:val="left"/>
              <w:rPr>
                <w:rFonts w:eastAsia="Times New Roman"/>
                <w:noProof/>
                <w:color w:val="000000"/>
                <w:szCs w:val="24"/>
                <w:lang w:eastAsia="de-DE"/>
              </w:rPr>
            </w:pPr>
          </w:p>
        </w:tc>
      </w:tr>
      <w:tr>
        <w:trPr>
          <w:trHeight w:val="540"/>
        </w:trPr>
        <w:tc>
          <w:tcPr>
            <w:tcW w:w="755" w:type="pct"/>
            <w:tcBorders>
              <w:top w:val="nil"/>
              <w:left w:val="single" w:sz="4" w:space="0" w:color="auto"/>
              <w:bottom w:val="single" w:sz="4" w:space="0" w:color="auto"/>
              <w:right w:val="single" w:sz="4" w:space="0" w:color="auto"/>
            </w:tcBorders>
            <w:shd w:val="clear" w:color="000000" w:fill="FFFFFF"/>
            <w:vAlign w:val="center"/>
            <w:hideMark/>
          </w:tcPr>
          <w:p>
            <w:pPr>
              <w:spacing w:after="0" w:line="240" w:lineRule="auto"/>
              <w:jc w:val="left"/>
              <w:rPr>
                <w:rFonts w:eastAsia="Times New Roman"/>
                <w:noProof/>
                <w:color w:val="000000"/>
                <w:szCs w:val="24"/>
                <w:lang w:val="en-US" w:eastAsia="de-DE"/>
              </w:rPr>
            </w:pPr>
            <w:r>
              <w:rPr>
                <w:rFonts w:eastAsia="Times New Roman"/>
                <w:noProof/>
                <w:color w:val="000000"/>
                <w:szCs w:val="24"/>
                <w:lang w:val="en-US" w:eastAsia="de-DE"/>
              </w:rPr>
              <w:t>Contribution of LULUCF is calculated using</w:t>
            </w:r>
          </w:p>
        </w:tc>
        <w:tc>
          <w:tcPr>
            <w:tcW w:w="557" w:type="pct"/>
            <w:tcBorders>
              <w:top w:val="nil"/>
              <w:left w:val="nil"/>
              <w:bottom w:val="single" w:sz="4" w:space="0" w:color="auto"/>
              <w:right w:val="single" w:sz="4" w:space="0" w:color="auto"/>
            </w:tcBorders>
            <w:shd w:val="clear" w:color="000000" w:fill="FFFFFF"/>
            <w:vAlign w:val="center"/>
            <w:hideMark/>
          </w:tcPr>
          <w:p>
            <w:pPr>
              <w:spacing w:after="0" w:line="240" w:lineRule="auto"/>
              <w:jc w:val="left"/>
              <w:rPr>
                <w:rFonts w:eastAsia="Times New Roman"/>
                <w:noProof/>
                <w:color w:val="000000"/>
                <w:szCs w:val="24"/>
                <w:lang w:val="en-US" w:eastAsia="de-DE"/>
              </w:rPr>
            </w:pPr>
            <w:r>
              <w:rPr>
                <w:rFonts w:eastAsia="Times New Roman"/>
                <w:noProof/>
                <w:color w:val="000000"/>
                <w:szCs w:val="24"/>
                <w:lang w:val="en-US" w:eastAsia="de-DE"/>
              </w:rPr>
              <w:t> </w:t>
            </w:r>
          </w:p>
        </w:tc>
        <w:tc>
          <w:tcPr>
            <w:tcW w:w="243" w:type="pct"/>
            <w:tcBorders>
              <w:top w:val="nil"/>
              <w:left w:val="nil"/>
              <w:bottom w:val="single" w:sz="4" w:space="0" w:color="auto"/>
              <w:right w:val="nil"/>
            </w:tcBorders>
            <w:shd w:val="clear" w:color="000000" w:fill="FFFFFF"/>
            <w:vAlign w:val="center"/>
            <w:hideMark/>
          </w:tcPr>
          <w:p>
            <w:pPr>
              <w:spacing w:after="0" w:line="240" w:lineRule="auto"/>
              <w:jc w:val="left"/>
              <w:rPr>
                <w:rFonts w:eastAsia="Times New Roman"/>
                <w:noProof/>
                <w:color w:val="000000"/>
                <w:szCs w:val="24"/>
                <w:lang w:val="en-US" w:eastAsia="de-DE"/>
              </w:rPr>
            </w:pPr>
            <w:r>
              <w:rPr>
                <w:rFonts w:eastAsia="Times New Roman"/>
                <w:noProof/>
                <w:color w:val="000000"/>
                <w:szCs w:val="24"/>
                <w:lang w:val="en-US" w:eastAsia="de-DE"/>
              </w:rPr>
              <w:t> </w:t>
            </w:r>
          </w:p>
        </w:tc>
        <w:tc>
          <w:tcPr>
            <w:tcW w:w="598" w:type="pct"/>
            <w:tcBorders>
              <w:top w:val="nil"/>
              <w:left w:val="nil"/>
              <w:bottom w:val="single" w:sz="4" w:space="0" w:color="auto"/>
              <w:right w:val="nil"/>
            </w:tcBorders>
            <w:shd w:val="clear" w:color="auto" w:fill="auto"/>
            <w:noWrap/>
            <w:vAlign w:val="bottom"/>
            <w:hideMark/>
          </w:tcPr>
          <w:p>
            <w:pPr>
              <w:spacing w:after="0" w:line="240" w:lineRule="auto"/>
              <w:jc w:val="left"/>
              <w:rPr>
                <w:rFonts w:eastAsia="Times New Roman"/>
                <w:noProof/>
                <w:color w:val="000000"/>
                <w:szCs w:val="24"/>
                <w:lang w:val="en-US" w:eastAsia="de-DE"/>
              </w:rPr>
            </w:pPr>
          </w:p>
        </w:tc>
        <w:tc>
          <w:tcPr>
            <w:tcW w:w="284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left"/>
              <w:rPr>
                <w:rFonts w:eastAsia="Times New Roman"/>
                <w:noProof/>
                <w:color w:val="000000"/>
                <w:szCs w:val="24"/>
                <w:lang w:val="en-US" w:eastAsia="de-DE"/>
              </w:rPr>
            </w:pPr>
          </w:p>
        </w:tc>
      </w:tr>
    </w:tbl>
    <w:p>
      <w:pPr>
        <w:rPr>
          <w:noProof/>
          <w:lang w:val="en-GB"/>
        </w:rPr>
      </w:pPr>
    </w:p>
    <w:tbl>
      <w:tblPr>
        <w:tblW w:w="4950" w:type="pct"/>
        <w:tblInd w:w="70" w:type="dxa"/>
        <w:tblCellMar>
          <w:left w:w="70" w:type="dxa"/>
          <w:right w:w="70" w:type="dxa"/>
        </w:tblCellMar>
        <w:tblLook w:val="04A0" w:firstRow="1" w:lastRow="0" w:firstColumn="1" w:lastColumn="0" w:noHBand="0" w:noVBand="1"/>
      </w:tblPr>
      <w:tblGrid>
        <w:gridCol w:w="2547"/>
        <w:gridCol w:w="223"/>
        <w:gridCol w:w="6295"/>
        <w:gridCol w:w="54"/>
      </w:tblGrid>
      <w:tr>
        <w:trPr>
          <w:gridAfter w:val="1"/>
          <w:wAfter w:w="48" w:type="dxa"/>
          <w:trHeight w:val="300"/>
          <w:tblHeader/>
        </w:trPr>
        <w:tc>
          <w:tcPr>
            <w:tcW w:w="2284" w:type="dxa"/>
            <w:tcBorders>
              <w:top w:val="single" w:sz="4" w:space="0" w:color="auto"/>
              <w:left w:val="single" w:sz="4" w:space="0" w:color="auto"/>
              <w:bottom w:val="single" w:sz="4" w:space="0" w:color="auto"/>
              <w:right w:val="nil"/>
            </w:tcBorders>
            <w:shd w:val="clear" w:color="000000" w:fill="92CDDC"/>
            <w:vAlign w:val="center"/>
            <w:hideMark/>
          </w:tcPr>
          <w:p>
            <w:pPr>
              <w:pageBreakBefore/>
              <w:spacing w:after="0" w:line="240" w:lineRule="auto"/>
              <w:jc w:val="left"/>
              <w:rPr>
                <w:rFonts w:eastAsia="Times New Roman"/>
                <w:b/>
                <w:bCs/>
                <w:noProof/>
                <w:color w:val="000000"/>
                <w:szCs w:val="24"/>
                <w:lang w:val="en-US" w:eastAsia="de-DE"/>
              </w:rPr>
            </w:pPr>
            <w:r>
              <w:rPr>
                <w:rFonts w:eastAsia="Times New Roman"/>
                <w:b/>
                <w:bCs/>
                <w:noProof/>
                <w:color w:val="000000"/>
                <w:szCs w:val="24"/>
                <w:lang w:val="en-US" w:eastAsia="de-DE"/>
              </w:rPr>
              <w:t>Possible scale of contributions of market-based mechanisms</w:t>
            </w:r>
          </w:p>
        </w:tc>
        <w:tc>
          <w:tcPr>
            <w:tcW w:w="5835" w:type="dxa"/>
            <w:gridSpan w:val="2"/>
            <w:tcBorders>
              <w:top w:val="single" w:sz="4" w:space="0" w:color="auto"/>
              <w:left w:val="nil"/>
              <w:bottom w:val="single" w:sz="4" w:space="0" w:color="auto"/>
              <w:right w:val="single" w:sz="4" w:space="0" w:color="auto"/>
            </w:tcBorders>
            <w:shd w:val="clear" w:color="000000" w:fill="92CDDC"/>
            <w:vAlign w:val="center"/>
            <w:hideMark/>
          </w:tcPr>
          <w:p>
            <w:pPr>
              <w:spacing w:after="0" w:line="240" w:lineRule="auto"/>
              <w:jc w:val="left"/>
              <w:rPr>
                <w:rFonts w:eastAsia="Times New Roman"/>
                <w:b/>
                <w:bCs/>
                <w:noProof/>
                <w:color w:val="000000"/>
                <w:szCs w:val="24"/>
                <w:lang w:eastAsia="de-DE"/>
              </w:rPr>
            </w:pPr>
            <w:r>
              <w:rPr>
                <w:rFonts w:eastAsia="Times New Roman"/>
                <w:b/>
                <w:bCs/>
                <w:noProof/>
                <w:color w:val="000000"/>
                <w:szCs w:val="24"/>
                <w:lang w:eastAsia="de-DE"/>
              </w:rPr>
              <w:t>Comment: </w:t>
            </w:r>
          </w:p>
        </w:tc>
      </w:tr>
      <w:tr>
        <w:trPr>
          <w:trHeight w:val="3000"/>
        </w:trPr>
        <w:tc>
          <w:tcPr>
            <w:tcW w:w="2284"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left"/>
              <w:rPr>
                <w:rFonts w:eastAsia="Times New Roman"/>
                <w:b/>
                <w:bCs/>
                <w:noProof/>
                <w:color w:val="000000"/>
                <w:szCs w:val="24"/>
                <w:lang w:val="en-US" w:eastAsia="de-DE"/>
              </w:rPr>
            </w:pPr>
            <w:r>
              <w:rPr>
                <w:rFonts w:eastAsia="Times New Roman"/>
                <w:b/>
                <w:bCs/>
                <w:noProof/>
                <w:color w:val="000000"/>
                <w:szCs w:val="24"/>
                <w:lang w:val="en-US" w:eastAsia="de-DE"/>
              </w:rPr>
              <w:t>Possible scale of contributions of market-based mechanisms under the convention</w:t>
            </w:r>
          </w:p>
        </w:tc>
        <w:tc>
          <w:tcPr>
            <w:tcW w:w="19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left"/>
              <w:rPr>
                <w:rFonts w:eastAsia="Times New Roman"/>
                <w:noProof/>
                <w:color w:val="000000"/>
                <w:szCs w:val="24"/>
                <w:lang w:val="en-US" w:eastAsia="de-DE"/>
              </w:rPr>
            </w:pPr>
            <w:r>
              <w:rPr>
                <w:rFonts w:eastAsia="Times New Roman"/>
                <w:noProof/>
                <w:color w:val="000000"/>
                <w:szCs w:val="24"/>
                <w:lang w:val="en-US" w:eastAsia="de-DE"/>
              </w:rPr>
              <w:t> </w:t>
            </w:r>
          </w:p>
        </w:tc>
        <w:tc>
          <w:tcPr>
            <w:tcW w:w="5693" w:type="dxa"/>
            <w:gridSpan w:val="2"/>
            <w:tcBorders>
              <w:top w:val="nil"/>
              <w:left w:val="nil"/>
              <w:bottom w:val="single" w:sz="4" w:space="0" w:color="auto"/>
              <w:right w:val="single" w:sz="4" w:space="0" w:color="auto"/>
            </w:tcBorders>
            <w:shd w:val="clear" w:color="auto" w:fill="auto"/>
            <w:vAlign w:val="bottom"/>
            <w:hideMark/>
          </w:tcPr>
          <w:p>
            <w:pPr>
              <w:spacing w:after="0" w:line="240" w:lineRule="auto"/>
              <w:jc w:val="left"/>
              <w:rPr>
                <w:rFonts w:eastAsia="Times New Roman"/>
                <w:noProof/>
                <w:color w:val="000000"/>
                <w:szCs w:val="24"/>
                <w:lang w:val="en-US" w:eastAsia="de-DE"/>
              </w:rPr>
            </w:pPr>
            <w:r>
              <w:rPr>
                <w:rFonts w:eastAsia="Times New Roman"/>
                <w:noProof/>
                <w:color w:val="000000"/>
                <w:szCs w:val="24"/>
                <w:lang w:val="en-US" w:eastAsia="de-DE"/>
              </w:rPr>
              <w:t xml:space="preserve">The 2020 Climate and Energy Package allows Certified Emission Reductions (CERs) and Emission Reduction Units (ERUs) to be used for compliance purposes, subject to a number of restrictions in terms of origin and type of project and up to an established limit. In addition, the legislation foresees the possible recognition of units from new market mechanisms. Under the EU ETS the limit does not exceed 50% of the required reduction below 2005 levels. In the sectors not covered by the ETS, annual use shall not exceed to 3 % of each Member States’ non-ETS greenhouse gas emissions in 2005. A limited number of Member States may use an additional 1%, from projects in LDCs or SIDS subject to conditions. </w:t>
            </w:r>
          </w:p>
        </w:tc>
      </w:tr>
      <w:tr>
        <w:trPr>
          <w:trHeight w:val="900"/>
        </w:trPr>
        <w:tc>
          <w:tcPr>
            <w:tcW w:w="2284"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Cs w:val="24"/>
                <w:lang w:eastAsia="de-DE"/>
              </w:rPr>
            </w:pPr>
            <w:r>
              <w:rPr>
                <w:rFonts w:eastAsia="Times New Roman"/>
                <w:noProof/>
                <w:color w:val="000000"/>
                <w:szCs w:val="24"/>
                <w:lang w:eastAsia="de-DE"/>
              </w:rPr>
              <w:t>CERs</w:t>
            </w:r>
          </w:p>
        </w:tc>
        <w:tc>
          <w:tcPr>
            <w:tcW w:w="19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left"/>
              <w:rPr>
                <w:rFonts w:eastAsia="Times New Roman"/>
                <w:noProof/>
                <w:color w:val="000000"/>
                <w:szCs w:val="24"/>
                <w:lang w:eastAsia="de-DE"/>
              </w:rPr>
            </w:pPr>
            <w:r>
              <w:rPr>
                <w:rFonts w:eastAsia="Times New Roman"/>
                <w:noProof/>
                <w:color w:val="000000"/>
                <w:szCs w:val="24"/>
                <w:lang w:eastAsia="de-DE"/>
              </w:rPr>
              <w:t> </w:t>
            </w:r>
          </w:p>
        </w:tc>
        <w:tc>
          <w:tcPr>
            <w:tcW w:w="5693" w:type="dxa"/>
            <w:gridSpan w:val="2"/>
            <w:tcBorders>
              <w:top w:val="nil"/>
              <w:left w:val="nil"/>
              <w:bottom w:val="single" w:sz="4" w:space="0" w:color="auto"/>
              <w:right w:val="single" w:sz="4" w:space="0" w:color="auto"/>
            </w:tcBorders>
            <w:shd w:val="clear" w:color="auto" w:fill="auto"/>
            <w:vAlign w:val="bottom"/>
            <w:hideMark/>
          </w:tcPr>
          <w:p>
            <w:pPr>
              <w:spacing w:after="0" w:line="240" w:lineRule="auto"/>
              <w:jc w:val="left"/>
              <w:rPr>
                <w:rFonts w:eastAsia="Times New Roman"/>
                <w:noProof/>
                <w:color w:val="000000"/>
                <w:szCs w:val="24"/>
                <w:lang w:val="en-US" w:eastAsia="de-DE"/>
              </w:rPr>
            </w:pPr>
            <w:r>
              <w:rPr>
                <w:rFonts w:eastAsia="Times New Roman"/>
                <w:noProof/>
                <w:color w:val="000000"/>
                <w:szCs w:val="24"/>
                <w:lang w:val="en-US" w:eastAsia="de-DE"/>
              </w:rPr>
              <w:t>The use of these units under the ETS Directive and the Effort Sharing Decision is subject to the limits specified above which do not separate between CERs and ERUs, but include additional criteria for the use of CERs.</w:t>
            </w:r>
          </w:p>
        </w:tc>
      </w:tr>
      <w:tr>
        <w:trPr>
          <w:trHeight w:val="900"/>
        </w:trPr>
        <w:tc>
          <w:tcPr>
            <w:tcW w:w="2284" w:type="dxa"/>
            <w:tcBorders>
              <w:top w:val="nil"/>
              <w:left w:val="single" w:sz="4" w:space="0" w:color="auto"/>
              <w:bottom w:val="single" w:sz="4" w:space="0" w:color="auto"/>
              <w:right w:val="single" w:sz="4" w:space="0" w:color="auto"/>
            </w:tcBorders>
            <w:shd w:val="clear" w:color="000000" w:fill="FFFFFF"/>
            <w:vAlign w:val="center"/>
            <w:hideMark/>
          </w:tcPr>
          <w:p>
            <w:pPr>
              <w:spacing w:after="0" w:line="240" w:lineRule="auto"/>
              <w:jc w:val="left"/>
              <w:rPr>
                <w:rFonts w:eastAsia="Times New Roman"/>
                <w:noProof/>
                <w:color w:val="000000"/>
                <w:szCs w:val="24"/>
                <w:lang w:eastAsia="de-DE"/>
              </w:rPr>
            </w:pPr>
            <w:r>
              <w:rPr>
                <w:rFonts w:eastAsia="Times New Roman"/>
                <w:noProof/>
                <w:color w:val="000000"/>
                <w:szCs w:val="24"/>
                <w:lang w:eastAsia="de-DE"/>
              </w:rPr>
              <w:t>ERUs</w:t>
            </w:r>
          </w:p>
        </w:tc>
        <w:tc>
          <w:tcPr>
            <w:tcW w:w="19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left"/>
              <w:rPr>
                <w:rFonts w:eastAsia="Times New Roman"/>
                <w:noProof/>
                <w:color w:val="000000"/>
                <w:szCs w:val="24"/>
                <w:lang w:eastAsia="de-DE"/>
              </w:rPr>
            </w:pPr>
            <w:r>
              <w:rPr>
                <w:rFonts w:eastAsia="Times New Roman"/>
                <w:noProof/>
                <w:color w:val="000000"/>
                <w:szCs w:val="24"/>
                <w:lang w:eastAsia="de-DE"/>
              </w:rPr>
              <w:t> </w:t>
            </w:r>
          </w:p>
        </w:tc>
        <w:tc>
          <w:tcPr>
            <w:tcW w:w="5693" w:type="dxa"/>
            <w:gridSpan w:val="2"/>
            <w:tcBorders>
              <w:top w:val="nil"/>
              <w:left w:val="nil"/>
              <w:bottom w:val="single" w:sz="4" w:space="0" w:color="auto"/>
              <w:right w:val="single" w:sz="4" w:space="0" w:color="auto"/>
            </w:tcBorders>
            <w:shd w:val="clear" w:color="auto" w:fill="auto"/>
            <w:vAlign w:val="bottom"/>
            <w:hideMark/>
          </w:tcPr>
          <w:p>
            <w:pPr>
              <w:spacing w:after="0" w:line="240" w:lineRule="auto"/>
              <w:jc w:val="left"/>
              <w:rPr>
                <w:rFonts w:eastAsia="Times New Roman"/>
                <w:noProof/>
                <w:color w:val="000000"/>
                <w:szCs w:val="24"/>
                <w:lang w:val="en-US" w:eastAsia="de-DE"/>
              </w:rPr>
            </w:pPr>
            <w:r>
              <w:rPr>
                <w:rFonts w:eastAsia="Times New Roman"/>
                <w:noProof/>
                <w:color w:val="000000"/>
                <w:szCs w:val="24"/>
                <w:lang w:val="en-US" w:eastAsia="de-DE"/>
              </w:rPr>
              <w:t>The use of these units under the ETS Directive and the Effort Sharing Decision is subject to the limits specified above which do not separate between CERs and ERUs, but include additional criteria for the use of CERs.</w:t>
            </w:r>
          </w:p>
        </w:tc>
      </w:tr>
      <w:tr>
        <w:trPr>
          <w:trHeight w:val="1200"/>
        </w:trPr>
        <w:tc>
          <w:tcPr>
            <w:tcW w:w="2284"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Cs w:val="24"/>
                <w:lang w:eastAsia="de-DE"/>
              </w:rPr>
            </w:pPr>
            <w:r>
              <w:rPr>
                <w:rFonts w:eastAsia="Times New Roman"/>
                <w:noProof/>
                <w:color w:val="000000"/>
                <w:szCs w:val="24"/>
                <w:lang w:eastAsia="de-DE"/>
              </w:rPr>
              <w:t>AAUs</w:t>
            </w:r>
            <w:r>
              <w:rPr>
                <w:rFonts w:eastAsia="Times New Roman"/>
                <w:noProof/>
                <w:color w:val="000000"/>
                <w:szCs w:val="24"/>
                <w:vertAlign w:val="superscript"/>
                <w:lang w:eastAsia="de-DE"/>
              </w:rPr>
              <w:t>b</w:t>
            </w:r>
          </w:p>
        </w:tc>
        <w:tc>
          <w:tcPr>
            <w:tcW w:w="19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left"/>
              <w:rPr>
                <w:rFonts w:eastAsia="Times New Roman"/>
                <w:noProof/>
                <w:color w:val="000000"/>
                <w:szCs w:val="24"/>
                <w:lang w:eastAsia="de-DE"/>
              </w:rPr>
            </w:pPr>
            <w:r>
              <w:rPr>
                <w:rFonts w:eastAsia="Times New Roman"/>
                <w:noProof/>
                <w:color w:val="000000"/>
                <w:szCs w:val="24"/>
                <w:lang w:eastAsia="de-DE"/>
              </w:rPr>
              <w:t> </w:t>
            </w:r>
          </w:p>
        </w:tc>
        <w:tc>
          <w:tcPr>
            <w:tcW w:w="5693" w:type="dxa"/>
            <w:gridSpan w:val="2"/>
            <w:tcBorders>
              <w:top w:val="nil"/>
              <w:left w:val="nil"/>
              <w:bottom w:val="single" w:sz="4" w:space="0" w:color="auto"/>
              <w:right w:val="single" w:sz="4" w:space="0" w:color="auto"/>
            </w:tcBorders>
            <w:shd w:val="clear" w:color="auto" w:fill="auto"/>
            <w:vAlign w:val="bottom"/>
            <w:hideMark/>
          </w:tcPr>
          <w:p>
            <w:pPr>
              <w:spacing w:after="0" w:line="240" w:lineRule="auto"/>
              <w:jc w:val="left"/>
              <w:rPr>
                <w:rFonts w:eastAsia="Times New Roman"/>
                <w:noProof/>
                <w:color w:val="000000"/>
                <w:szCs w:val="24"/>
                <w:lang w:val="en-US" w:eastAsia="de-DE"/>
              </w:rPr>
            </w:pPr>
            <w:r>
              <w:rPr>
                <w:rFonts w:eastAsia="Times New Roman"/>
                <w:noProof/>
                <w:color w:val="000000"/>
                <w:szCs w:val="24"/>
                <w:lang w:val="en-US" w:eastAsia="de-DE"/>
              </w:rPr>
              <w:t>AAUs for the period 2013-2020 have not yet been determined. The EU expects to achieve its 20% target for the period 2013-2020 with the implementation of the ETS Directive and the ESD Decision in the non-ETS sectors which do not allow the use of AAUs from non-EU Parties.</w:t>
            </w:r>
          </w:p>
        </w:tc>
      </w:tr>
      <w:tr>
        <w:trPr>
          <w:trHeight w:val="1500"/>
        </w:trPr>
        <w:tc>
          <w:tcPr>
            <w:tcW w:w="2284" w:type="dxa"/>
            <w:tcBorders>
              <w:top w:val="nil"/>
              <w:left w:val="single" w:sz="4" w:space="0" w:color="auto"/>
              <w:bottom w:val="single" w:sz="4" w:space="0" w:color="auto"/>
              <w:right w:val="single" w:sz="4" w:space="0" w:color="auto"/>
            </w:tcBorders>
            <w:shd w:val="clear" w:color="000000" w:fill="FFFFFF"/>
            <w:vAlign w:val="center"/>
            <w:hideMark/>
          </w:tcPr>
          <w:p>
            <w:pPr>
              <w:spacing w:after="0" w:line="240" w:lineRule="auto"/>
              <w:jc w:val="left"/>
              <w:rPr>
                <w:rFonts w:eastAsia="Times New Roman"/>
                <w:noProof/>
                <w:color w:val="000000"/>
                <w:szCs w:val="24"/>
                <w:lang w:eastAsia="de-DE"/>
              </w:rPr>
            </w:pPr>
            <w:r>
              <w:rPr>
                <w:rFonts w:eastAsia="Times New Roman"/>
                <w:noProof/>
                <w:color w:val="000000"/>
                <w:szCs w:val="24"/>
                <w:lang w:eastAsia="de-DE"/>
              </w:rPr>
              <w:t>Carry-over units</w:t>
            </w:r>
            <w:r>
              <w:rPr>
                <w:rFonts w:eastAsia="Times New Roman"/>
                <w:noProof/>
                <w:color w:val="000000"/>
                <w:szCs w:val="24"/>
                <w:vertAlign w:val="superscript"/>
                <w:lang w:eastAsia="de-DE"/>
              </w:rPr>
              <w:t>c</w:t>
            </w:r>
          </w:p>
        </w:tc>
        <w:tc>
          <w:tcPr>
            <w:tcW w:w="19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left"/>
              <w:rPr>
                <w:rFonts w:eastAsia="Times New Roman"/>
                <w:noProof/>
                <w:color w:val="000000"/>
                <w:szCs w:val="24"/>
                <w:lang w:eastAsia="de-DE"/>
              </w:rPr>
            </w:pPr>
            <w:r>
              <w:rPr>
                <w:rFonts w:eastAsia="Times New Roman"/>
                <w:noProof/>
                <w:color w:val="000000"/>
                <w:szCs w:val="24"/>
                <w:lang w:eastAsia="de-DE"/>
              </w:rPr>
              <w:t> </w:t>
            </w:r>
          </w:p>
        </w:tc>
        <w:tc>
          <w:tcPr>
            <w:tcW w:w="5693" w:type="dxa"/>
            <w:gridSpan w:val="2"/>
            <w:tcBorders>
              <w:top w:val="nil"/>
              <w:left w:val="nil"/>
              <w:bottom w:val="single" w:sz="4" w:space="0" w:color="auto"/>
              <w:right w:val="single" w:sz="4" w:space="0" w:color="auto"/>
            </w:tcBorders>
            <w:shd w:val="clear" w:color="auto" w:fill="auto"/>
            <w:vAlign w:val="bottom"/>
            <w:hideMark/>
          </w:tcPr>
          <w:p>
            <w:pPr>
              <w:spacing w:after="0" w:line="240" w:lineRule="auto"/>
              <w:jc w:val="left"/>
              <w:rPr>
                <w:rFonts w:eastAsia="Times New Roman"/>
                <w:noProof/>
                <w:color w:val="000000"/>
                <w:szCs w:val="24"/>
                <w:lang w:val="en-US" w:eastAsia="de-DE"/>
              </w:rPr>
            </w:pPr>
            <w:r>
              <w:rPr>
                <w:rFonts w:eastAsia="Times New Roman"/>
                <w:noProof/>
                <w:color w:val="000000"/>
                <w:szCs w:val="24"/>
                <w:lang w:val="en-US" w:eastAsia="de-DE"/>
              </w:rPr>
              <w:t xml:space="preserve">The time-period of the Convention target is from 1990-2020, no carry-over units will be used to achieve the 2020 target. </w:t>
            </w:r>
          </w:p>
        </w:tc>
      </w:tr>
      <w:tr>
        <w:trPr>
          <w:trHeight w:val="1260"/>
        </w:trPr>
        <w:tc>
          <w:tcPr>
            <w:tcW w:w="2284" w:type="dxa"/>
            <w:tcBorders>
              <w:top w:val="nil"/>
              <w:left w:val="single" w:sz="4" w:space="0" w:color="auto"/>
              <w:bottom w:val="single" w:sz="4" w:space="0" w:color="auto"/>
              <w:right w:val="single" w:sz="4" w:space="0" w:color="auto"/>
            </w:tcBorders>
            <w:shd w:val="clear" w:color="000000" w:fill="92CDDC"/>
            <w:vAlign w:val="center"/>
            <w:hideMark/>
          </w:tcPr>
          <w:p>
            <w:pPr>
              <w:spacing w:after="0" w:line="240" w:lineRule="auto"/>
              <w:jc w:val="left"/>
              <w:rPr>
                <w:rFonts w:eastAsia="Times New Roman"/>
                <w:b/>
                <w:bCs/>
                <w:noProof/>
                <w:color w:val="000000"/>
                <w:szCs w:val="24"/>
                <w:lang w:val="en-US" w:eastAsia="de-DE"/>
              </w:rPr>
            </w:pPr>
            <w:r>
              <w:rPr>
                <w:rFonts w:eastAsia="Times New Roman"/>
                <w:b/>
                <w:bCs/>
                <w:noProof/>
                <w:color w:val="000000"/>
                <w:szCs w:val="24"/>
                <w:lang w:val="en-US" w:eastAsia="de-DE"/>
              </w:rPr>
              <w:t>Other mechanism units under the Convention (specify)</w:t>
            </w:r>
            <w:r>
              <w:rPr>
                <w:rFonts w:eastAsia="Times New Roman"/>
                <w:b/>
                <w:bCs/>
                <w:noProof/>
                <w:color w:val="000000"/>
                <w:szCs w:val="24"/>
                <w:vertAlign w:val="superscript"/>
                <w:lang w:val="en-US" w:eastAsia="de-DE"/>
              </w:rPr>
              <w:t>d</w:t>
            </w:r>
          </w:p>
        </w:tc>
        <w:tc>
          <w:tcPr>
            <w:tcW w:w="19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left"/>
              <w:rPr>
                <w:rFonts w:eastAsia="Times New Roman"/>
                <w:noProof/>
                <w:color w:val="000000"/>
                <w:szCs w:val="24"/>
                <w:lang w:val="en-US" w:eastAsia="de-DE"/>
              </w:rPr>
            </w:pPr>
            <w:r>
              <w:rPr>
                <w:rFonts w:eastAsia="Times New Roman"/>
                <w:noProof/>
                <w:color w:val="000000"/>
                <w:szCs w:val="24"/>
                <w:lang w:val="en-US" w:eastAsia="de-DE"/>
              </w:rPr>
              <w:t> </w:t>
            </w:r>
          </w:p>
        </w:tc>
        <w:tc>
          <w:tcPr>
            <w:tcW w:w="5693" w:type="dxa"/>
            <w:gridSpan w:val="2"/>
            <w:tcBorders>
              <w:top w:val="nil"/>
              <w:left w:val="nil"/>
              <w:bottom w:val="single" w:sz="4" w:space="0" w:color="auto"/>
              <w:right w:val="single" w:sz="4" w:space="0" w:color="auto"/>
            </w:tcBorders>
            <w:shd w:val="clear" w:color="auto" w:fill="auto"/>
            <w:vAlign w:val="bottom"/>
            <w:hideMark/>
          </w:tcPr>
          <w:p>
            <w:pPr>
              <w:spacing w:after="0" w:line="240" w:lineRule="auto"/>
              <w:jc w:val="left"/>
              <w:rPr>
                <w:rFonts w:eastAsia="Times New Roman"/>
                <w:noProof/>
                <w:color w:val="000000"/>
                <w:szCs w:val="24"/>
                <w:lang w:val="en-US" w:eastAsia="de-DE"/>
              </w:rPr>
            </w:pPr>
            <w:r>
              <w:rPr>
                <w:rFonts w:eastAsia="Times New Roman"/>
                <w:noProof/>
                <w:color w:val="000000"/>
                <w:szCs w:val="24"/>
                <w:lang w:val="en-US" w:eastAsia="de-DE"/>
              </w:rPr>
              <w:t>There are general provisions in place in the EU legislation that allow for the use of such units provided that the necessary legal arrangements for the creation of such units have been put in place in the EU which is not the case at the point in time of the provision of this report.</w:t>
            </w:r>
          </w:p>
        </w:tc>
      </w:tr>
      <w:tr>
        <w:trPr>
          <w:trHeight w:val="1935"/>
        </w:trPr>
        <w:tc>
          <w:tcPr>
            <w:tcW w:w="2284" w:type="dxa"/>
            <w:tcBorders>
              <w:top w:val="nil"/>
              <w:left w:val="single" w:sz="4" w:space="0" w:color="auto"/>
              <w:bottom w:val="single" w:sz="4" w:space="0" w:color="auto"/>
              <w:right w:val="single" w:sz="4" w:space="0" w:color="auto"/>
            </w:tcBorders>
            <w:shd w:val="clear" w:color="000000" w:fill="FFFFFF"/>
            <w:vAlign w:val="center"/>
            <w:hideMark/>
          </w:tcPr>
          <w:p>
            <w:pPr>
              <w:spacing w:after="0" w:line="240" w:lineRule="auto"/>
              <w:jc w:val="left"/>
              <w:rPr>
                <w:rFonts w:eastAsia="Times New Roman"/>
                <w:noProof/>
                <w:color w:val="000000"/>
                <w:szCs w:val="24"/>
                <w:lang w:eastAsia="de-DE"/>
              </w:rPr>
            </w:pPr>
            <w:r>
              <w:rPr>
                <w:rFonts w:eastAsia="Times New Roman"/>
                <w:noProof/>
                <w:color w:val="000000"/>
                <w:szCs w:val="24"/>
                <w:lang w:eastAsia="de-DE"/>
              </w:rPr>
              <w:t>Any other information:</w:t>
            </w:r>
          </w:p>
        </w:tc>
        <w:tc>
          <w:tcPr>
            <w:tcW w:w="19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left"/>
              <w:rPr>
                <w:rFonts w:eastAsia="Times New Roman"/>
                <w:noProof/>
                <w:color w:val="000000"/>
                <w:szCs w:val="24"/>
                <w:lang w:eastAsia="de-DE"/>
              </w:rPr>
            </w:pPr>
            <w:r>
              <w:rPr>
                <w:rFonts w:eastAsia="Times New Roman"/>
                <w:noProof/>
                <w:color w:val="000000"/>
                <w:szCs w:val="24"/>
                <w:lang w:eastAsia="de-DE"/>
              </w:rPr>
              <w:t> </w:t>
            </w:r>
          </w:p>
        </w:tc>
        <w:tc>
          <w:tcPr>
            <w:tcW w:w="5693" w:type="dxa"/>
            <w:gridSpan w:val="2"/>
            <w:tcBorders>
              <w:top w:val="nil"/>
              <w:left w:val="nil"/>
              <w:bottom w:val="single" w:sz="4" w:space="0" w:color="auto"/>
              <w:right w:val="single" w:sz="4" w:space="0" w:color="auto"/>
            </w:tcBorders>
            <w:shd w:val="clear" w:color="auto" w:fill="auto"/>
            <w:vAlign w:val="bottom"/>
            <w:hideMark/>
          </w:tcPr>
          <w:p>
            <w:pPr>
              <w:spacing w:after="0" w:line="240" w:lineRule="auto"/>
              <w:jc w:val="left"/>
              <w:rPr>
                <w:rFonts w:eastAsia="Times New Roman"/>
                <w:noProof/>
                <w:color w:val="000000"/>
                <w:szCs w:val="24"/>
                <w:lang w:val="en-US" w:eastAsia="de-DE"/>
              </w:rPr>
            </w:pPr>
            <w:r>
              <w:rPr>
                <w:rFonts w:eastAsia="Times New Roman"/>
                <w:noProof/>
                <w:color w:val="000000"/>
                <w:szCs w:val="24"/>
                <w:lang w:val="en-US" w:eastAsia="de-DE"/>
              </w:rPr>
              <w:t>In December 2009, the European Council reiterated the conditional offer of the EU to move to a 30% reduction by 2020 compared to 1990 levels as part of a global and comprehensive agreement for the period beyond 2012, provided that other developed countries commit themselves to comparable emission reductions and that developing countries contribute adequately according to their responsibilities and respective capabilities.</w:t>
            </w:r>
          </w:p>
        </w:tc>
      </w:tr>
      <w:tr>
        <w:trPr>
          <w:trHeight w:val="600"/>
        </w:trPr>
        <w:tc>
          <w:tcPr>
            <w:tcW w:w="2284" w:type="dxa"/>
            <w:tcBorders>
              <w:top w:val="nil"/>
              <w:left w:val="single" w:sz="4" w:space="0" w:color="auto"/>
              <w:bottom w:val="single" w:sz="4" w:space="0" w:color="auto"/>
              <w:right w:val="single" w:sz="4" w:space="0" w:color="auto"/>
            </w:tcBorders>
            <w:shd w:val="clear" w:color="000000" w:fill="92CDDC"/>
            <w:vAlign w:val="center"/>
            <w:hideMark/>
          </w:tcPr>
          <w:p>
            <w:pPr>
              <w:spacing w:after="0" w:line="240" w:lineRule="auto"/>
              <w:jc w:val="left"/>
              <w:rPr>
                <w:rFonts w:eastAsia="Times New Roman"/>
                <w:b/>
                <w:bCs/>
                <w:noProof/>
                <w:color w:val="000000"/>
                <w:szCs w:val="24"/>
                <w:lang w:val="en-US" w:eastAsia="de-DE"/>
              </w:rPr>
            </w:pPr>
            <w:r>
              <w:rPr>
                <w:rFonts w:eastAsia="Times New Roman"/>
                <w:b/>
                <w:bCs/>
                <w:noProof/>
                <w:color w:val="000000"/>
                <w:szCs w:val="24"/>
                <w:lang w:val="en-US" w:eastAsia="de-DE"/>
              </w:rPr>
              <w:t>Possible scale of contributions of other market-based mechanisms</w:t>
            </w:r>
          </w:p>
        </w:tc>
        <w:tc>
          <w:tcPr>
            <w:tcW w:w="19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left"/>
              <w:rPr>
                <w:rFonts w:eastAsia="Times New Roman"/>
                <w:noProof/>
                <w:color w:val="000000"/>
                <w:szCs w:val="24"/>
                <w:lang w:val="en-US" w:eastAsia="de-DE"/>
              </w:rPr>
            </w:pPr>
            <w:r>
              <w:rPr>
                <w:rFonts w:eastAsia="Times New Roman"/>
                <w:noProof/>
                <w:color w:val="000000"/>
                <w:szCs w:val="24"/>
                <w:lang w:val="en-US" w:eastAsia="de-DE"/>
              </w:rPr>
              <w:t> </w:t>
            </w:r>
          </w:p>
        </w:tc>
        <w:tc>
          <w:tcPr>
            <w:tcW w:w="5693" w:type="dxa"/>
            <w:gridSpan w:val="2"/>
            <w:tcBorders>
              <w:top w:val="nil"/>
              <w:left w:val="nil"/>
              <w:bottom w:val="single" w:sz="4" w:space="0" w:color="auto"/>
              <w:right w:val="single" w:sz="4" w:space="0" w:color="auto"/>
            </w:tcBorders>
            <w:shd w:val="clear" w:color="auto" w:fill="auto"/>
            <w:noWrap/>
            <w:hideMark/>
          </w:tcPr>
          <w:p>
            <w:pPr>
              <w:spacing w:after="0" w:line="240" w:lineRule="auto"/>
              <w:jc w:val="left"/>
              <w:rPr>
                <w:rFonts w:eastAsia="Times New Roman"/>
                <w:noProof/>
                <w:color w:val="000000"/>
                <w:szCs w:val="24"/>
                <w:lang w:eastAsia="de-DE"/>
              </w:rPr>
            </w:pPr>
            <w:r>
              <w:rPr>
                <w:rFonts w:eastAsia="Times New Roman"/>
                <w:noProof/>
                <w:color w:val="000000"/>
                <w:szCs w:val="24"/>
                <w:lang w:eastAsia="de-DE"/>
              </w:rPr>
              <w:t>None</w:t>
            </w:r>
          </w:p>
        </w:tc>
      </w:tr>
    </w:tbl>
    <w:p>
      <w:pPr>
        <w:pStyle w:val="Standardtext"/>
        <w:rPr>
          <w:noProof/>
        </w:rPr>
        <w:sectPr>
          <w:headerReference w:type="even" r:id="rId33"/>
          <w:headerReference w:type="default" r:id="rId34"/>
          <w:footerReference w:type="even" r:id="rId35"/>
          <w:footerReference w:type="default" r:id="rId36"/>
          <w:headerReference w:type="first" r:id="rId37"/>
          <w:footerReference w:type="first" r:id="rId38"/>
          <w:pgSz w:w="11907" w:h="16839" w:code="9"/>
          <w:pgMar w:top="1134" w:right="1418" w:bottom="1134" w:left="1418" w:header="1134" w:footer="1134" w:gutter="0"/>
          <w:paperSrc w:first="15" w:other="15"/>
          <w:cols w:space="720"/>
          <w:docGrid w:linePitch="299"/>
        </w:sectPr>
      </w:pPr>
    </w:p>
    <w:p>
      <w:pPr>
        <w:pStyle w:val="Heading1"/>
        <w:rPr>
          <w:noProof/>
          <w:lang w:val="en-GB"/>
        </w:rPr>
      </w:pPr>
      <w:bookmarkStart w:id="16" w:name="_Toc434423711"/>
      <w:bookmarkStart w:id="17" w:name="_Toc434423953"/>
      <w:bookmarkStart w:id="18" w:name="_Toc434424004"/>
      <w:r>
        <w:rPr>
          <w:noProof/>
          <w:lang w:val="en-GB"/>
        </w:rPr>
        <w:t>CTF Table 3: Progress in achievement of the quantified economy-wide emission reduction target: information on mitigation actions and their effects</w:t>
      </w:r>
      <w:bookmarkEnd w:id="16"/>
      <w:bookmarkEnd w:id="17"/>
      <w:bookmarkEnd w:id="18"/>
      <w:r>
        <w:rPr>
          <w:noProof/>
          <w:lang w:val="en-GB"/>
        </w:rPr>
        <w:t xml:space="preserve"> </w:t>
      </w:r>
      <w:bookmarkEnd w:id="3"/>
      <w:bookmarkEnd w:id="4"/>
      <w:bookmarkEnd w:id="5"/>
      <w:bookmarkEnd w:id="6"/>
      <w:bookmarkEnd w:id="7"/>
      <w:bookmarkEnd w:id="8"/>
    </w:p>
    <w:tbl>
      <w:tblPr>
        <w:tblpPr w:leftFromText="180" w:rightFromText="180" w:vertAnchor="text" w:tblpY="1"/>
        <w:tblOverlap w:val="never"/>
        <w:tblW w:w="52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8"/>
        <w:gridCol w:w="868"/>
        <w:gridCol w:w="979"/>
        <w:gridCol w:w="1587"/>
        <w:gridCol w:w="856"/>
        <w:gridCol w:w="1082"/>
        <w:gridCol w:w="1482"/>
        <w:gridCol w:w="748"/>
        <w:gridCol w:w="20"/>
        <w:gridCol w:w="520"/>
        <w:gridCol w:w="690"/>
        <w:gridCol w:w="585"/>
        <w:gridCol w:w="512"/>
        <w:gridCol w:w="585"/>
        <w:gridCol w:w="512"/>
        <w:gridCol w:w="514"/>
        <w:gridCol w:w="1918"/>
      </w:tblGrid>
      <w:tr>
        <w:trPr>
          <w:trHeight w:val="20"/>
          <w:tblHeader/>
        </w:trPr>
        <w:tc>
          <w:tcPr>
            <w:tcW w:w="396" w:type="pct"/>
            <w:vMerge w:val="restart"/>
            <w:tcBorders>
              <w:top w:val="single" w:sz="4" w:space="0" w:color="auto"/>
              <w:left w:val="single" w:sz="4" w:space="0" w:color="auto"/>
              <w:bottom w:val="single" w:sz="4" w:space="0" w:color="auto"/>
              <w:right w:val="single" w:sz="4" w:space="0" w:color="auto"/>
            </w:tcBorders>
            <w:shd w:val="clear" w:color="auto" w:fill="BFBFBF"/>
            <w:tcMar>
              <w:top w:w="0" w:type="dxa"/>
              <w:left w:w="0" w:type="dxa"/>
              <w:bottom w:w="0" w:type="dxa"/>
              <w:right w:w="0" w:type="dxa"/>
            </w:tcMar>
            <w:vAlign w:val="center"/>
            <w:hideMark/>
          </w:tcPr>
          <w:p>
            <w:pPr>
              <w:jc w:val="left"/>
              <w:rPr>
                <w:noProof/>
                <w:sz w:val="10"/>
                <w:szCs w:val="10"/>
                <w:lang w:val="en-GB"/>
              </w:rPr>
            </w:pPr>
            <w:r>
              <w:rPr>
                <w:noProof/>
                <w:sz w:val="10"/>
                <w:szCs w:val="10"/>
                <w:lang w:val="en-GB"/>
              </w:rPr>
              <w:t xml:space="preserve">Name of mitigation action </w:t>
            </w:r>
            <w:r>
              <w:rPr>
                <w:noProof/>
                <w:sz w:val="10"/>
                <w:szCs w:val="10"/>
                <w:vertAlign w:val="superscript"/>
                <w:lang w:val="en-GB"/>
              </w:rPr>
              <w:t>a</w:t>
            </w:r>
          </w:p>
        </w:tc>
        <w:tc>
          <w:tcPr>
            <w:tcW w:w="297" w:type="pct"/>
            <w:vMerge w:val="restart"/>
            <w:tcBorders>
              <w:top w:val="single" w:sz="4" w:space="0" w:color="auto"/>
              <w:left w:val="single" w:sz="4" w:space="0" w:color="auto"/>
              <w:bottom w:val="single" w:sz="4" w:space="0" w:color="auto"/>
              <w:right w:val="single" w:sz="4" w:space="0" w:color="auto"/>
            </w:tcBorders>
            <w:shd w:val="clear" w:color="auto" w:fill="BFBFBF"/>
            <w:tcMar>
              <w:top w:w="0" w:type="dxa"/>
              <w:left w:w="0" w:type="dxa"/>
              <w:bottom w:w="0" w:type="dxa"/>
              <w:right w:w="0" w:type="dxa"/>
            </w:tcMar>
            <w:vAlign w:val="center"/>
            <w:hideMark/>
          </w:tcPr>
          <w:p>
            <w:pPr>
              <w:jc w:val="left"/>
              <w:rPr>
                <w:noProof/>
                <w:sz w:val="10"/>
                <w:szCs w:val="10"/>
              </w:rPr>
            </w:pPr>
            <w:r>
              <w:rPr>
                <w:noProof/>
                <w:sz w:val="10"/>
                <w:szCs w:val="10"/>
              </w:rPr>
              <w:t xml:space="preserve">Sectors affected </w:t>
            </w:r>
            <w:r>
              <w:rPr>
                <w:noProof/>
                <w:sz w:val="10"/>
                <w:szCs w:val="10"/>
                <w:vertAlign w:val="superscript"/>
              </w:rPr>
              <w:t>b</w:t>
            </w:r>
          </w:p>
        </w:tc>
        <w:tc>
          <w:tcPr>
            <w:tcW w:w="335" w:type="pct"/>
            <w:vMerge w:val="restart"/>
            <w:tcBorders>
              <w:top w:val="single" w:sz="4" w:space="0" w:color="auto"/>
              <w:left w:val="single" w:sz="4" w:space="0" w:color="auto"/>
              <w:bottom w:val="single" w:sz="4" w:space="0" w:color="auto"/>
              <w:right w:val="single" w:sz="4" w:space="0" w:color="auto"/>
            </w:tcBorders>
            <w:shd w:val="clear" w:color="auto" w:fill="BFBFBF"/>
            <w:tcMar>
              <w:top w:w="0" w:type="dxa"/>
              <w:left w:w="0" w:type="dxa"/>
              <w:bottom w:w="0" w:type="dxa"/>
              <w:right w:w="0" w:type="dxa"/>
            </w:tcMar>
            <w:vAlign w:val="center"/>
            <w:hideMark/>
          </w:tcPr>
          <w:p>
            <w:pPr>
              <w:jc w:val="left"/>
              <w:rPr>
                <w:noProof/>
                <w:sz w:val="10"/>
                <w:szCs w:val="10"/>
              </w:rPr>
            </w:pPr>
            <w:r>
              <w:rPr>
                <w:noProof/>
                <w:sz w:val="10"/>
                <w:szCs w:val="10"/>
              </w:rPr>
              <w:t xml:space="preserve">GHGs affected </w:t>
            </w:r>
          </w:p>
        </w:tc>
        <w:tc>
          <w:tcPr>
            <w:tcW w:w="543" w:type="pct"/>
            <w:vMerge w:val="restart"/>
            <w:tcBorders>
              <w:top w:val="single" w:sz="4" w:space="0" w:color="auto"/>
              <w:left w:val="single" w:sz="4" w:space="0" w:color="auto"/>
              <w:bottom w:val="single" w:sz="4" w:space="0" w:color="auto"/>
              <w:right w:val="single" w:sz="4" w:space="0" w:color="auto"/>
            </w:tcBorders>
            <w:shd w:val="clear" w:color="auto" w:fill="BFBFBF"/>
            <w:tcMar>
              <w:top w:w="0" w:type="dxa"/>
              <w:left w:w="0" w:type="dxa"/>
              <w:bottom w:w="0" w:type="dxa"/>
              <w:right w:w="0" w:type="dxa"/>
            </w:tcMar>
            <w:vAlign w:val="center"/>
            <w:hideMark/>
          </w:tcPr>
          <w:p>
            <w:pPr>
              <w:jc w:val="left"/>
              <w:rPr>
                <w:noProof/>
                <w:sz w:val="10"/>
                <w:szCs w:val="10"/>
                <w:lang w:val="en-GB"/>
              </w:rPr>
            </w:pPr>
            <w:r>
              <w:rPr>
                <w:noProof/>
                <w:sz w:val="10"/>
                <w:szCs w:val="10"/>
                <w:lang w:val="en-GB"/>
              </w:rPr>
              <w:t>Objective and/or activity affected</w:t>
            </w:r>
          </w:p>
        </w:tc>
        <w:tc>
          <w:tcPr>
            <w:tcW w:w="293" w:type="pct"/>
            <w:vMerge w:val="restart"/>
            <w:tcBorders>
              <w:top w:val="single" w:sz="4" w:space="0" w:color="auto"/>
              <w:left w:val="single" w:sz="4" w:space="0" w:color="auto"/>
              <w:bottom w:val="single" w:sz="4" w:space="0" w:color="auto"/>
              <w:right w:val="single" w:sz="4" w:space="0" w:color="auto"/>
            </w:tcBorders>
            <w:shd w:val="clear" w:color="auto" w:fill="BFBFBF"/>
            <w:tcMar>
              <w:top w:w="0" w:type="dxa"/>
              <w:left w:w="0" w:type="dxa"/>
              <w:bottom w:w="0" w:type="dxa"/>
              <w:right w:w="0" w:type="dxa"/>
            </w:tcMar>
            <w:vAlign w:val="center"/>
            <w:hideMark/>
          </w:tcPr>
          <w:p>
            <w:pPr>
              <w:jc w:val="left"/>
              <w:rPr>
                <w:noProof/>
                <w:sz w:val="10"/>
                <w:szCs w:val="10"/>
              </w:rPr>
            </w:pPr>
            <w:r>
              <w:rPr>
                <w:noProof/>
                <w:sz w:val="10"/>
                <w:szCs w:val="10"/>
              </w:rPr>
              <w:t xml:space="preserve">Type of instrument </w:t>
            </w:r>
            <w:r>
              <w:rPr>
                <w:noProof/>
                <w:sz w:val="10"/>
                <w:szCs w:val="10"/>
                <w:vertAlign w:val="superscript"/>
              </w:rPr>
              <w:t>c</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BFBFBF"/>
            <w:tcMar>
              <w:top w:w="0" w:type="dxa"/>
              <w:left w:w="0" w:type="dxa"/>
              <w:bottom w:w="0" w:type="dxa"/>
              <w:right w:w="0" w:type="dxa"/>
            </w:tcMar>
            <w:vAlign w:val="center"/>
            <w:hideMark/>
          </w:tcPr>
          <w:p>
            <w:pPr>
              <w:jc w:val="left"/>
              <w:rPr>
                <w:noProof/>
                <w:sz w:val="10"/>
                <w:szCs w:val="10"/>
              </w:rPr>
            </w:pPr>
            <w:r>
              <w:rPr>
                <w:noProof/>
                <w:sz w:val="10"/>
                <w:szCs w:val="10"/>
              </w:rPr>
              <w:t xml:space="preserve">Status of implementation </w:t>
            </w:r>
            <w:r>
              <w:rPr>
                <w:noProof/>
                <w:sz w:val="10"/>
                <w:szCs w:val="10"/>
                <w:vertAlign w:val="superscript"/>
              </w:rPr>
              <w:t>d</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BFBFBF"/>
            <w:tcMar>
              <w:top w:w="0" w:type="dxa"/>
              <w:left w:w="0" w:type="dxa"/>
              <w:bottom w:w="0" w:type="dxa"/>
              <w:right w:w="0" w:type="dxa"/>
            </w:tcMar>
            <w:vAlign w:val="center"/>
            <w:hideMark/>
          </w:tcPr>
          <w:p>
            <w:pPr>
              <w:jc w:val="left"/>
              <w:rPr>
                <w:noProof/>
                <w:sz w:val="10"/>
                <w:szCs w:val="10"/>
              </w:rPr>
            </w:pPr>
            <w:r>
              <w:rPr>
                <w:noProof/>
                <w:sz w:val="10"/>
                <w:szCs w:val="10"/>
              </w:rPr>
              <w:t xml:space="preserve">Brief description </w:t>
            </w:r>
            <w:r>
              <w:rPr>
                <w:noProof/>
                <w:sz w:val="10"/>
                <w:szCs w:val="10"/>
                <w:vertAlign w:val="superscript"/>
              </w:rPr>
              <w:t>e</w:t>
            </w:r>
          </w:p>
        </w:tc>
        <w:tc>
          <w:tcPr>
            <w:tcW w:w="256" w:type="pct"/>
            <w:vMerge w:val="restart"/>
            <w:tcBorders>
              <w:top w:val="single" w:sz="4" w:space="0" w:color="auto"/>
              <w:left w:val="single" w:sz="4" w:space="0" w:color="auto"/>
              <w:bottom w:val="single" w:sz="4" w:space="0" w:color="auto"/>
              <w:right w:val="single" w:sz="4" w:space="0" w:color="auto"/>
            </w:tcBorders>
            <w:shd w:val="clear" w:color="auto" w:fill="BFBFBF"/>
            <w:tcMar>
              <w:top w:w="0" w:type="dxa"/>
              <w:left w:w="0" w:type="dxa"/>
              <w:bottom w:w="0" w:type="dxa"/>
              <w:right w:w="0" w:type="dxa"/>
            </w:tcMar>
            <w:vAlign w:val="center"/>
            <w:hideMark/>
          </w:tcPr>
          <w:p>
            <w:pPr>
              <w:jc w:val="left"/>
              <w:rPr>
                <w:noProof/>
                <w:sz w:val="10"/>
                <w:szCs w:val="10"/>
              </w:rPr>
            </w:pPr>
            <w:r>
              <w:rPr>
                <w:noProof/>
                <w:sz w:val="10"/>
                <w:szCs w:val="10"/>
              </w:rPr>
              <w:t>Start year of implementation</w:t>
            </w:r>
          </w:p>
        </w:tc>
        <w:tc>
          <w:tcPr>
            <w:tcW w:w="421" w:type="pct"/>
            <w:gridSpan w:val="3"/>
            <w:vMerge w:val="restart"/>
            <w:tcBorders>
              <w:top w:val="single" w:sz="4" w:space="0" w:color="auto"/>
              <w:left w:val="single" w:sz="4" w:space="0" w:color="auto"/>
              <w:bottom w:val="single" w:sz="4" w:space="0" w:color="auto"/>
              <w:right w:val="single" w:sz="4" w:space="0" w:color="auto"/>
            </w:tcBorders>
            <w:shd w:val="clear" w:color="auto" w:fill="BFBFBF"/>
            <w:tcMar>
              <w:top w:w="0" w:type="dxa"/>
              <w:left w:w="0" w:type="dxa"/>
              <w:bottom w:w="0" w:type="dxa"/>
              <w:right w:w="0" w:type="dxa"/>
            </w:tcMar>
            <w:vAlign w:val="center"/>
            <w:hideMark/>
          </w:tcPr>
          <w:p>
            <w:pPr>
              <w:jc w:val="left"/>
              <w:rPr>
                <w:noProof/>
                <w:sz w:val="10"/>
                <w:szCs w:val="10"/>
              </w:rPr>
            </w:pPr>
            <w:r>
              <w:rPr>
                <w:noProof/>
                <w:sz w:val="10"/>
                <w:szCs w:val="10"/>
              </w:rPr>
              <w:t>Implementing entity or entities</w:t>
            </w:r>
          </w:p>
        </w:tc>
        <w:tc>
          <w:tcPr>
            <w:tcW w:w="926" w:type="pct"/>
            <w:gridSpan w:val="5"/>
            <w:tcBorders>
              <w:top w:val="single" w:sz="4" w:space="0" w:color="auto"/>
              <w:left w:val="single" w:sz="4" w:space="0" w:color="auto"/>
              <w:bottom w:val="single" w:sz="4" w:space="0" w:color="auto"/>
              <w:right w:val="single" w:sz="4" w:space="0" w:color="auto"/>
            </w:tcBorders>
            <w:shd w:val="clear" w:color="auto" w:fill="BFBFBF"/>
            <w:tcMar>
              <w:top w:w="0" w:type="dxa"/>
              <w:left w:w="0" w:type="dxa"/>
              <w:bottom w:w="0" w:type="dxa"/>
              <w:right w:w="0" w:type="dxa"/>
            </w:tcMar>
            <w:vAlign w:val="center"/>
            <w:hideMark/>
          </w:tcPr>
          <w:p>
            <w:pPr>
              <w:jc w:val="left"/>
              <w:rPr>
                <w:noProof/>
                <w:sz w:val="10"/>
                <w:szCs w:val="10"/>
                <w:lang w:val="en-GB"/>
              </w:rPr>
            </w:pPr>
            <w:r>
              <w:rPr>
                <w:noProof/>
                <w:sz w:val="10"/>
                <w:szCs w:val="10"/>
                <w:lang w:val="en-GB"/>
              </w:rPr>
              <w:t>Estimate of mitigation impact f (not cumulative, in kt CO2 eq)</w:t>
            </w:r>
          </w:p>
        </w:tc>
        <w:tc>
          <w:tcPr>
            <w:tcW w:w="656" w:type="pct"/>
            <w:vMerge w:val="restart"/>
            <w:tcBorders>
              <w:top w:val="single" w:sz="4" w:space="0" w:color="auto"/>
              <w:left w:val="single" w:sz="4" w:space="0" w:color="auto"/>
              <w:bottom w:val="single" w:sz="4" w:space="0" w:color="auto"/>
              <w:right w:val="single" w:sz="4" w:space="0" w:color="auto"/>
            </w:tcBorders>
            <w:shd w:val="clear" w:color="auto" w:fill="BFBFBF"/>
            <w:tcMar>
              <w:top w:w="0" w:type="dxa"/>
              <w:left w:w="0" w:type="dxa"/>
              <w:bottom w:w="0" w:type="dxa"/>
              <w:right w:w="0" w:type="dxa"/>
            </w:tcMar>
            <w:vAlign w:val="center"/>
            <w:hideMark/>
          </w:tcPr>
          <w:p>
            <w:pPr>
              <w:jc w:val="left"/>
              <w:rPr>
                <w:noProof/>
                <w:sz w:val="10"/>
                <w:szCs w:val="10"/>
                <w:lang w:val="en-GB"/>
              </w:rPr>
            </w:pPr>
            <w:r>
              <w:rPr>
                <w:noProof/>
                <w:sz w:val="10"/>
                <w:szCs w:val="10"/>
                <w:lang w:val="en-GB"/>
              </w:rPr>
              <w:t>Proposed footnote text for BR2</w:t>
            </w:r>
          </w:p>
        </w:tc>
      </w:tr>
      <w:tr>
        <w:trPr>
          <w:trHeight w:val="20"/>
          <w:tblHeader/>
        </w:trPr>
        <w:tc>
          <w:tcPr>
            <w:tcW w:w="396"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p>
        </w:tc>
        <w:tc>
          <w:tcPr>
            <w:tcW w:w="297"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p>
        </w:tc>
        <w:tc>
          <w:tcPr>
            <w:tcW w:w="335"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p>
        </w:tc>
        <w:tc>
          <w:tcPr>
            <w:tcW w:w="54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p>
        </w:tc>
        <w:tc>
          <w:tcPr>
            <w:tcW w:w="29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p>
        </w:tc>
        <w:tc>
          <w:tcPr>
            <w:tcW w:w="37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p>
        </w:tc>
        <w:tc>
          <w:tcPr>
            <w:tcW w:w="507"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p>
        </w:tc>
        <w:tc>
          <w:tcPr>
            <w:tcW w:w="256"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p>
        </w:tc>
        <w:tc>
          <w:tcPr>
            <w:tcW w:w="421" w:type="pct"/>
            <w:gridSpan w:val="3"/>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p>
        </w:tc>
        <w:tc>
          <w:tcPr>
            <w:tcW w:w="200" w:type="pct"/>
            <w:tcBorders>
              <w:top w:val="single" w:sz="4" w:space="0" w:color="auto"/>
              <w:left w:val="single" w:sz="4" w:space="0" w:color="auto"/>
              <w:bottom w:val="single" w:sz="4" w:space="0" w:color="auto"/>
              <w:right w:val="single" w:sz="4" w:space="0" w:color="auto"/>
            </w:tcBorders>
            <w:shd w:val="clear" w:color="auto" w:fill="BFBFBF"/>
            <w:tcMar>
              <w:top w:w="0" w:type="dxa"/>
              <w:left w:w="0" w:type="dxa"/>
              <w:bottom w:w="0" w:type="dxa"/>
              <w:right w:w="0" w:type="dxa"/>
            </w:tcMar>
            <w:vAlign w:val="center"/>
            <w:hideMark/>
          </w:tcPr>
          <w:p>
            <w:pPr>
              <w:rPr>
                <w:noProof/>
                <w:sz w:val="10"/>
                <w:szCs w:val="10"/>
              </w:rPr>
            </w:pPr>
            <w:r>
              <w:rPr>
                <w:noProof/>
                <w:sz w:val="10"/>
                <w:szCs w:val="10"/>
              </w:rPr>
              <w:t xml:space="preserve">2010 </w:t>
            </w:r>
            <w:r>
              <w:rPr>
                <w:noProof/>
                <w:sz w:val="10"/>
                <w:szCs w:val="10"/>
                <w:vertAlign w:val="superscript"/>
              </w:rPr>
              <w:t>f</w:t>
            </w:r>
          </w:p>
        </w:tc>
        <w:tc>
          <w:tcPr>
            <w:tcW w:w="175" w:type="pct"/>
            <w:tcBorders>
              <w:top w:val="single" w:sz="4" w:space="0" w:color="auto"/>
              <w:left w:val="single" w:sz="4" w:space="0" w:color="auto"/>
              <w:bottom w:val="single" w:sz="4" w:space="0" w:color="auto"/>
              <w:right w:val="single" w:sz="4" w:space="0" w:color="auto"/>
            </w:tcBorders>
            <w:shd w:val="clear" w:color="auto" w:fill="BFBFBF"/>
            <w:tcMar>
              <w:top w:w="0" w:type="dxa"/>
              <w:left w:w="0" w:type="dxa"/>
              <w:bottom w:w="0" w:type="dxa"/>
              <w:right w:w="0" w:type="dxa"/>
            </w:tcMar>
            <w:vAlign w:val="center"/>
            <w:hideMark/>
          </w:tcPr>
          <w:p>
            <w:pPr>
              <w:rPr>
                <w:noProof/>
                <w:sz w:val="10"/>
                <w:szCs w:val="10"/>
              </w:rPr>
            </w:pPr>
            <w:r>
              <w:rPr>
                <w:noProof/>
                <w:sz w:val="10"/>
                <w:szCs w:val="10"/>
              </w:rPr>
              <w:t xml:space="preserve">2015 </w:t>
            </w:r>
            <w:r>
              <w:rPr>
                <w:noProof/>
                <w:sz w:val="10"/>
                <w:szCs w:val="10"/>
                <w:vertAlign w:val="superscript"/>
              </w:rPr>
              <w:t>f</w:t>
            </w:r>
          </w:p>
        </w:tc>
        <w:tc>
          <w:tcPr>
            <w:tcW w:w="200" w:type="pct"/>
            <w:tcBorders>
              <w:top w:val="single" w:sz="4" w:space="0" w:color="auto"/>
              <w:left w:val="single" w:sz="4" w:space="0" w:color="auto"/>
              <w:bottom w:val="single" w:sz="4" w:space="0" w:color="auto"/>
              <w:right w:val="single" w:sz="4" w:space="0" w:color="auto"/>
            </w:tcBorders>
            <w:shd w:val="clear" w:color="auto" w:fill="BFBFBF"/>
            <w:tcMar>
              <w:top w:w="0" w:type="dxa"/>
              <w:left w:w="0" w:type="dxa"/>
              <w:bottom w:w="0" w:type="dxa"/>
              <w:right w:w="0" w:type="dxa"/>
            </w:tcMar>
            <w:vAlign w:val="center"/>
            <w:hideMark/>
          </w:tcPr>
          <w:p>
            <w:pPr>
              <w:rPr>
                <w:noProof/>
                <w:sz w:val="10"/>
                <w:szCs w:val="10"/>
              </w:rPr>
            </w:pPr>
            <w:r>
              <w:rPr>
                <w:noProof/>
                <w:sz w:val="10"/>
                <w:szCs w:val="10"/>
              </w:rPr>
              <w:t>2020</w:t>
            </w:r>
          </w:p>
        </w:tc>
        <w:tc>
          <w:tcPr>
            <w:tcW w:w="175" w:type="pct"/>
            <w:tcBorders>
              <w:top w:val="single" w:sz="4" w:space="0" w:color="auto"/>
              <w:left w:val="single" w:sz="4" w:space="0" w:color="auto"/>
              <w:bottom w:val="single" w:sz="4" w:space="0" w:color="auto"/>
              <w:right w:val="single" w:sz="4" w:space="0" w:color="auto"/>
            </w:tcBorders>
            <w:shd w:val="clear" w:color="auto" w:fill="BFBFBF"/>
            <w:tcMar>
              <w:top w:w="0" w:type="dxa"/>
              <w:left w:w="0" w:type="dxa"/>
              <w:bottom w:w="0" w:type="dxa"/>
              <w:right w:w="0" w:type="dxa"/>
            </w:tcMar>
            <w:vAlign w:val="center"/>
            <w:hideMark/>
          </w:tcPr>
          <w:p>
            <w:pPr>
              <w:rPr>
                <w:noProof/>
                <w:sz w:val="10"/>
                <w:szCs w:val="10"/>
              </w:rPr>
            </w:pPr>
            <w:r>
              <w:rPr>
                <w:noProof/>
                <w:sz w:val="10"/>
                <w:szCs w:val="10"/>
              </w:rPr>
              <w:t xml:space="preserve">2025 </w:t>
            </w:r>
            <w:r>
              <w:rPr>
                <w:noProof/>
                <w:sz w:val="10"/>
                <w:szCs w:val="10"/>
                <w:vertAlign w:val="superscript"/>
              </w:rPr>
              <w:t>f</w:t>
            </w:r>
          </w:p>
        </w:tc>
        <w:tc>
          <w:tcPr>
            <w:tcW w:w="176" w:type="pct"/>
            <w:tcBorders>
              <w:top w:val="single" w:sz="4" w:space="0" w:color="auto"/>
              <w:left w:val="single" w:sz="4" w:space="0" w:color="auto"/>
              <w:bottom w:val="single" w:sz="4" w:space="0" w:color="auto"/>
              <w:right w:val="single" w:sz="4" w:space="0" w:color="auto"/>
            </w:tcBorders>
            <w:shd w:val="clear" w:color="auto" w:fill="BFBFBF"/>
            <w:tcMar>
              <w:top w:w="0" w:type="dxa"/>
              <w:left w:w="0" w:type="dxa"/>
              <w:bottom w:w="0" w:type="dxa"/>
              <w:right w:w="0" w:type="dxa"/>
            </w:tcMar>
            <w:vAlign w:val="center"/>
            <w:hideMark/>
          </w:tcPr>
          <w:p>
            <w:pPr>
              <w:rPr>
                <w:noProof/>
                <w:sz w:val="10"/>
                <w:szCs w:val="10"/>
              </w:rPr>
            </w:pPr>
            <w:r>
              <w:rPr>
                <w:noProof/>
                <w:sz w:val="10"/>
                <w:szCs w:val="10"/>
              </w:rPr>
              <w:t xml:space="preserve">2030 </w:t>
            </w:r>
            <w:r>
              <w:rPr>
                <w:noProof/>
                <w:sz w:val="10"/>
                <w:szCs w:val="10"/>
                <w:vertAlign w:val="superscript"/>
              </w:rPr>
              <w:t>f</w:t>
            </w:r>
          </w:p>
        </w:tc>
        <w:tc>
          <w:tcPr>
            <w:tcW w:w="656"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p>
        </w:tc>
      </w:tr>
      <w:tr>
        <w:trPr>
          <w:tblHeader/>
        </w:trPr>
        <w:tc>
          <w:tcPr>
            <w:tcW w:w="3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Directive 2009/29/EC and 2003/87/EC EU-Emission trading system</w:t>
            </w:r>
          </w:p>
        </w:tc>
        <w:tc>
          <w:tcPr>
            <w:tcW w:w="2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cross-cutting</w:t>
            </w:r>
          </w:p>
        </w:tc>
        <w:tc>
          <w:tcPr>
            <w:tcW w:w="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 xml:space="preserve">CO2, N2O,PFC </w:t>
            </w:r>
          </w:p>
        </w:tc>
        <w:tc>
          <w:tcPr>
            <w:tcW w:w="54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Cost-efficient reduction of emissions</w:t>
            </w:r>
          </w:p>
        </w:tc>
        <w:tc>
          <w:tcPr>
            <w:tcW w:w="29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Putting a marked price to carbon and giving a financial value to each tonne of emissions saved</w:t>
            </w: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2005</w:t>
            </w:r>
          </w:p>
        </w:tc>
        <w:tc>
          <w:tcPr>
            <w:tcW w:w="421"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CION/MS</w:t>
            </w:r>
          </w:p>
        </w:tc>
        <w:tc>
          <w:tcPr>
            <w:tcW w:w="2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 xml:space="preserve">For 2020 the mitigation impact is estimated at 21% compared to 2005 levels. </w:t>
            </w:r>
          </w:p>
        </w:tc>
      </w:tr>
      <w:tr>
        <w:trPr>
          <w:tblHeader/>
        </w:trPr>
        <w:tc>
          <w:tcPr>
            <w:tcW w:w="3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Directive 2009/29/EC Effort Sharing Decision</w:t>
            </w:r>
          </w:p>
        </w:tc>
        <w:tc>
          <w:tcPr>
            <w:tcW w:w="2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cross-cutting</w:t>
            </w:r>
          </w:p>
        </w:tc>
        <w:tc>
          <w:tcPr>
            <w:tcW w:w="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 xml:space="preserve"> CO2,CH4 N2O,HFC, PFC, SF6</w:t>
            </w:r>
          </w:p>
        </w:tc>
        <w:tc>
          <w:tcPr>
            <w:tcW w:w="54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 xml:space="preserve"> GHG emissions reduction in sectors not included in the EU ETS.</w:t>
            </w:r>
          </w:p>
        </w:tc>
        <w:tc>
          <w:tcPr>
            <w:tcW w:w="29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 xml:space="preserve">implemented </w:t>
            </w:r>
          </w:p>
        </w:tc>
        <w:tc>
          <w:tcPr>
            <w:tcW w:w="50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Binding GHG emissions targets for MS for the years 2013-2020 for sectors not included in the EU ETS</w:t>
            </w: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2013</w:t>
            </w:r>
          </w:p>
        </w:tc>
        <w:tc>
          <w:tcPr>
            <w:tcW w:w="421"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MS need to implement national measures and policies to limit emissions from sectors covered here</w:t>
            </w:r>
          </w:p>
        </w:tc>
        <w:tc>
          <w:tcPr>
            <w:tcW w:w="2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 xml:space="preserve">For 2020 the mitigation impact is estimated at 10 % compared to 2005 levels.  </w:t>
            </w:r>
          </w:p>
        </w:tc>
      </w:tr>
      <w:tr>
        <w:trPr>
          <w:tblHeader/>
        </w:trPr>
        <w:tc>
          <w:tcPr>
            <w:tcW w:w="3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CCS Directive</w:t>
            </w:r>
          </w:p>
        </w:tc>
        <w:tc>
          <w:tcPr>
            <w:tcW w:w="2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cross-cutting</w:t>
            </w:r>
          </w:p>
        </w:tc>
        <w:tc>
          <w:tcPr>
            <w:tcW w:w="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 xml:space="preserve">CO2 </w:t>
            </w:r>
          </w:p>
        </w:tc>
        <w:tc>
          <w:tcPr>
            <w:tcW w:w="54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Geological storage of CO2</w:t>
            </w:r>
          </w:p>
        </w:tc>
        <w:tc>
          <w:tcPr>
            <w:tcW w:w="29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Adopted</w:t>
            </w:r>
          </w:p>
        </w:tc>
        <w:tc>
          <w:tcPr>
            <w:tcW w:w="50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 xml:space="preserve">Establishes a legal framework for the environmentally safe geological storage of CO2 </w:t>
            </w: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2009</w:t>
            </w:r>
          </w:p>
        </w:tc>
        <w:tc>
          <w:tcPr>
            <w:tcW w:w="421"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MS</w:t>
            </w:r>
          </w:p>
        </w:tc>
        <w:tc>
          <w:tcPr>
            <w:tcW w:w="2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The CCS Directive is not described in the BR2. Therefore for more information see the EU 1st Biennial Report chapter 4.2.4</w:t>
            </w:r>
          </w:p>
        </w:tc>
      </w:tr>
      <w:tr>
        <w:trPr>
          <w:tblHeader/>
        </w:trPr>
        <w:tc>
          <w:tcPr>
            <w:tcW w:w="3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Taxation of Energy Products and Electricity</w:t>
            </w:r>
          </w:p>
        </w:tc>
        <w:tc>
          <w:tcPr>
            <w:tcW w:w="2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cross-cutting</w:t>
            </w:r>
          </w:p>
        </w:tc>
        <w:tc>
          <w:tcPr>
            <w:tcW w:w="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CO2, CH4, N</w:t>
            </w:r>
            <w:r>
              <w:rPr>
                <w:noProof/>
                <w:sz w:val="10"/>
                <w:szCs w:val="10"/>
                <w:vertAlign w:val="subscript"/>
              </w:rPr>
              <w:t>2</w:t>
            </w:r>
            <w:r>
              <w:rPr>
                <w:noProof/>
                <w:sz w:val="10"/>
                <w:szCs w:val="10"/>
              </w:rPr>
              <w:t>O</w:t>
            </w:r>
          </w:p>
        </w:tc>
        <w:tc>
          <w:tcPr>
            <w:tcW w:w="54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Sets minimum levels of taxation of energy products used as motor fuel or as heating fuel and for electricity</w:t>
            </w:r>
          </w:p>
        </w:tc>
        <w:tc>
          <w:tcPr>
            <w:tcW w:w="29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The Directive covers electricity and all energy products consumed as motor fuel, heating fuel , and provides for common taxation rules and common minimum EU levels of taxation</w:t>
            </w:r>
          </w:p>
          <w:p>
            <w:pPr>
              <w:rPr>
                <w:noProof/>
                <w:sz w:val="10"/>
                <w:szCs w:val="10"/>
                <w:lang w:val="en-GB"/>
              </w:rPr>
            </w:pP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2003</w:t>
            </w:r>
          </w:p>
        </w:tc>
        <w:tc>
          <w:tcPr>
            <w:tcW w:w="421"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MS</w:t>
            </w:r>
          </w:p>
        </w:tc>
        <w:tc>
          <w:tcPr>
            <w:tcW w:w="2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The current status of the revision to the Taxation of Energy Products Electricity Directive is explained in chapter 3.2 of the EU’s 2nd Biennial Report. For further background information on the original directive see EU’s 1st Biennial report, chapter 4.2.5</w:t>
            </w:r>
          </w:p>
        </w:tc>
      </w:tr>
      <w:tr>
        <w:trPr>
          <w:tblHeader/>
        </w:trPr>
        <w:tc>
          <w:tcPr>
            <w:tcW w:w="3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 xml:space="preserve">Horizon 2020 </w:t>
            </w:r>
          </w:p>
        </w:tc>
        <w:tc>
          <w:tcPr>
            <w:tcW w:w="2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cross-cutting</w:t>
            </w:r>
          </w:p>
        </w:tc>
        <w:tc>
          <w:tcPr>
            <w:tcW w:w="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Other (Not directly affected)</w:t>
            </w:r>
          </w:p>
        </w:tc>
        <w:tc>
          <w:tcPr>
            <w:tcW w:w="54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lang w:val="en-GB"/>
              </w:rPr>
              <w:t xml:space="preserve">EU research and development programme (Horizon 2020) for 2014-2020. </w:t>
            </w:r>
            <w:r>
              <w:rPr>
                <w:noProof/>
                <w:sz w:val="10"/>
                <w:szCs w:val="10"/>
              </w:rPr>
              <w:t>Contains objective of reaching 35% climate related expenditures.</w:t>
            </w:r>
          </w:p>
        </w:tc>
        <w:tc>
          <w:tcPr>
            <w:tcW w:w="29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Research</w:t>
            </w:r>
          </w:p>
        </w:tc>
        <w:tc>
          <w:tcPr>
            <w:tcW w:w="37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 xml:space="preserve">Horizon 2020 is the largest ever EU Research and Innovation programme, with nearly €80 billion of funding available over seven years (2014 to 2020).. </w:t>
            </w: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2014</w:t>
            </w:r>
          </w:p>
        </w:tc>
        <w:tc>
          <w:tcPr>
            <w:tcW w:w="421"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CION/EP, MS and others</w:t>
            </w:r>
          </w:p>
        </w:tc>
        <w:tc>
          <w:tcPr>
            <w:tcW w:w="2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The Horizon 2020 programme is explained in more detail in chapter 3.2 of the EU’s 2nd Biennial report. For more information on other PaMs targeted towards research and observation, see the EU’s 1st Biennial report, chapter 4.2.6</w:t>
            </w:r>
          </w:p>
        </w:tc>
      </w:tr>
      <w:tr>
        <w:trPr>
          <w:tblHeader/>
        </w:trPr>
        <w:tc>
          <w:tcPr>
            <w:tcW w:w="3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European Structural and Investment Funds (ESIF)</w:t>
            </w:r>
          </w:p>
        </w:tc>
        <w:tc>
          <w:tcPr>
            <w:tcW w:w="2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cross-cutting</w:t>
            </w:r>
          </w:p>
        </w:tc>
        <w:tc>
          <w:tcPr>
            <w:tcW w:w="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Other (Not directly affected)</w:t>
            </w:r>
          </w:p>
        </w:tc>
        <w:tc>
          <w:tcPr>
            <w:tcW w:w="54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Funds are financial instruments of European Union cohesion policy, to narrow the development disparities among regions and Member States</w:t>
            </w:r>
          </w:p>
        </w:tc>
        <w:tc>
          <w:tcPr>
            <w:tcW w:w="29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Fiscal</w:t>
            </w:r>
          </w:p>
        </w:tc>
        <w:tc>
          <w:tcPr>
            <w:tcW w:w="37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The budget and investment priorities of the ESIF for the 2014-2020 programming period are designed to ensure the implementation of the Europe 2020 strategy for smart, sustainable and inclusive growth.</w:t>
            </w: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2014</w:t>
            </w:r>
          </w:p>
        </w:tc>
        <w:tc>
          <w:tcPr>
            <w:tcW w:w="421"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CION/MS</w:t>
            </w:r>
          </w:p>
        </w:tc>
        <w:tc>
          <w:tcPr>
            <w:tcW w:w="2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 xml:space="preserve">The European Structural and Investment Funds programme is explained in more detail in chapter 3.2 of the EU’s 2nd Biennial report. </w:t>
            </w:r>
          </w:p>
        </w:tc>
      </w:tr>
      <w:tr>
        <w:trPr>
          <w:tblHeader/>
        </w:trPr>
        <w:tc>
          <w:tcPr>
            <w:tcW w:w="3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National Emissions Ceilings Directive</w:t>
            </w:r>
          </w:p>
        </w:tc>
        <w:tc>
          <w:tcPr>
            <w:tcW w:w="2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cross-cutting</w:t>
            </w:r>
          </w:p>
        </w:tc>
        <w:tc>
          <w:tcPr>
            <w:tcW w:w="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Atmospheric pollutants: NOx, SO</w:t>
            </w:r>
            <w:r>
              <w:rPr>
                <w:noProof/>
                <w:sz w:val="10"/>
                <w:szCs w:val="10"/>
                <w:vertAlign w:val="subscript"/>
                <w:lang w:val="en-GB"/>
              </w:rPr>
              <w:t>2</w:t>
            </w:r>
            <w:r>
              <w:rPr>
                <w:noProof/>
                <w:sz w:val="10"/>
                <w:szCs w:val="10"/>
                <w:lang w:val="en-GB"/>
              </w:rPr>
              <w:t>, NMVOC, NH</w:t>
            </w:r>
            <w:r>
              <w:rPr>
                <w:noProof/>
                <w:sz w:val="10"/>
                <w:szCs w:val="10"/>
                <w:vertAlign w:val="subscript"/>
                <w:lang w:val="en-GB"/>
              </w:rPr>
              <w:t>3</w:t>
            </w:r>
            <w:r>
              <w:rPr>
                <w:noProof/>
                <w:sz w:val="10"/>
                <w:szCs w:val="10"/>
                <w:lang w:val="en-GB"/>
              </w:rPr>
              <w:t>, PM</w:t>
            </w:r>
            <w:r>
              <w:rPr>
                <w:noProof/>
                <w:sz w:val="10"/>
                <w:szCs w:val="10"/>
                <w:vertAlign w:val="subscript"/>
                <w:lang w:val="en-GB"/>
              </w:rPr>
              <w:t>2.5</w:t>
            </w:r>
            <w:r>
              <w:rPr>
                <w:noProof/>
                <w:sz w:val="10"/>
                <w:szCs w:val="10"/>
                <w:lang w:val="en-GB"/>
              </w:rPr>
              <w:t xml:space="preserve"> and CH</w:t>
            </w:r>
            <w:r>
              <w:rPr>
                <w:noProof/>
                <w:sz w:val="10"/>
                <w:szCs w:val="10"/>
                <w:vertAlign w:val="subscript"/>
                <w:lang w:val="en-GB"/>
              </w:rPr>
              <w:t>4</w:t>
            </w:r>
          </w:p>
        </w:tc>
        <w:tc>
          <w:tcPr>
            <w:tcW w:w="54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Revision proposal aims to reduce adverse health impacts of air pollution, including reducing the cases of premature deaths per year due to air pollution by more than half.</w:t>
            </w:r>
          </w:p>
        </w:tc>
        <w:tc>
          <w:tcPr>
            <w:tcW w:w="29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 xml:space="preserve">Implemented </w:t>
            </w:r>
          </w:p>
        </w:tc>
        <w:tc>
          <w:tcPr>
            <w:tcW w:w="50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The revision proposal includes national emission reduction commitments for each Member State for 2030 (with interim targets also set for 2025) for six specific pollutants</w:t>
            </w: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2001</w:t>
            </w:r>
          </w:p>
        </w:tc>
        <w:tc>
          <w:tcPr>
            <w:tcW w:w="421"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CION/MS</w:t>
            </w:r>
          </w:p>
        </w:tc>
        <w:tc>
          <w:tcPr>
            <w:tcW w:w="2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A proposed revision to the National Emissions Ceiling Directive is explained in chapter 3.2 of the EU’s 2nd Biennial report. For further information on the original directive see the EU’s 1st Biennial report, chapter 4.2.8</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Directive 2009/28/EC on the promotion of the use of energy from renewable sources</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Energy, transport</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20 % share of renewable sources in EU total gross final energy consumption in 2020 (electricity, heat and transport)</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The Directive promotes the increase of renewables in the energy supply sector, such as the transport sector and it supports cooperation between Member States.</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2010</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MS</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750000</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Estimated  impact range: 600-900 Mt (2020), Source:</w:t>
            </w:r>
          </w:p>
          <w:p>
            <w:pPr>
              <w:rPr>
                <w:noProof/>
                <w:sz w:val="10"/>
                <w:szCs w:val="10"/>
                <w:lang w:val="en-GB"/>
              </w:rPr>
            </w:pPr>
            <w:r>
              <w:rPr>
                <w:noProof/>
                <w:sz w:val="10"/>
                <w:szCs w:val="10"/>
                <w:lang w:val="en-GB"/>
              </w:rPr>
              <w:t>Citizens' Summary of 23 January 2008</w:t>
            </w:r>
          </w:p>
          <w:p>
            <w:pPr>
              <w:rPr>
                <w:noProof/>
                <w:sz w:val="10"/>
                <w:szCs w:val="10"/>
                <w:lang w:val="en-GB"/>
              </w:rPr>
            </w:pPr>
            <w:r>
              <w:rPr>
                <w:noProof/>
                <w:sz w:val="10"/>
                <w:szCs w:val="10"/>
                <w:lang w:val="en-GB"/>
              </w:rPr>
              <w:t>see chapter 3.3.1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pt-PT"/>
              </w:rPr>
            </w:pPr>
            <w:r>
              <w:rPr>
                <w:noProof/>
                <w:sz w:val="10"/>
                <w:szCs w:val="10"/>
                <w:lang w:val="pt-PT"/>
              </w:rPr>
              <w:t>2020 Climate &amp; Energy Package (</w:t>
            </w:r>
            <w:r>
              <w:rPr>
                <w:rFonts w:asciiTheme="minorHAnsi" w:hAnsiTheme="minorHAnsi"/>
                <w:noProof/>
                <w:color w:val="000000" w:themeColor="text1"/>
                <w:sz w:val="10"/>
                <w:szCs w:val="10"/>
                <w:lang w:val="pt-PT"/>
              </w:rPr>
              <w:t>COM(2008) 30 final)</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highlight w:val="yellow"/>
              </w:rPr>
            </w:pPr>
            <w:r>
              <w:rPr>
                <w:noProof/>
                <w:sz w:val="10"/>
                <w:szCs w:val="10"/>
              </w:rPr>
              <w:t>Cross-cutting</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highlight w:val="yellow"/>
              </w:rPr>
            </w:pPr>
            <w:r>
              <w:rPr>
                <w:noProof/>
                <w:sz w:val="10"/>
                <w:szCs w:val="10"/>
              </w:rPr>
              <w:t>CO2, CH4, N2O, HFC, PFC, SF6</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tabs>
                <w:tab w:val="num" w:pos="720"/>
              </w:tabs>
              <w:rPr>
                <w:noProof/>
                <w:sz w:val="10"/>
                <w:szCs w:val="10"/>
                <w:lang w:val="en-GB"/>
              </w:rPr>
            </w:pPr>
            <w:r>
              <w:rPr>
                <w:noProof/>
                <w:sz w:val="10"/>
                <w:szCs w:val="10"/>
                <w:lang w:val="en-GB"/>
              </w:rPr>
              <w:t>20 % cut in greenhouse gas emissions, 20 % share of renewable energy, 20 % increase in energy efficiency</w:t>
            </w:r>
          </w:p>
          <w:p>
            <w:pPr>
              <w:rPr>
                <w:noProof/>
                <w:sz w:val="10"/>
                <w:szCs w:val="10"/>
                <w:lang w:val="en-GB"/>
              </w:rPr>
            </w:pP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tabs>
                <w:tab w:val="num" w:pos="720"/>
              </w:tabs>
              <w:rPr>
                <w:rFonts w:ascii="Calibri" w:hAnsi="Calibri" w:cs="Calibri"/>
                <w:noProof/>
                <w:color w:val="000000"/>
                <w:sz w:val="10"/>
                <w:szCs w:val="10"/>
                <w:lang w:val="en-GB"/>
              </w:rPr>
            </w:pPr>
            <w:r>
              <w:rPr>
                <w:noProof/>
                <w:sz w:val="10"/>
                <w:szCs w:val="10"/>
                <w:lang w:val="en-GB"/>
              </w:rPr>
              <w:t>The 2020 climate &amp; energy package is a set of binding legislation to ensure that the EU meets its climate and energy targets for the year 2020.</w:t>
            </w:r>
          </w:p>
        </w:tc>
        <w:tc>
          <w:tcPr>
            <w:tcW w:w="26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2009</w:t>
            </w:r>
          </w:p>
        </w:tc>
        <w:tc>
          <w:tcPr>
            <w:tcW w:w="414"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CION/MS</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NA</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 xml:space="preserve">The 2020 Climate and Energy package provides the emission reduction target. The mitigation impact results from a wide range of measures. </w:t>
            </w:r>
          </w:p>
          <w:p>
            <w:pPr>
              <w:rPr>
                <w:noProof/>
                <w:sz w:val="10"/>
                <w:szCs w:val="10"/>
                <w:lang w:val="en-GB"/>
              </w:rPr>
            </w:pPr>
            <w:r>
              <w:rPr>
                <w:noProof/>
                <w:sz w:val="10"/>
                <w:szCs w:val="10"/>
                <w:lang w:val="en-GB"/>
              </w:rPr>
              <w:t>See chapter 3.3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2030 Framework for Climate and Energy (COM(2014) 15 final)</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Cross-cutting</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CO2,CH4, N2O, HFC, PFC, SF6, NF3</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tabs>
                <w:tab w:val="num" w:pos="720"/>
              </w:tabs>
              <w:rPr>
                <w:noProof/>
                <w:sz w:val="10"/>
                <w:szCs w:val="10"/>
                <w:lang w:val="en-GB"/>
              </w:rPr>
            </w:pPr>
            <w:r>
              <w:rPr>
                <w:noProof/>
                <w:sz w:val="10"/>
                <w:szCs w:val="10"/>
                <w:lang w:val="en-GB"/>
              </w:rPr>
              <w:t>At least 40 % cut in greenhouse gas emissions, at least 27 % share of renewable energy, at least 27 % increase in energy efficiency</w:t>
            </w:r>
          </w:p>
          <w:p>
            <w:pPr>
              <w:rPr>
                <w:noProof/>
                <w:sz w:val="10"/>
                <w:szCs w:val="10"/>
                <w:lang w:val="en-GB"/>
              </w:rPr>
            </w:pP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adopted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 xml:space="preserve">It provides the framework and defines the targets </w:t>
            </w:r>
            <w:r>
              <w:rPr>
                <w:rFonts w:ascii="Verdana" w:hAnsi="Verdana" w:cs="Arial"/>
                <w:noProof/>
                <w:color w:val="000000"/>
                <w:sz w:val="10"/>
                <w:szCs w:val="10"/>
                <w:lang w:val="en-GB"/>
              </w:rPr>
              <w:t>to help the EU achieve a more competitive, secure and sustainable energy system and to meet its long-term 2050 greenhouse gas reductions target.</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2014</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CION/MS</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NA</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 xml:space="preserve">The 2030 Framework for Climate and Energy provides the emission reduction target. The mitigation impact results from a wide range of measures. </w:t>
            </w:r>
          </w:p>
          <w:p>
            <w:pPr>
              <w:rPr>
                <w:noProof/>
                <w:sz w:val="10"/>
                <w:szCs w:val="10"/>
                <w:lang w:val="en-GB"/>
              </w:rPr>
            </w:pPr>
            <w:r>
              <w:rPr>
                <w:noProof/>
                <w:sz w:val="10"/>
                <w:szCs w:val="10"/>
                <w:lang w:val="en-GB"/>
              </w:rPr>
              <w:t>See chapter 3.3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Energy Union Strategy (COM(2015) 80 final)</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Energy</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Ensure that Europe has secure, affordable and climate-friendly energy</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adopted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It provides the framework for supply security, a fully-integrated internal energy market, energy efficiency and greenhouse gas emission reductions in the EU energy sector.</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2015</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CION/MS</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NA</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The strategy is in line with the 2030 Framework for Climate and Energy (COM(2014) 15 final). The mitigation impact is given in the CTF table under that policy.</w:t>
            </w:r>
          </w:p>
          <w:p>
            <w:pPr>
              <w:rPr>
                <w:noProof/>
                <w:sz w:val="10"/>
                <w:szCs w:val="10"/>
                <w:lang w:val="en-GB"/>
              </w:rPr>
            </w:pPr>
            <w:r>
              <w:rPr>
                <w:noProof/>
                <w:sz w:val="10"/>
                <w:szCs w:val="10"/>
                <w:lang w:val="en-GB"/>
              </w:rPr>
              <w:t>See chapter 3.3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Biomass Action Plan</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 xml:space="preserve">Energy </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Increase use of biomass for electricity and heat production and transport</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Adopted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Sets out Community actions to increase the demand for biomass, improve supply, overcome technical barriers and develop research.</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2005</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MS</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148000</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Impact includes reductions in the transport sector, SEC(2005) 1573.</w:t>
            </w:r>
          </w:p>
          <w:p>
            <w:pPr>
              <w:rPr>
                <w:noProof/>
                <w:sz w:val="10"/>
                <w:szCs w:val="10"/>
                <w:lang w:val="en-GB"/>
              </w:rPr>
            </w:pPr>
            <w:r>
              <w:rPr>
                <w:noProof/>
                <w:sz w:val="10"/>
                <w:szCs w:val="10"/>
                <w:lang w:val="en-GB"/>
              </w:rPr>
              <w:t>See chapter 3.4.2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Directive 2010/31/EU on the energy performance of buildings</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Energy</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Improve the energy performance of new buildings and of existing buildings</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 xml:space="preserve"> The Directive obliges Member States to set minimum standards for the energy performance of new buildings and existing buildings that are subject to major renovation work.</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2012</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MS</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185000</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 xml:space="preserve">Estimated impact range: 160000-210000kt (2020), Source: SEC(2008) 2864 </w:t>
            </w:r>
          </w:p>
          <w:p>
            <w:pPr>
              <w:rPr>
                <w:noProof/>
                <w:sz w:val="10"/>
                <w:szCs w:val="10"/>
                <w:lang w:val="en-GB"/>
              </w:rPr>
            </w:pPr>
            <w:r>
              <w:rPr>
                <w:noProof/>
                <w:sz w:val="10"/>
                <w:szCs w:val="10"/>
                <w:lang w:val="en-GB"/>
              </w:rPr>
              <w:t>See chapter 3.3.2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Directive 2012/27/EU on energy efficiency</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Energy, Industry/industrial processes</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Reduction of barriers in the energy market and avoiding market failure, increase of energy efficiency at all stages of the energy chain.</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Adopted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The Directive establishes a common framework of measures for the promotion of energy efficiency and supports the Energy Efficiency Plan 2011.</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2014</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MS</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 xml:space="preserve">(impact not estimated) </w:t>
            </w:r>
          </w:p>
          <w:p>
            <w:pPr>
              <w:rPr>
                <w:noProof/>
                <w:sz w:val="10"/>
                <w:szCs w:val="10"/>
                <w:lang w:val="en-GB"/>
              </w:rPr>
            </w:pPr>
            <w:r>
              <w:rPr>
                <w:noProof/>
                <w:sz w:val="10"/>
                <w:szCs w:val="10"/>
                <w:lang w:val="en-GB"/>
              </w:rPr>
              <w:t>See chapter 3.3.2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 xml:space="preserve">Directive 2009/125/EC establishing a framework for the setting of eco-design requirements for energy-related products </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Energy</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Reduce energy consumption</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This is the framework Directive for eco-design requirements and one of the major cornerstones of the Community Strategy on Integrated Product Policy, together with the Energy Labelling Directive.</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2009</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CION/MS</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 xml:space="preserve">Impact estimated separately for each product category (see related eco-design regulations below) </w:t>
            </w:r>
          </w:p>
          <w:p>
            <w:pPr>
              <w:rPr>
                <w:noProof/>
                <w:sz w:val="10"/>
                <w:szCs w:val="10"/>
                <w:lang w:val="en-GB"/>
              </w:rPr>
            </w:pPr>
            <w:r>
              <w:rPr>
                <w:noProof/>
                <w:sz w:val="10"/>
                <w:szCs w:val="10"/>
                <w:lang w:val="en-GB"/>
              </w:rPr>
              <w:t>See chapter 3.3.3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Directive 2010/30/EU on the indication by labelling and standard product information of the consumption of energy and other resources by energy-related products</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Energy</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Help consumers to identify energy-saving products.</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The Directive is part of the Community Strategy for Integrated Product Policy and introduces energy labels to sign energy-related products. The ranking scale ranges from A(+++) most efficient to G least efficient.</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2010</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CION/MS</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(impact not estimated)</w:t>
            </w:r>
          </w:p>
          <w:p>
            <w:pPr>
              <w:rPr>
                <w:noProof/>
                <w:sz w:val="10"/>
                <w:szCs w:val="10"/>
                <w:lang w:val="en-GB"/>
              </w:rPr>
            </w:pPr>
            <w:r>
              <w:rPr>
                <w:noProof/>
                <w:sz w:val="10"/>
                <w:szCs w:val="10"/>
                <w:lang w:val="en-GB"/>
              </w:rPr>
              <w:t>See chapter 3.3.3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Proposal for a Regulation setting a framework for energy efficiency labelling and repealing Directive 2010/30/EU</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Energy</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Simplify the energy label scale and to adapt the scale to current market efficiency standards.</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planned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This Regulation lays down a framework on the indication by labelling and standard product information of the consumption of energy and other resources by energy-related products during use and supplementary information concerning energy-related products in order to allow customers to choose more efficient products</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2015</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CION/MS</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(impact not estimated)</w:t>
            </w:r>
          </w:p>
          <w:p>
            <w:pPr>
              <w:rPr>
                <w:noProof/>
                <w:sz w:val="10"/>
                <w:szCs w:val="10"/>
                <w:lang w:val="en-GB"/>
              </w:rPr>
            </w:pPr>
            <w:r>
              <w:rPr>
                <w:noProof/>
                <w:sz w:val="10"/>
                <w:szCs w:val="10"/>
                <w:lang w:val="en-GB"/>
              </w:rPr>
              <w:t>See chapter 3.3.3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Eco-design requirements for glandless standalone circulators and glandless circulators integrated in products (COM REG (EC)  641/2009)</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Energy</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Reduce energy consumption</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lang w:val="en-GB"/>
              </w:rPr>
              <w:t xml:space="preserve">The Regulation sets minimum standards for glandless standalone circulators and circulator integrated products, including the requirement for Energy labelling (see Reg. </w:t>
            </w:r>
            <w:r>
              <w:rPr>
                <w:noProof/>
                <w:sz w:val="10"/>
                <w:szCs w:val="10"/>
              </w:rPr>
              <w:t>(EC) 622/2012)</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2009</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CION/MS/ industry</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12000</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 xml:space="preserve">SEC(2009) 1016 final </w:t>
            </w:r>
          </w:p>
          <w:p>
            <w:pPr>
              <w:rPr>
                <w:noProof/>
                <w:sz w:val="10"/>
                <w:szCs w:val="10"/>
                <w:lang w:val="en-GB"/>
              </w:rPr>
            </w:pPr>
            <w:r>
              <w:rPr>
                <w:noProof/>
                <w:sz w:val="10"/>
                <w:szCs w:val="10"/>
                <w:lang w:val="en-GB"/>
              </w:rPr>
              <w:t>See chapter 3.3.3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Eco-design requirements for fluorescent lamps without integrated ballast, for high intensity discharge lamps, and for ballasts and luminaires able to operate such lamps (COM REG (EC) 245/2009 amended by COM REG (EU) 347/2010)</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Energy</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Reduce energy consumption</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lang w:val="en-GB"/>
              </w:rPr>
              <w:t xml:space="preserve">The Regulation sets minimum standards for fluorescent lamps, high discharge lamps, ballasts and luminaires able to operate such lamps, including the requirement for Energy labelling. </w:t>
            </w:r>
            <w:r>
              <w:rPr>
                <w:noProof/>
                <w:sz w:val="10"/>
                <w:szCs w:val="10"/>
              </w:rPr>
              <w:t>(see Reg. (EU) 874/2012)</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2009</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CION/MS/industry</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15300</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SEC(2009) 324</w:t>
            </w:r>
          </w:p>
          <w:p>
            <w:pPr>
              <w:rPr>
                <w:noProof/>
                <w:sz w:val="10"/>
                <w:szCs w:val="10"/>
                <w:lang w:val="en-GB"/>
              </w:rPr>
            </w:pPr>
            <w:r>
              <w:rPr>
                <w:noProof/>
                <w:sz w:val="10"/>
                <w:szCs w:val="10"/>
                <w:lang w:val="en-GB"/>
              </w:rPr>
              <w:t>See chapter 3.3.3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Eco-design requirements for non-directional household lamps, amendment is replacing functionality requirements for lamps excluding compact fluorescent lamps and LED lamps (COM REG (EC) 244/2009 amended by COM REG (EC) 859/2009)</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Energy</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Reduce energy consumption</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lang w:val="en-GB"/>
              </w:rPr>
              <w:t xml:space="preserve">The Regulation sets minimum standards for non-directional household lamps, including the requirement for Energy labelling (see Reg. </w:t>
            </w:r>
            <w:r>
              <w:rPr>
                <w:noProof/>
                <w:sz w:val="10"/>
                <w:szCs w:val="10"/>
              </w:rPr>
              <w:t>(EU) 874/2012).</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2009</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CION/MS/industry</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15400</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 xml:space="preserve">SEC(2009) 327 </w:t>
            </w:r>
          </w:p>
          <w:p>
            <w:pPr>
              <w:rPr>
                <w:noProof/>
                <w:sz w:val="10"/>
                <w:szCs w:val="10"/>
                <w:lang w:val="en-GB"/>
              </w:rPr>
            </w:pPr>
            <w:r>
              <w:rPr>
                <w:noProof/>
                <w:sz w:val="10"/>
                <w:szCs w:val="10"/>
                <w:lang w:val="en-GB"/>
              </w:rPr>
              <w:t>See chapter 3.3.3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Eco-design requirements for household refrigerating appliances (COM REG (EC) 643/2009)</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Energy</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Reduce energy consumption</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lang w:val="en-GB"/>
              </w:rPr>
              <w:t xml:space="preserve">The Regulation sets minimum standards for household refrigerating appliances, including the requirement for Energy labelling (see Reg. </w:t>
            </w:r>
            <w:r>
              <w:rPr>
                <w:noProof/>
                <w:sz w:val="10"/>
                <w:szCs w:val="10"/>
              </w:rPr>
              <w:t>(EU) 1060/2010).</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2009</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CION/MS/industry</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2000</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6000</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 xml:space="preserve">SEC(2009) 1020 final </w:t>
            </w:r>
          </w:p>
          <w:p>
            <w:pPr>
              <w:rPr>
                <w:noProof/>
                <w:sz w:val="10"/>
                <w:szCs w:val="10"/>
                <w:lang w:val="en-GB"/>
              </w:rPr>
            </w:pPr>
            <w:r>
              <w:rPr>
                <w:noProof/>
                <w:sz w:val="10"/>
                <w:szCs w:val="10"/>
                <w:lang w:val="en-GB"/>
              </w:rPr>
              <w:t>See chapter 3.3.3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Eco-design requirements for no-load condition electric power consumption and average active efficiency of external power supplies (COM REG (EC) 278/2009)</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Energy</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Reduce energy consumption</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The Regulation sets minimum standards for no-load condition electric power consumption and average active efficiency of external power supplies; Energy labelling has not been introduced.</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2009</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CION/MS/industry</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36000</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 xml:space="preserve">SEC(2009) 434 </w:t>
            </w:r>
          </w:p>
          <w:p>
            <w:pPr>
              <w:rPr>
                <w:noProof/>
                <w:sz w:val="10"/>
                <w:szCs w:val="10"/>
                <w:lang w:val="en-GB"/>
              </w:rPr>
            </w:pPr>
            <w:r>
              <w:rPr>
                <w:noProof/>
                <w:sz w:val="10"/>
                <w:szCs w:val="10"/>
                <w:lang w:val="en-GB"/>
              </w:rPr>
              <w:t>See chapter 3.3.3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Eco-design requirements for simple set-top boxes (COM REG (EC) 107/2009)</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Energy</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Reduce energy consumption</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The Regulation sets minimum standards for simple set-top boxes; Energy labelling has not been introduced.</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2009</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CION/MS/industry</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17000</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 xml:space="preserve">SEC(2009) 114 final </w:t>
            </w:r>
          </w:p>
          <w:p>
            <w:pPr>
              <w:rPr>
                <w:noProof/>
                <w:sz w:val="10"/>
                <w:szCs w:val="10"/>
                <w:lang w:val="en-GB"/>
              </w:rPr>
            </w:pPr>
            <w:r>
              <w:rPr>
                <w:noProof/>
                <w:sz w:val="10"/>
                <w:szCs w:val="10"/>
                <w:lang w:val="en-GB"/>
              </w:rPr>
              <w:t>See chapter 3.3.3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Eco-design requirements for standby and off mode electric power consumption of electrical and electronic household and office equipment (COM REG (EC) 1275/2008)</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Energy</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Reduce energy consumption</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The Regulation sets minimum standards for standby and off mode electric power consumption of electrical and electronic household and office equipment; Energy labelling has not been introduced.</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2009</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CION/MS/industry</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14000</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 xml:space="preserve">SEC(2008) 3071 </w:t>
            </w:r>
          </w:p>
          <w:p>
            <w:pPr>
              <w:rPr>
                <w:noProof/>
                <w:sz w:val="10"/>
                <w:szCs w:val="10"/>
                <w:lang w:val="en-GB"/>
              </w:rPr>
            </w:pPr>
            <w:r>
              <w:rPr>
                <w:noProof/>
                <w:sz w:val="10"/>
                <w:szCs w:val="10"/>
                <w:lang w:val="en-GB"/>
              </w:rPr>
              <w:t>See chapter 3.3.3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Eco-design requirements for household tumble driers (COM REG (EU) 932/2012)</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Energy</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Reduce energy consumption</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lang w:val="en-GB"/>
              </w:rPr>
              <w:t xml:space="preserve">The Regulation sets minimum standards for household tumble driers, including the requirement for Energy labelling (see Reg. </w:t>
            </w:r>
            <w:r>
              <w:rPr>
                <w:noProof/>
                <w:sz w:val="10"/>
                <w:szCs w:val="10"/>
              </w:rPr>
              <w:t>(EU) 392/2012)</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2012</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CION/MS/industry</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400</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1500</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2900</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3800</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SWD(2012) 289</w:t>
            </w:r>
          </w:p>
          <w:p>
            <w:pPr>
              <w:rPr>
                <w:noProof/>
                <w:sz w:val="10"/>
                <w:szCs w:val="10"/>
                <w:lang w:val="en-GB"/>
              </w:rPr>
            </w:pPr>
            <w:r>
              <w:rPr>
                <w:noProof/>
                <w:sz w:val="10"/>
                <w:szCs w:val="10"/>
                <w:lang w:val="en-GB"/>
              </w:rPr>
              <w:t>See chapter 3.3.3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Eco-design requirements for water pumps (COM REG (EU) 547/2012)</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Energy</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Reduce energy consumption</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 xml:space="preserve">The Regulation sets minimum standards for water pumps; Energy labelling has not been introduced. </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2012</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CION/MS/industry</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 xml:space="preserve">Impact assessment shows ranges between 1200 and 2100 kt in 2020, Source: SWD(2012) 178 final </w:t>
            </w:r>
          </w:p>
          <w:p>
            <w:pPr>
              <w:rPr>
                <w:noProof/>
                <w:sz w:val="10"/>
                <w:szCs w:val="10"/>
                <w:lang w:val="en-GB"/>
              </w:rPr>
            </w:pPr>
            <w:r>
              <w:rPr>
                <w:noProof/>
                <w:sz w:val="10"/>
                <w:szCs w:val="10"/>
                <w:lang w:val="en-GB"/>
              </w:rPr>
              <w:t>See chapter 3.3.3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Eco-design requirements for air conditioners and comfort fans (COM REG (EU) 206/2012)</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Energy</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Reduce energy consumption</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lang w:val="en-GB"/>
              </w:rPr>
              <w:t xml:space="preserve">The Regulation sets minimum standards for air conditioners and comfort fans, including the requirement for Energy labelling (see Reg. </w:t>
            </w:r>
            <w:r>
              <w:rPr>
                <w:noProof/>
                <w:sz w:val="10"/>
                <w:szCs w:val="10"/>
              </w:rPr>
              <w:t>(EU) 626/2011)</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2012</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CION/MS/industry</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1700</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3800</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5500</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6000</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 xml:space="preserve">SWD(2012) 35 final </w:t>
            </w:r>
          </w:p>
          <w:p>
            <w:pPr>
              <w:rPr>
                <w:noProof/>
                <w:sz w:val="10"/>
                <w:szCs w:val="10"/>
                <w:lang w:val="en-GB"/>
              </w:rPr>
            </w:pPr>
            <w:r>
              <w:rPr>
                <w:noProof/>
                <w:sz w:val="10"/>
                <w:szCs w:val="10"/>
                <w:lang w:val="en-GB"/>
              </w:rPr>
              <w:t>See chapter 3.3.3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pt-PT"/>
              </w:rPr>
            </w:pPr>
            <w:r>
              <w:rPr>
                <w:noProof/>
                <w:sz w:val="10"/>
                <w:szCs w:val="10"/>
                <w:lang w:val="pt-PT"/>
              </w:rPr>
              <w:t>Eco-design requirements for industrial fans (COM REG (EU) 327/2011)</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Energy</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Reduce energy consumption</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The Regulation sets minimum standards for industrial fans; Energy labelling has not been introduced.</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2011</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CION/MS/industry</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9600</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24800</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41600</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 xml:space="preserve">SEC(2011) 384 final </w:t>
            </w:r>
          </w:p>
          <w:p>
            <w:pPr>
              <w:rPr>
                <w:noProof/>
                <w:sz w:val="10"/>
                <w:szCs w:val="10"/>
                <w:lang w:val="en-GB"/>
              </w:rPr>
            </w:pPr>
            <w:r>
              <w:rPr>
                <w:noProof/>
                <w:sz w:val="10"/>
                <w:szCs w:val="10"/>
                <w:lang w:val="en-GB"/>
              </w:rPr>
              <w:t>See chapter 3.3.3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Eco-design requirements for household dishwashers (COM REG (EU) 1016/2010)</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Energy</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Reduce energy consumption</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lang w:val="en-GB"/>
              </w:rPr>
              <w:t xml:space="preserve">The Regulation sets minimum standards for household dishwashers, including the requirement for Energy labelling (see Reg. </w:t>
            </w:r>
            <w:r>
              <w:rPr>
                <w:noProof/>
                <w:sz w:val="10"/>
                <w:szCs w:val="10"/>
              </w:rPr>
              <w:t>(EU) 1059/2010)</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2010</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CION/MS/industry</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500</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1800</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SEC(2010) 1356 final</w:t>
            </w:r>
          </w:p>
          <w:p>
            <w:pPr>
              <w:rPr>
                <w:noProof/>
                <w:sz w:val="10"/>
                <w:szCs w:val="10"/>
                <w:lang w:val="en-GB"/>
              </w:rPr>
            </w:pPr>
            <w:r>
              <w:rPr>
                <w:noProof/>
                <w:sz w:val="10"/>
                <w:szCs w:val="10"/>
                <w:lang w:val="en-GB"/>
              </w:rPr>
              <w:t>See chapter 3.3.3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Eco-design requirements for household washing machines (COM REG (EU) 1015/2010)</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Energy</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Reduce energy consumption</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lang w:val="en-GB"/>
              </w:rPr>
              <w:t xml:space="preserve">The Regulation sets minimum standards for household washing machines, including the requirement for Energy labelling (see Reg. </w:t>
            </w:r>
            <w:r>
              <w:rPr>
                <w:noProof/>
                <w:sz w:val="10"/>
                <w:szCs w:val="10"/>
              </w:rPr>
              <w:t>(EU) 1061/2010)</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2010</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CION/MS/industry</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800</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 xml:space="preserve">SEC(2010) 1354 </w:t>
            </w:r>
          </w:p>
          <w:p>
            <w:pPr>
              <w:rPr>
                <w:noProof/>
                <w:sz w:val="10"/>
                <w:szCs w:val="10"/>
                <w:lang w:val="en-GB"/>
              </w:rPr>
            </w:pPr>
            <w:r>
              <w:rPr>
                <w:noProof/>
                <w:sz w:val="10"/>
                <w:szCs w:val="10"/>
                <w:lang w:val="en-GB"/>
              </w:rPr>
              <w:t>See chapter 3.3.3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Eco-design requirements for directional lamps, light emitting diode lamps and related equipment (COM REG (EU) 1194/2012)</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Energy</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Reduce energy consumption</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lang w:val="en-GB"/>
              </w:rPr>
              <w:t xml:space="preserve">The Regulation sets minimum standards for directional lamps, light emitting diode lamps and related equipment, including the requirement for Energy labelling (see Reg. </w:t>
            </w:r>
            <w:r>
              <w:rPr>
                <w:noProof/>
                <w:sz w:val="10"/>
                <w:szCs w:val="10"/>
              </w:rPr>
              <w:t>(EU) 874/2012)</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2013</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CION/MS/industry</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9500</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10300</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 xml:space="preserve">SWD(2012) 0419 </w:t>
            </w:r>
          </w:p>
          <w:p>
            <w:pPr>
              <w:rPr>
                <w:noProof/>
                <w:sz w:val="10"/>
                <w:szCs w:val="10"/>
                <w:lang w:val="en-GB"/>
              </w:rPr>
            </w:pPr>
            <w:r>
              <w:rPr>
                <w:noProof/>
                <w:sz w:val="10"/>
                <w:szCs w:val="10"/>
                <w:lang w:val="en-GB"/>
              </w:rPr>
              <w:t>See chapter 3.3.3 of the EU’s 2nd Biennial Report.</w:t>
            </w:r>
          </w:p>
          <w:p>
            <w:pPr>
              <w:rPr>
                <w:noProof/>
                <w:sz w:val="10"/>
                <w:szCs w:val="10"/>
                <w:lang w:val="en-GB"/>
              </w:rPr>
            </w:pP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jc w:val="left"/>
              <w:rPr>
                <w:noProof/>
                <w:sz w:val="10"/>
                <w:szCs w:val="10"/>
                <w:lang w:val="en-GB"/>
              </w:rPr>
            </w:pPr>
            <w:r>
              <w:rPr>
                <w:noProof/>
                <w:sz w:val="10"/>
                <w:szCs w:val="10"/>
                <w:lang w:val="en-GB"/>
              </w:rPr>
              <w:t>Eco-design requirements for space heaters and combination heaters (COM REG (EU) 813/2013)</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Energy</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Reduce energy consumption</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 xml:space="preserve">The Regulation aims to set minimum standards for space heaters and combination heaters. </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2013</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CION/MS/industry</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110 000</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SWD(2013) 296</w:t>
            </w:r>
          </w:p>
          <w:p>
            <w:pPr>
              <w:rPr>
                <w:noProof/>
                <w:sz w:val="10"/>
                <w:szCs w:val="10"/>
                <w:lang w:val="en-GB"/>
              </w:rPr>
            </w:pPr>
            <w:r>
              <w:rPr>
                <w:noProof/>
                <w:sz w:val="10"/>
                <w:szCs w:val="10"/>
                <w:lang w:val="en-GB"/>
              </w:rPr>
              <w:t>See chapter 3.3.3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Eco-design requirements for computers and computer servers (COM REG (EU) 617/2013)</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Energy</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Reduce energy consumption</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 xml:space="preserve">The Regulation sets minimum standards for computers and servers. </w:t>
            </w:r>
          </w:p>
        </w:tc>
        <w:tc>
          <w:tcPr>
            <w:tcW w:w="26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2013</w:t>
            </w:r>
          </w:p>
        </w:tc>
        <w:tc>
          <w:tcPr>
            <w:tcW w:w="414"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CION/MS/industry</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4 200</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SWD(2013) 219</w:t>
            </w:r>
          </w:p>
          <w:p>
            <w:pPr>
              <w:rPr>
                <w:noProof/>
                <w:sz w:val="10"/>
                <w:szCs w:val="10"/>
                <w:lang w:val="en-GB"/>
              </w:rPr>
            </w:pPr>
            <w:r>
              <w:rPr>
                <w:noProof/>
                <w:sz w:val="10"/>
                <w:szCs w:val="10"/>
                <w:lang w:val="en-GB"/>
              </w:rPr>
              <w:t>See chapter 3.3.3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Eco-design requirements for  vacuum cleaners (COM REG (EU)  666/2013)</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Energy</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Reduce energy consumption</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The Regulation sets minimum standards for vacuum cleaners including the requirement for energy labelling.</w:t>
            </w:r>
          </w:p>
        </w:tc>
        <w:tc>
          <w:tcPr>
            <w:tcW w:w="26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2013</w:t>
            </w:r>
          </w:p>
        </w:tc>
        <w:tc>
          <w:tcPr>
            <w:tcW w:w="414"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CION/MS/industry</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6 000</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SWD(2013) 240</w:t>
            </w:r>
          </w:p>
          <w:p>
            <w:pPr>
              <w:rPr>
                <w:noProof/>
                <w:sz w:val="10"/>
                <w:szCs w:val="10"/>
                <w:lang w:val="en-GB"/>
              </w:rPr>
            </w:pPr>
            <w:r>
              <w:rPr>
                <w:noProof/>
                <w:sz w:val="10"/>
                <w:szCs w:val="10"/>
                <w:lang w:val="en-GB"/>
              </w:rPr>
              <w:t>See chapter 3.3.3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Eco-design requirements for domestic ovens, hobs and range hoods (COM REG (EU)  66/2014)</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Energy</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Reduce energy consumption</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 xml:space="preserve">The Regulation sets minimum standards for domestic ovens, hobs and range hoods including the requirement for energy labelling.  </w:t>
            </w:r>
          </w:p>
        </w:tc>
        <w:tc>
          <w:tcPr>
            <w:tcW w:w="26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2014</w:t>
            </w:r>
          </w:p>
        </w:tc>
        <w:tc>
          <w:tcPr>
            <w:tcW w:w="414"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CION/MS/industry</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1 200</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2 600</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SWD(2014) 3</w:t>
            </w:r>
          </w:p>
          <w:p>
            <w:pPr>
              <w:rPr>
                <w:noProof/>
                <w:sz w:val="10"/>
                <w:szCs w:val="10"/>
                <w:lang w:val="en-GB"/>
              </w:rPr>
            </w:pPr>
            <w:r>
              <w:rPr>
                <w:noProof/>
                <w:sz w:val="10"/>
                <w:szCs w:val="10"/>
                <w:lang w:val="en-GB"/>
              </w:rPr>
              <w:t>See chapter 3.3.3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Eco-design requirements for small, medium and large power transformers (COM REG (EU)  548/2014)</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Energy</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Reduce energy consumption</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 xml:space="preserve">The Regulation sets minimum standards for power transformers. </w:t>
            </w:r>
          </w:p>
        </w:tc>
        <w:tc>
          <w:tcPr>
            <w:tcW w:w="26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2014</w:t>
            </w:r>
          </w:p>
        </w:tc>
        <w:tc>
          <w:tcPr>
            <w:tcW w:w="414"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CION/MS/industry</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4 000</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SWD(2014) 161</w:t>
            </w:r>
          </w:p>
          <w:p>
            <w:pPr>
              <w:rPr>
                <w:noProof/>
                <w:sz w:val="10"/>
                <w:szCs w:val="10"/>
                <w:lang w:val="en-GB"/>
              </w:rPr>
            </w:pPr>
            <w:r>
              <w:rPr>
                <w:noProof/>
                <w:sz w:val="10"/>
                <w:szCs w:val="10"/>
                <w:lang w:val="en-GB"/>
              </w:rPr>
              <w:t>See chapter 3.3.3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Eco-design requirements for ventilator units (COM REG (EU) 1253/2014)</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Energy</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Reduce energy consumption</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The Regulation sets minimum standards for ventilators including the requirement for energy labelling.</w:t>
            </w:r>
          </w:p>
        </w:tc>
        <w:tc>
          <w:tcPr>
            <w:tcW w:w="26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2014</w:t>
            </w:r>
          </w:p>
        </w:tc>
        <w:tc>
          <w:tcPr>
            <w:tcW w:w="414"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CION/MS/industry</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80 000</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SWD(2014) 223</w:t>
            </w:r>
          </w:p>
          <w:p>
            <w:pPr>
              <w:rPr>
                <w:noProof/>
                <w:sz w:val="10"/>
                <w:szCs w:val="10"/>
                <w:lang w:val="en-GB"/>
              </w:rPr>
            </w:pPr>
            <w:r>
              <w:rPr>
                <w:noProof/>
                <w:sz w:val="10"/>
                <w:szCs w:val="10"/>
                <w:lang w:val="en-GB"/>
              </w:rPr>
              <w:t>See chapter 3.3.3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Eco-design requirements for television and networked standby losses (COM REG (EU)  801/2013)</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Energy</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Reduce energy consumption</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The Regulation sets minimum standards for television, including the requirement for energy labelling.</w:t>
            </w:r>
          </w:p>
        </w:tc>
        <w:tc>
          <w:tcPr>
            <w:tcW w:w="26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2013</w:t>
            </w:r>
          </w:p>
        </w:tc>
        <w:tc>
          <w:tcPr>
            <w:tcW w:w="414"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CION/MS/industry</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11 700</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SWD(2013) 305</w:t>
            </w:r>
          </w:p>
          <w:p>
            <w:pPr>
              <w:rPr>
                <w:noProof/>
                <w:sz w:val="10"/>
                <w:szCs w:val="10"/>
                <w:lang w:val="en-GB"/>
              </w:rPr>
            </w:pPr>
            <w:r>
              <w:rPr>
                <w:noProof/>
                <w:sz w:val="10"/>
                <w:szCs w:val="10"/>
                <w:lang w:val="en-GB"/>
              </w:rPr>
              <w:t>See chapter 3.3.3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Eco-design requirements for  water heaters and hot water storage tanks (COM REG (EU)  814/2013)</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Energy</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Reduce energy consumption</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The Regulation sets minimum standards for water heaters and hot water storage tanks, including the requirement for energy labelling.</w:t>
            </w:r>
          </w:p>
        </w:tc>
        <w:tc>
          <w:tcPr>
            <w:tcW w:w="26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2013</w:t>
            </w:r>
          </w:p>
        </w:tc>
        <w:tc>
          <w:tcPr>
            <w:tcW w:w="414"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CION/MS/industry</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20 000</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SWD (2013) 294</w:t>
            </w:r>
          </w:p>
          <w:p>
            <w:pPr>
              <w:rPr>
                <w:noProof/>
                <w:sz w:val="10"/>
                <w:szCs w:val="10"/>
                <w:lang w:val="en-GB"/>
              </w:rPr>
            </w:pPr>
            <w:r>
              <w:rPr>
                <w:noProof/>
                <w:sz w:val="10"/>
                <w:szCs w:val="10"/>
                <w:lang w:val="en-GB"/>
              </w:rPr>
              <w:t>See chapter 3.3.3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Eco-design requirements for  electric motors (COM REG (EU)  4/2014; amendment of COM REG (EC) 640/2009)</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Energy</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Reduce energy consumption</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 xml:space="preserve">The Regulation sets minimum standards for electric motors, including the requirement for energy labelling  </w:t>
            </w:r>
          </w:p>
        </w:tc>
        <w:tc>
          <w:tcPr>
            <w:tcW w:w="26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2013</w:t>
            </w:r>
          </w:p>
        </w:tc>
        <w:tc>
          <w:tcPr>
            <w:tcW w:w="414"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CION/MS/industry</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64000</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94000</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SEC(2009) 1013 final</w:t>
            </w:r>
          </w:p>
          <w:p>
            <w:pPr>
              <w:rPr>
                <w:noProof/>
                <w:sz w:val="10"/>
                <w:szCs w:val="10"/>
                <w:lang w:val="en-GB"/>
              </w:rPr>
            </w:pPr>
            <w:r>
              <w:rPr>
                <w:noProof/>
                <w:sz w:val="10"/>
                <w:szCs w:val="10"/>
                <w:lang w:val="en-GB"/>
              </w:rPr>
              <w:t>See chapter 3.3.3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Voluntary eco-design scheme for complex set-top boxes</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Energy</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Reduce energy consumption</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Voluntary agreement</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Voluntary agreement on energy consumption targets for set-top boxes without Energy labelling.</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2010</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CION/MS/industry</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 xml:space="preserve">Cumulative impact 2020: 21000kt, SWD(2012) 391 final </w:t>
            </w:r>
          </w:p>
          <w:p>
            <w:pPr>
              <w:jc w:val="left"/>
              <w:rPr>
                <w:noProof/>
                <w:sz w:val="10"/>
                <w:szCs w:val="10"/>
                <w:lang w:val="en-GB"/>
              </w:rPr>
            </w:pPr>
            <w:r>
              <w:rPr>
                <w:noProof/>
                <w:sz w:val="10"/>
                <w:szCs w:val="10"/>
                <w:lang w:val="en-GB"/>
              </w:rPr>
              <w:t>See chapter 3.3.3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Voluntary eco- design scheme for imaging equipment</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Energy</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Reduce energy consumption</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Voluntary agreement</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Voluntary agreement on energy consumption targets for imaging equipment without Energy labelling.</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2011</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CION/MS/industry</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10200</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 xml:space="preserve">SWD(2013) 15 final </w:t>
            </w:r>
          </w:p>
          <w:p>
            <w:pPr>
              <w:jc w:val="left"/>
              <w:rPr>
                <w:noProof/>
                <w:sz w:val="10"/>
                <w:szCs w:val="10"/>
                <w:lang w:val="en-GB"/>
              </w:rPr>
            </w:pPr>
            <w:r>
              <w:rPr>
                <w:noProof/>
                <w:sz w:val="10"/>
                <w:szCs w:val="10"/>
                <w:lang w:val="en-GB"/>
              </w:rPr>
              <w:t>See chapter 3.3.3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Green Public Procurement</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Energy</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Increase the share of efficient and environmentally friendly technologies, products, services in the public sector</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Voluntary agreement</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Increase the share of efficient and environmentally friendly technologies, products, services in the public sector</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2004</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MS</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35000</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Estimated impact range: 25000-45000kt (2010)</w:t>
            </w:r>
          </w:p>
          <w:p>
            <w:pPr>
              <w:rPr>
                <w:noProof/>
                <w:sz w:val="10"/>
                <w:szCs w:val="10"/>
                <w:lang w:val="en-GB"/>
              </w:rPr>
            </w:pPr>
            <w:r>
              <w:rPr>
                <w:noProof/>
                <w:sz w:val="10"/>
                <w:szCs w:val="10"/>
                <w:lang w:val="en-GB"/>
              </w:rPr>
              <w:t xml:space="preserve">Source: Second ECCP Progress Report (EU 15 only) </w:t>
            </w:r>
          </w:p>
          <w:p>
            <w:pPr>
              <w:rPr>
                <w:noProof/>
                <w:sz w:val="10"/>
                <w:szCs w:val="10"/>
                <w:lang w:val="en-GB"/>
              </w:rPr>
            </w:pPr>
            <w:r>
              <w:rPr>
                <w:noProof/>
                <w:sz w:val="10"/>
                <w:szCs w:val="10"/>
                <w:lang w:val="en-GB"/>
              </w:rPr>
              <w:t>See chapter 3.3.3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Energy Star Programme</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Energy</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Promotion of less energy consuming office appliances</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Voluntary agreement</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The label shall help consumers to identify low energy consumption products.</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2002</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MS</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 xml:space="preserve">(impact not estimated) </w:t>
            </w:r>
          </w:p>
          <w:p>
            <w:pPr>
              <w:rPr>
                <w:noProof/>
                <w:sz w:val="10"/>
                <w:szCs w:val="10"/>
                <w:lang w:val="en-GB"/>
              </w:rPr>
            </w:pPr>
            <w:r>
              <w:rPr>
                <w:noProof/>
                <w:sz w:val="10"/>
                <w:szCs w:val="10"/>
                <w:lang w:val="en-GB"/>
              </w:rPr>
              <w:t>See chapter 3.3.3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EU Project Development Assistance (PDA) Facilities</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Energy</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Support of energy efficiency investment projects</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Economic</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It provides the grant support for project promoters to develop and launch their energy efficiency investment projects and programmes.</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2014</w:t>
            </w:r>
          </w:p>
          <w:p>
            <w:pPr>
              <w:rPr>
                <w:noProof/>
                <w:sz w:val="10"/>
                <w:szCs w:val="10"/>
              </w:rPr>
            </w:pP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CION/industry</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 xml:space="preserve">(impact not estimated) </w:t>
            </w:r>
          </w:p>
          <w:p>
            <w:pPr>
              <w:rPr>
                <w:noProof/>
                <w:sz w:val="10"/>
                <w:szCs w:val="10"/>
                <w:lang w:val="en-GB"/>
              </w:rPr>
            </w:pPr>
            <w:r>
              <w:rPr>
                <w:noProof/>
                <w:sz w:val="10"/>
                <w:szCs w:val="10"/>
                <w:lang w:val="en-GB"/>
              </w:rPr>
              <w:t>See chapter 3.3.4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European Energy Efficiency Fund (EEEF)</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Energy</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 xml:space="preserve">Support private public partnership investments in in energy efficiency, renewable energy and GHG emission reductions. </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Economic</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It is stocked with 265 million EUR for supporting private public partnerships investing in energy efficiency, renewable energy and GHG emission reductions.</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2014</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CION/industry</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 xml:space="preserve">(impact not estimated) </w:t>
            </w:r>
          </w:p>
          <w:p>
            <w:pPr>
              <w:rPr>
                <w:noProof/>
                <w:sz w:val="10"/>
                <w:szCs w:val="10"/>
                <w:lang w:val="en-GB"/>
              </w:rPr>
            </w:pPr>
            <w:r>
              <w:rPr>
                <w:noProof/>
                <w:sz w:val="10"/>
                <w:szCs w:val="10"/>
                <w:lang w:val="en-GB"/>
              </w:rPr>
              <w:t>See chapter 3.3.4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European Regional Development Fund (ERDF)</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Energy</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 xml:space="preserve">Support investments in energy-related areas such as buildings, renewable energy or, smart grids. </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Economic</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It is part of the European Structural and Innovation Funds (ESIF) 38 billion EUR are determined for investing in the fields of e.g. buildings, renewable energy, smart grids and transport during 2014 and 2020.</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2014</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CION/ regional authorities</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 xml:space="preserve">(impact not estimated) </w:t>
            </w:r>
          </w:p>
          <w:p>
            <w:pPr>
              <w:rPr>
                <w:noProof/>
                <w:sz w:val="10"/>
                <w:szCs w:val="10"/>
                <w:lang w:val="en-GB"/>
              </w:rPr>
            </w:pPr>
            <w:r>
              <w:rPr>
                <w:noProof/>
                <w:sz w:val="10"/>
                <w:szCs w:val="10"/>
                <w:lang w:val="en-GB"/>
              </w:rPr>
              <w:t>See chapter 3.3.4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Motor Challenge Programme</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Industry</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Improve the energy efficiency of their electric Motor Driven Systems</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Voluntary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Companies receive aid, advice and technical assistance to undertake specific measures to reduce energy consumption.</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2003</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Industry</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 xml:space="preserve">(impact not estimated) </w:t>
            </w:r>
          </w:p>
          <w:p>
            <w:pPr>
              <w:rPr>
                <w:noProof/>
                <w:sz w:val="10"/>
                <w:szCs w:val="10"/>
                <w:lang w:val="en-GB"/>
              </w:rPr>
            </w:pPr>
            <w:r>
              <w:rPr>
                <w:noProof/>
                <w:sz w:val="10"/>
                <w:szCs w:val="10"/>
                <w:lang w:val="en-GB"/>
              </w:rPr>
              <w:t>See chapter 3.3.4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Strategic Energy Technology Plan (COM(2007) 723)</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Energy</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Support introduction of low carbon technologies</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Regulatiory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The plan comprises measures relating to planning, implementation, resources and international cooperation in the field of energy technology</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2007</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CION</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 xml:space="preserve">(impact not estimated) </w:t>
            </w:r>
          </w:p>
          <w:p>
            <w:pPr>
              <w:rPr>
                <w:noProof/>
                <w:sz w:val="10"/>
                <w:szCs w:val="10"/>
                <w:lang w:val="en-GB"/>
              </w:rPr>
            </w:pPr>
            <w:r>
              <w:rPr>
                <w:noProof/>
                <w:sz w:val="10"/>
                <w:szCs w:val="10"/>
                <w:lang w:val="en-GB"/>
              </w:rPr>
              <w:t>See chapter 3.3.4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New integrated Covenant of Mayors for climate and energy</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Energy</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Support local authorities to deploy sustainable energy policies and cut GHG emissions.</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Voluntary Agreement</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pPr>
              <w:rPr>
                <w:noProof/>
                <w:sz w:val="10"/>
                <w:szCs w:val="10"/>
                <w:lang w:val="en-GB"/>
              </w:rPr>
            </w:pPr>
            <w:r>
              <w:rPr>
                <w:noProof/>
                <w:sz w:val="10"/>
                <w:szCs w:val="10"/>
                <w:lang w:val="en-GB"/>
              </w:rPr>
              <w:t xml:space="preserve">In order to translate their political commitment into specific measures and projects, Covenant signatories undertake to prepare and submit a Sustainable Energy Action Plan (SEAP). In 2015, the covenant was extended to the 2030 horizon and adaptation and the international dimension were included.  </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 xml:space="preserve">2008 </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Local governments</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190000</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 xml:space="preserve">Impact compared to base year 1990. Source: “The Covenant of Mayors in Figures - 6 year Assessment” by JRC (2014) </w:t>
            </w:r>
          </w:p>
          <w:p>
            <w:pPr>
              <w:rPr>
                <w:noProof/>
                <w:sz w:val="10"/>
                <w:szCs w:val="10"/>
                <w:lang w:val="en-GB"/>
              </w:rPr>
            </w:pPr>
            <w:r>
              <w:rPr>
                <w:noProof/>
                <w:sz w:val="10"/>
                <w:szCs w:val="10"/>
                <w:lang w:val="en-GB"/>
              </w:rPr>
              <w:t>See chapter 3.3.5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 from cars (Regulation 443/2009)</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Transport</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130 grams of CO2 per kilometre (g/km) by 2015 and 95g/km by 2020.</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The Regulation is setting emission performance standards for new passenger cars as part of the Community’s integrated approach to reduce CO2 emissions from light-duty vehicles</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2009</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MS</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See chapter 3.4.1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 from vans (Regulation 510/2011)</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Transport</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175 grams of CO2 per kilometre (g/km) by 2017 and 147g/km by 2020.</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 xml:space="preserve">The Regulation is similar to the one for new cars and sets CO2 emission targets for new vans sold on the EU market. </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2011</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MS</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See chapter 3.4.1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Strategy for reducing Heavy-Duty Vehicles’ fuel consumption and CO2 emissions</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Transport</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Curb Heavy Duty Vehicles’ CO2 emissions in a cost-efficient and proportionate way</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Adopted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 xml:space="preserve">The Strategy addresses modal shift, measures to reduce fuel GHG intensity, development and rolling out of vehicles with a lower carbon footprint and vehicle fleet operation. </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2011</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MS</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 xml:space="preserve">Impacts were determine for various options. The actual impact will depend on the final policy. </w:t>
            </w:r>
          </w:p>
          <w:p>
            <w:pPr>
              <w:rPr>
                <w:noProof/>
                <w:sz w:val="10"/>
                <w:szCs w:val="10"/>
                <w:lang w:val="en-GB"/>
              </w:rPr>
            </w:pPr>
            <w:r>
              <w:rPr>
                <w:noProof/>
                <w:sz w:val="10"/>
                <w:szCs w:val="10"/>
                <w:lang w:val="en-GB"/>
              </w:rPr>
              <w:t>See chapter 3.4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Directive 1999/94/EC on Car Labelling</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Transport</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Raise consumer awareness on fuel use and CO</w:t>
            </w:r>
            <w:r>
              <w:rPr>
                <w:noProof/>
                <w:sz w:val="10"/>
                <w:szCs w:val="10"/>
                <w:vertAlign w:val="subscript"/>
                <w:lang w:val="en-GB"/>
              </w:rPr>
              <w:t>2</w:t>
            </w:r>
            <w:r>
              <w:rPr>
                <w:noProof/>
                <w:sz w:val="10"/>
                <w:szCs w:val="10"/>
                <w:lang w:val="en-GB"/>
              </w:rPr>
              <w:t xml:space="preserve"> emissions of new passenger cars</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The Directive requires that information relating to the fuel economy and CO</w:t>
            </w:r>
            <w:r>
              <w:rPr>
                <w:noProof/>
                <w:sz w:val="10"/>
                <w:szCs w:val="10"/>
                <w:vertAlign w:val="subscript"/>
                <w:lang w:val="en-GB"/>
              </w:rPr>
              <w:t>2</w:t>
            </w:r>
            <w:r>
              <w:rPr>
                <w:noProof/>
                <w:sz w:val="10"/>
                <w:szCs w:val="10"/>
                <w:lang w:val="en-GB"/>
              </w:rPr>
              <w:t xml:space="preserve"> emissions of new passenger cars is consistently made available to consumers.</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1994</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MS, industry</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lang w:val="en-GB"/>
              </w:rPr>
            </w:pPr>
            <w:r>
              <w:rPr>
                <w:noProof/>
                <w:sz w:val="10"/>
                <w:szCs w:val="10"/>
                <w:lang w:val="en-GB"/>
              </w:rPr>
              <w:t>(impact not estimated)</w:t>
            </w:r>
          </w:p>
          <w:p>
            <w:pPr>
              <w:rPr>
                <w:noProof/>
                <w:sz w:val="10"/>
                <w:szCs w:val="10"/>
                <w:lang w:val="en-GB"/>
              </w:rPr>
            </w:pPr>
            <w:r>
              <w:rPr>
                <w:noProof/>
                <w:sz w:val="10"/>
                <w:szCs w:val="10"/>
                <w:lang w:val="en-GB"/>
              </w:rPr>
              <w:t>See chapter 3.4.1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Directive 2009/28/EC on the promotion of the use of energy from renewable sources (Transport sector)</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Transport</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By 2020, the share of renewable energy shall amount to 10 % of fuels consumed in the transport sector</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The Directive sets a number of sustainability criteria that must be met for biofuels and bioliquids to count towards the target, including a minimum threshold of GHG savings for biofuels</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2010</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MS</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 xml:space="preserve">(impact not estimated for transport sector) </w:t>
            </w:r>
          </w:p>
          <w:p>
            <w:pPr>
              <w:rPr>
                <w:noProof/>
                <w:sz w:val="10"/>
                <w:szCs w:val="10"/>
                <w:lang w:val="en-GB"/>
              </w:rPr>
            </w:pPr>
            <w:r>
              <w:rPr>
                <w:noProof/>
                <w:sz w:val="10"/>
                <w:szCs w:val="10"/>
                <w:lang w:val="en-GB"/>
              </w:rPr>
              <w:t>See chapter 3.4.2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Directive 2009/30/EC on the specification of petrol, diesel and gas-oil and introducing a mechanism to monitor and reduce greenhouse gas emissions</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Transport</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Reduce the greenhouse gas intensity of fuels used in road transport by 6% in 2020</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The reduction shall be obtained through the use of biofuels, alternative fuels or reductions in flaring and venting. The Directive applies to all petrol, diesel and biofuels used in road transport, as well as to gas oil used in non-road-mobile machinery.</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2010</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MS</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See chapter 3.4.2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Directive 2009/30/EC on the specification of petrol, diesel and gas-oil and introducing a mechanism to monitor and reduce greenhouse gas emissions, including amendment on indirect land use changes</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Transport</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Reduce the greenhouse gas intensity of fuels used in road transport by 6% in 2020 and reduce GHG emissions from indirect land-use change</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 xml:space="preserve">The reduction shall be obtained through the use of biofuels, alternative fuels or reductions in flaring and venting. The Directive applies to all petrol, diesel and biofuels used in road transport, as well as to gas oil used in non-road-mobile machinery. </w:t>
            </w:r>
          </w:p>
          <w:p>
            <w:pPr>
              <w:rPr>
                <w:noProof/>
                <w:sz w:val="10"/>
                <w:szCs w:val="10"/>
                <w:lang w:val="en-GB"/>
              </w:rPr>
            </w:pPr>
            <w:r>
              <w:rPr>
                <w:noProof/>
                <w:sz w:val="10"/>
                <w:szCs w:val="10"/>
                <w:lang w:val="en-GB"/>
              </w:rPr>
              <w:t>The EU agreed in April 2015 to amend both the Fuel Quality Directive and the transport-related section of the Renewable Energy Directive in order to limit negative effects of indirect land use changes (ILUC)</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2009</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MS</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48000</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 xml:space="preserve">SWD(2012) 343 final </w:t>
            </w:r>
          </w:p>
          <w:p>
            <w:pPr>
              <w:rPr>
                <w:noProof/>
                <w:sz w:val="10"/>
                <w:szCs w:val="10"/>
                <w:lang w:val="en-GB"/>
              </w:rPr>
            </w:pPr>
            <w:r>
              <w:rPr>
                <w:noProof/>
                <w:sz w:val="10"/>
                <w:szCs w:val="10"/>
                <w:lang w:val="en-GB"/>
              </w:rPr>
              <w:t>This figure only includes emission reductions in the transport sector</w:t>
            </w:r>
          </w:p>
          <w:p>
            <w:pPr>
              <w:rPr>
                <w:noProof/>
                <w:sz w:val="10"/>
                <w:szCs w:val="10"/>
                <w:lang w:val="en-GB"/>
              </w:rPr>
            </w:pPr>
            <w:r>
              <w:rPr>
                <w:noProof/>
                <w:sz w:val="10"/>
                <w:szCs w:val="10"/>
                <w:lang w:val="en-GB"/>
              </w:rPr>
              <w:t>See chapter 3.4.2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General Safety Regulation (EC) 661/2009 and Tyre Labelling and Minimum Rolling Resistance (EC) 1222/2009</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Transport</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Enhance safety of motor vehicles, increase fuel efficiency of motor vehicles and tyres, reduce noise emissions of tyres.</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The regulation integrates environmental and safety requirements for type approval of vehicles and tyres. It applies to vehicles of passenger transport (category M), transportation of goods (category N) and trailers (category O).</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2009</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Industry</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2750</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 xml:space="preserve">Estimated impact range: 1500-5000 kt, Source: SEC(2008)2860 </w:t>
            </w:r>
          </w:p>
          <w:p>
            <w:pPr>
              <w:rPr>
                <w:noProof/>
                <w:sz w:val="10"/>
                <w:szCs w:val="10"/>
                <w:lang w:val="en-GB"/>
              </w:rPr>
            </w:pPr>
            <w:r>
              <w:rPr>
                <w:noProof/>
                <w:sz w:val="10"/>
                <w:szCs w:val="10"/>
                <w:lang w:val="en-GB"/>
              </w:rPr>
              <w:t>See chapter 3.4.1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Infrastructure charging for heavy goods vehicles (1999/62//EC, amended by 2006/38/EC and 2011/76/EU)</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Transport</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Better functioning of the internal market and reduction of  congestion, noise and air pollution</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 xml:space="preserve">The Directive stipulates rules how and to what extent the cost of constructing, operating and developing infrastructure can be borne (through tolls and vignettes) by road users. </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 xml:space="preserve">1999 </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MS</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 xml:space="preserve">(impact not estimated) </w:t>
            </w:r>
          </w:p>
          <w:p>
            <w:pPr>
              <w:rPr>
                <w:noProof/>
                <w:sz w:val="10"/>
                <w:szCs w:val="10"/>
                <w:lang w:val="en-GB"/>
              </w:rPr>
            </w:pPr>
            <w:r>
              <w:rPr>
                <w:noProof/>
                <w:sz w:val="10"/>
                <w:szCs w:val="10"/>
                <w:lang w:val="en-GB"/>
              </w:rPr>
              <w:t>See chapter 3.4.3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Directive 2014/94/EU on Deployment of Alternative Fuels Infrastructure</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Transport</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Reduce CO2 emissions through shift of fuel type</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The Directive requires Member States to adopt national policy frameworks for the market development of alternative fuels and their infrastructure, and sets binding targets for the build-up of alternative fuel infrastructure.</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2014</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MS</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 xml:space="preserve">(impact not estimated) </w:t>
            </w:r>
          </w:p>
          <w:p>
            <w:pPr>
              <w:rPr>
                <w:noProof/>
                <w:sz w:val="10"/>
                <w:szCs w:val="10"/>
                <w:lang w:val="en-GB"/>
              </w:rPr>
            </w:pPr>
            <w:r>
              <w:rPr>
                <w:noProof/>
                <w:sz w:val="10"/>
                <w:szCs w:val="10"/>
                <w:lang w:val="en-GB"/>
              </w:rPr>
              <w:t>See chapter 3.4.3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Clean vehicles Directive (2009/33/EC)</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Transport</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Reduce CO2 emissions through procurement of green vehicles</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The Directive requires that energy and environmental impacts linked to the operation of vehicles over their whole lifetime, including CO2 emissions, are taken into account in public procurement decisions.</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2010</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MS</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1900</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 xml:space="preserve">Impact estimated for year 2017, Impact assessment report </w:t>
            </w:r>
          </w:p>
          <w:p>
            <w:pPr>
              <w:rPr>
                <w:noProof/>
                <w:sz w:val="10"/>
                <w:szCs w:val="10"/>
                <w:lang w:val="en-GB"/>
              </w:rPr>
            </w:pPr>
            <w:r>
              <w:rPr>
                <w:noProof/>
                <w:sz w:val="10"/>
                <w:szCs w:val="10"/>
                <w:lang w:val="en-GB"/>
              </w:rPr>
              <w:t>See chapter 3.4.4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White Paper: Roadmap to a Single European Transport Area COM(2011) 144 final</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Transport</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Create a competitive and efficient internal EU transport system, cut transport emissions by 60% by 2050.</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 xml:space="preserve">Regulatory </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adopted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The 2011 White Paper, which forms an integral part of the "Resource Efficiency" initiative of the Commission, defines a long-term strategy to achieve a competitive and resource efficient transport system.</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2011</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CION</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 xml:space="preserve">(impact not estimated) </w:t>
            </w:r>
          </w:p>
          <w:p>
            <w:pPr>
              <w:rPr>
                <w:noProof/>
                <w:sz w:val="10"/>
                <w:szCs w:val="10"/>
                <w:lang w:val="en-GB"/>
              </w:rPr>
            </w:pPr>
            <w:r>
              <w:rPr>
                <w:noProof/>
                <w:sz w:val="10"/>
                <w:szCs w:val="10"/>
                <w:lang w:val="en-GB"/>
              </w:rPr>
              <w:t>See chapter 3.4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Integrating maritime transport emissions in the EU’s greenhouse gas reduction policies (COM(2013) 479 final and Regulation (EU) 2015/757)</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Transport</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Include GHG emissions from maritime transport in the EU’s emission reduction policy.</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 xml:space="preserve">Regulatory </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adopted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The Strategy for maritime transport proposes an MRV system, reduction targets and further measures, including market-based instruments.</w:t>
            </w:r>
          </w:p>
          <w:p>
            <w:pPr>
              <w:rPr>
                <w:noProof/>
                <w:sz w:val="10"/>
                <w:szCs w:val="10"/>
                <w:lang w:val="en-GB"/>
              </w:rPr>
            </w:pPr>
            <w:r>
              <w:rPr>
                <w:noProof/>
                <w:sz w:val="10"/>
                <w:szCs w:val="10"/>
                <w:lang w:val="en-GB"/>
              </w:rPr>
              <w:t>The Regulation establishes an EU-wide MRV system for large ships.</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2013</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CION</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4400</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SWD(2013) 237 final/2</w:t>
            </w:r>
          </w:p>
          <w:p>
            <w:pPr>
              <w:rPr>
                <w:noProof/>
                <w:sz w:val="10"/>
                <w:szCs w:val="10"/>
                <w:lang w:val="en-GB"/>
              </w:rPr>
            </w:pPr>
            <w:r>
              <w:rPr>
                <w:noProof/>
                <w:sz w:val="10"/>
                <w:szCs w:val="10"/>
                <w:lang w:val="en-GB"/>
              </w:rPr>
              <w:t>See chapter 3.4.4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pt-PT"/>
              </w:rPr>
            </w:pPr>
            <w:r>
              <w:rPr>
                <w:noProof/>
                <w:sz w:val="10"/>
                <w:szCs w:val="10"/>
                <w:lang w:val="pt-PT"/>
              </w:rPr>
              <w:t>F-Gas Regulation (EU) No 517/2014</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Industry/industrial processes</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HFCs, PFCs, SF6</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Reduce consumption and use of F-gases</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lang w:val="en-GB"/>
              </w:rPr>
              <w:t xml:space="preserve">The Regulation prescribes a cap and subsequent reduction of HFCs that can be placed on the EU market (“phase-down”). </w:t>
            </w:r>
            <w:r>
              <w:rPr>
                <w:noProof/>
                <w:sz w:val="10"/>
                <w:szCs w:val="10"/>
              </w:rPr>
              <w:t>It also includes a number of bans.</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 xml:space="preserve">2015 </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CION, MS</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72000</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SWD(2012) 363</w:t>
            </w:r>
          </w:p>
          <w:p>
            <w:pPr>
              <w:rPr>
                <w:noProof/>
                <w:sz w:val="10"/>
                <w:szCs w:val="10"/>
                <w:lang w:val="en-GB"/>
              </w:rPr>
            </w:pPr>
            <w:r>
              <w:rPr>
                <w:noProof/>
                <w:sz w:val="10"/>
                <w:szCs w:val="10"/>
                <w:lang w:val="en-GB"/>
              </w:rPr>
              <w:t>Ssee chapter 3.5.1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European Directive on mobile air-conditioning systems (MACs) (2006/40/EC)</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Industry/industrial Processes</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HFCs</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Reduce use and consumption of F-gases</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The Directive lays down the requirements for the EC type approval or national type-approval of vehicles as regards emissions from, and the safe functioning of, air-conditioning systems.</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2006</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CION, MS, industry</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 xml:space="preserve">3000 </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 xml:space="preserve">13000 </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 xml:space="preserve">COM (2011) 581 final  </w:t>
            </w:r>
          </w:p>
          <w:p>
            <w:pPr>
              <w:rPr>
                <w:noProof/>
                <w:sz w:val="10"/>
                <w:szCs w:val="10"/>
                <w:lang w:val="en-GB"/>
              </w:rPr>
            </w:pPr>
            <w:r>
              <w:rPr>
                <w:noProof/>
                <w:sz w:val="10"/>
                <w:szCs w:val="10"/>
                <w:lang w:val="en-GB"/>
              </w:rPr>
              <w:t>See chapter 3.5.2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Industrial Emissions Directive (2010/75/EU)</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Industry/industrial processes</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Reduction of harmful industrial emissions across the EU</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The Directive is a recast of existing legislation aiming at achieving benefits to the environment and human health by reducing polluting emissions as well as waste from industrial and agricultural installations in particular through Best Available Techniques (BAT).</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2011</w:t>
            </w: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CION, MS</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 xml:space="preserve">(impact not estimated) </w:t>
            </w:r>
          </w:p>
          <w:p>
            <w:pPr>
              <w:rPr>
                <w:noProof/>
                <w:sz w:val="10"/>
                <w:szCs w:val="10"/>
                <w:lang w:val="en-GB"/>
              </w:rPr>
            </w:pPr>
            <w:r>
              <w:rPr>
                <w:noProof/>
                <w:sz w:val="10"/>
                <w:szCs w:val="10"/>
                <w:lang w:val="en-GB"/>
              </w:rPr>
              <w:t>See chapter 3.5.3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Regulation (EU) No 1305/2013 on support for rural development by the European Agricultural Fund for Rural Development</w:t>
            </w:r>
          </w:p>
        </w:tc>
        <w:tc>
          <w:tcPr>
            <w:tcW w:w="29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Agriculture</w:t>
            </w:r>
          </w:p>
        </w:tc>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CO2, CH4, N2O</w:t>
            </w:r>
          </w:p>
        </w:tc>
        <w:tc>
          <w:tcPr>
            <w:tcW w:w="54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Ensure sustainable agriculture</w:t>
            </w:r>
          </w:p>
        </w:tc>
        <w:tc>
          <w:tcPr>
            <w:tcW w:w="29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Regulatory, economic, information</w:t>
            </w:r>
          </w:p>
        </w:tc>
        <w:tc>
          <w:tcPr>
            <w:tcW w:w="37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 xml:space="preserve">implemented </w:t>
            </w:r>
          </w:p>
        </w:tc>
        <w:tc>
          <w:tcPr>
            <w:tcW w:w="50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The Regulation foresees that Member States draw up and co-finance multiannual rural development programmes.  These programmes have to meet the three strategic objectives for 2014 – 2020, including sustainability and climate action.</w:t>
            </w:r>
          </w:p>
        </w:tc>
        <w:tc>
          <w:tcPr>
            <w:tcW w:w="2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pPr>
              <w:rPr>
                <w:noProof/>
                <w:sz w:val="10"/>
                <w:szCs w:val="10"/>
              </w:rPr>
            </w:pPr>
            <w:r>
              <w:rPr>
                <w:noProof/>
                <w:sz w:val="10"/>
                <w:szCs w:val="10"/>
              </w:rPr>
              <w:t>2014</w:t>
            </w:r>
          </w:p>
          <w:p>
            <w:pPr>
              <w:rPr>
                <w:noProof/>
                <w:sz w:val="10"/>
                <w:szCs w:val="10"/>
              </w:rPr>
            </w:pPr>
          </w:p>
        </w:tc>
        <w:tc>
          <w:tcPr>
            <w:tcW w:w="421"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CION/MS</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 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 xml:space="preserve">(impact not estimated) </w:t>
            </w:r>
          </w:p>
          <w:p>
            <w:pPr>
              <w:rPr>
                <w:noProof/>
                <w:sz w:val="10"/>
                <w:szCs w:val="10"/>
                <w:lang w:val="en-GB"/>
              </w:rPr>
            </w:pPr>
            <w:r>
              <w:rPr>
                <w:noProof/>
                <w:sz w:val="10"/>
                <w:szCs w:val="10"/>
                <w:lang w:val="en-GB"/>
              </w:rPr>
              <w:t>See chapter 3.6.1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rPr>
                <w:noProof/>
                <w:sz w:val="10"/>
                <w:szCs w:val="10"/>
                <w:lang w:val="en-GB"/>
              </w:rPr>
            </w:pPr>
            <w:r>
              <w:rPr>
                <w:noProof/>
                <w:sz w:val="10"/>
                <w:szCs w:val="10"/>
                <w:lang w:val="en-GB"/>
              </w:rPr>
              <w:t>Action Plan for the future of Organic Production (COM(2914) 179 final), Proposal for a Regulation on Organic Production and labelling of organic products (COM(2014) 180 final)</w:t>
            </w:r>
          </w:p>
        </w:tc>
        <w:tc>
          <w:tcPr>
            <w:tcW w:w="2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rPr>
                <w:noProof/>
                <w:sz w:val="10"/>
                <w:szCs w:val="10"/>
              </w:rPr>
            </w:pPr>
            <w:r>
              <w:rPr>
                <w:noProof/>
                <w:sz w:val="10"/>
                <w:szCs w:val="10"/>
              </w:rPr>
              <w:t>Agriculture</w:t>
            </w:r>
          </w:p>
        </w:tc>
        <w:tc>
          <w:tcPr>
            <w:tcW w:w="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rPr>
                <w:noProof/>
                <w:sz w:val="10"/>
                <w:szCs w:val="10"/>
              </w:rPr>
            </w:pPr>
            <w:r>
              <w:rPr>
                <w:noProof/>
                <w:sz w:val="10"/>
                <w:szCs w:val="10"/>
              </w:rPr>
              <w:t>CO2, CH4, N2O</w:t>
            </w:r>
          </w:p>
        </w:tc>
        <w:tc>
          <w:tcPr>
            <w:tcW w:w="54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rPr>
                <w:noProof/>
                <w:sz w:val="10"/>
                <w:szCs w:val="10"/>
                <w:lang w:val="en-GB"/>
              </w:rPr>
            </w:pPr>
            <w:r>
              <w:rPr>
                <w:noProof/>
                <w:sz w:val="10"/>
                <w:szCs w:val="10"/>
                <w:lang w:val="en-GB"/>
              </w:rPr>
              <w:t>Support growth in the organic production sector</w:t>
            </w:r>
          </w:p>
        </w:tc>
        <w:tc>
          <w:tcPr>
            <w:tcW w:w="29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rPr>
                <w:noProof/>
                <w:sz w:val="10"/>
                <w:szCs w:val="10"/>
              </w:rPr>
            </w:pPr>
            <w:r>
              <w:rPr>
                <w:noProof/>
                <w:sz w:val="10"/>
                <w:szCs w:val="10"/>
              </w:rPr>
              <w:t>Planned</w:t>
            </w:r>
          </w:p>
        </w:tc>
        <w:tc>
          <w:tcPr>
            <w:tcW w:w="50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pStyle w:val="Standardtext"/>
              <w:rPr>
                <w:noProof/>
                <w:sz w:val="10"/>
                <w:szCs w:val="10"/>
                <w:lang w:val="en-GB"/>
              </w:rPr>
            </w:pPr>
            <w:r>
              <w:rPr>
                <w:noProof/>
                <w:sz w:val="10"/>
                <w:szCs w:val="10"/>
                <w:lang w:val="en-GB"/>
              </w:rPr>
              <w:t>The Action Plan defines the strategy for organic production, controls and trade for the forthcoming period, by laying down 18 concrete actions, considering EU instruments, consumer awareness, research, monitoring, certification and trade with third countries. The proposal for a Regulation lays down principles for organic production and rules for production, labelling, certification and trading.</w:t>
            </w:r>
          </w:p>
          <w:p>
            <w:pPr>
              <w:rPr>
                <w:noProof/>
                <w:sz w:val="10"/>
                <w:szCs w:val="10"/>
                <w:lang w:val="en-GB"/>
              </w:rPr>
            </w:pP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rPr>
                <w:noProof/>
                <w:sz w:val="10"/>
                <w:szCs w:val="10"/>
              </w:rPr>
            </w:pPr>
            <w:r>
              <w:rPr>
                <w:noProof/>
                <w:sz w:val="10"/>
                <w:szCs w:val="10"/>
              </w:rPr>
              <w:t>2015</w:t>
            </w:r>
          </w:p>
        </w:tc>
        <w:tc>
          <w:tcPr>
            <w:tcW w:w="421"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rPr>
                <w:noProof/>
                <w:sz w:val="10"/>
                <w:szCs w:val="10"/>
              </w:rPr>
            </w:pPr>
            <w:r>
              <w:rPr>
                <w:noProof/>
                <w:sz w:val="10"/>
                <w:szCs w:val="10"/>
              </w:rPr>
              <w:t>CION/MS</w:t>
            </w:r>
          </w:p>
        </w:tc>
        <w:tc>
          <w:tcPr>
            <w:tcW w:w="2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rPr>
                <w:noProof/>
                <w:sz w:val="10"/>
                <w:szCs w:val="10"/>
                <w:lang w:val="en-GB"/>
              </w:rPr>
            </w:pPr>
            <w:r>
              <w:rPr>
                <w:noProof/>
                <w:sz w:val="10"/>
                <w:szCs w:val="10"/>
                <w:lang w:val="en-GB"/>
              </w:rPr>
              <w:t>(impact not estimated)</w:t>
            </w:r>
          </w:p>
          <w:p>
            <w:pPr>
              <w:rPr>
                <w:noProof/>
                <w:sz w:val="10"/>
                <w:szCs w:val="10"/>
                <w:lang w:val="en-GB"/>
              </w:rPr>
            </w:pPr>
            <w:r>
              <w:rPr>
                <w:noProof/>
                <w:sz w:val="10"/>
                <w:szCs w:val="10"/>
                <w:lang w:val="en-GB"/>
              </w:rPr>
              <w:t>See chapter 3.6.2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Soil Thematic Strategy (COM(2006) 231)</w:t>
            </w:r>
          </w:p>
        </w:tc>
        <w:tc>
          <w:tcPr>
            <w:tcW w:w="2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Agriculture, LULUCF</w:t>
            </w:r>
          </w:p>
        </w:tc>
        <w:tc>
          <w:tcPr>
            <w:tcW w:w="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CO2</w:t>
            </w:r>
          </w:p>
        </w:tc>
        <w:tc>
          <w:tcPr>
            <w:tcW w:w="54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Protect soil as carbon pool</w:t>
            </w:r>
          </w:p>
        </w:tc>
        <w:tc>
          <w:tcPr>
            <w:tcW w:w="29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information, education, research, regulatory</w:t>
            </w:r>
          </w:p>
        </w:tc>
        <w:tc>
          <w:tcPr>
            <w:tcW w:w="37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Adopted</w:t>
            </w:r>
          </w:p>
        </w:tc>
        <w:tc>
          <w:tcPr>
            <w:tcW w:w="50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The Strategy tackles the full range of threats associated with soil degradation and creates a common framework for the protection of soil</w:t>
            </w: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2006</w:t>
            </w:r>
          </w:p>
        </w:tc>
        <w:tc>
          <w:tcPr>
            <w:tcW w:w="421"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CION/MS</w:t>
            </w:r>
          </w:p>
        </w:tc>
        <w:tc>
          <w:tcPr>
            <w:tcW w:w="2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 xml:space="preserve">(impact not estimated) </w:t>
            </w:r>
          </w:p>
          <w:p>
            <w:pPr>
              <w:rPr>
                <w:noProof/>
                <w:sz w:val="10"/>
                <w:szCs w:val="10"/>
                <w:lang w:val="en-GB"/>
              </w:rPr>
            </w:pPr>
            <w:r>
              <w:rPr>
                <w:noProof/>
                <w:sz w:val="10"/>
                <w:szCs w:val="10"/>
                <w:lang w:val="en-GB"/>
              </w:rPr>
              <w:t>See chapter 3.6.2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Nitrates Directive (91/676/EEC)</w:t>
            </w:r>
          </w:p>
        </w:tc>
        <w:tc>
          <w:tcPr>
            <w:tcW w:w="2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Agriculture</w:t>
            </w:r>
          </w:p>
        </w:tc>
        <w:tc>
          <w:tcPr>
            <w:tcW w:w="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N2O</w:t>
            </w:r>
          </w:p>
        </w:tc>
        <w:tc>
          <w:tcPr>
            <w:tcW w:w="54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Prevent water pollution</w:t>
            </w:r>
          </w:p>
        </w:tc>
        <w:tc>
          <w:tcPr>
            <w:tcW w:w="29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The Directive contains actions and measures to be elaborated by the Member States, such as monitoring of waters, identification of nitrates vulnerable zones (NZV), establishment of Codes of Good Agricultural Practices (CGAP) and implementation of actions plans.</w:t>
            </w: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1991</w:t>
            </w:r>
          </w:p>
        </w:tc>
        <w:tc>
          <w:tcPr>
            <w:tcW w:w="421"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CION/MS</w:t>
            </w:r>
          </w:p>
        </w:tc>
        <w:tc>
          <w:tcPr>
            <w:tcW w:w="2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(impact not estimated)</w:t>
            </w:r>
          </w:p>
          <w:p>
            <w:pPr>
              <w:rPr>
                <w:noProof/>
                <w:sz w:val="10"/>
                <w:szCs w:val="10"/>
                <w:lang w:val="en-GB"/>
              </w:rPr>
            </w:pPr>
            <w:r>
              <w:rPr>
                <w:noProof/>
                <w:sz w:val="10"/>
                <w:szCs w:val="10"/>
                <w:lang w:val="en-GB"/>
              </w:rPr>
              <w:t>See chapter 3.6.2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LULUCF accounting (LULUCF Decision 529/2013/EU)</w:t>
            </w:r>
          </w:p>
        </w:tc>
        <w:tc>
          <w:tcPr>
            <w:tcW w:w="2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LULUCF</w:t>
            </w:r>
          </w:p>
        </w:tc>
        <w:tc>
          <w:tcPr>
            <w:tcW w:w="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 xml:space="preserve">CO2, </w:t>
            </w:r>
          </w:p>
        </w:tc>
        <w:tc>
          <w:tcPr>
            <w:tcW w:w="54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Robust accounting of LULUCF activities across Europe</w:t>
            </w:r>
          </w:p>
        </w:tc>
        <w:tc>
          <w:tcPr>
            <w:tcW w:w="29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 xml:space="preserve">Adopted </w:t>
            </w:r>
          </w:p>
        </w:tc>
        <w:tc>
          <w:tcPr>
            <w:tcW w:w="50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Provides the basis for a formal inclusion of the LULUCF sector and ensures a harmonized legal framework allowing the collection of reliable data by robust accounting and reporting in a standardised way.</w:t>
            </w: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 xml:space="preserve">2013 </w:t>
            </w:r>
          </w:p>
        </w:tc>
        <w:tc>
          <w:tcPr>
            <w:tcW w:w="421"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CION</w:t>
            </w:r>
          </w:p>
        </w:tc>
        <w:tc>
          <w:tcPr>
            <w:tcW w:w="2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(impact not estimated)</w:t>
            </w:r>
          </w:p>
          <w:p>
            <w:pPr>
              <w:rPr>
                <w:noProof/>
                <w:sz w:val="10"/>
                <w:szCs w:val="10"/>
                <w:lang w:val="en-GB"/>
              </w:rPr>
            </w:pPr>
            <w:r>
              <w:rPr>
                <w:noProof/>
                <w:sz w:val="10"/>
                <w:szCs w:val="10"/>
                <w:lang w:val="en-GB"/>
              </w:rPr>
              <w:t>See chapter 3.7.1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Waste Framework Directive (2008/98/EC)</w:t>
            </w:r>
          </w:p>
        </w:tc>
        <w:tc>
          <w:tcPr>
            <w:tcW w:w="2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Waste, Energy, Industry/industrial Processes</w:t>
            </w:r>
          </w:p>
        </w:tc>
        <w:tc>
          <w:tcPr>
            <w:tcW w:w="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CH4, CO2</w:t>
            </w:r>
          </w:p>
        </w:tc>
        <w:tc>
          <w:tcPr>
            <w:tcW w:w="54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Promote prevention and recycling of waste</w:t>
            </w:r>
          </w:p>
        </w:tc>
        <w:tc>
          <w:tcPr>
            <w:tcW w:w="29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lang w:val="en-GB"/>
              </w:rPr>
              <w:t xml:space="preserve">The Directive is a legal framework for the management of waste to cope with the challenge of decoupling economic growth from waste generation and promoting strict hierarchy of intervention for waste prevention and management. </w:t>
            </w:r>
            <w:r>
              <w:rPr>
                <w:noProof/>
                <w:sz w:val="10"/>
                <w:szCs w:val="10"/>
              </w:rPr>
              <w:t xml:space="preserve">It has been amended in 2006 and 2008. </w:t>
            </w: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1975</w:t>
            </w:r>
          </w:p>
        </w:tc>
        <w:tc>
          <w:tcPr>
            <w:tcW w:w="421"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CION/MS</w:t>
            </w:r>
          </w:p>
        </w:tc>
        <w:tc>
          <w:tcPr>
            <w:tcW w:w="2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40100</w:t>
            </w:r>
          </w:p>
        </w:tc>
        <w:tc>
          <w:tcPr>
            <w:tcW w:w="1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pPr>
              <w:rPr>
                <w:noProof/>
                <w:sz w:val="10"/>
                <w:szCs w:val="10"/>
                <w:lang w:val="en-GB"/>
              </w:rPr>
            </w:pPr>
            <w:r>
              <w:rPr>
                <w:noProof/>
                <w:sz w:val="10"/>
                <w:szCs w:val="10"/>
                <w:lang w:val="en-GB"/>
              </w:rPr>
              <w:t>Consultancy report</w:t>
            </w:r>
          </w:p>
          <w:p>
            <w:pPr>
              <w:rPr>
                <w:noProof/>
                <w:sz w:val="10"/>
                <w:szCs w:val="10"/>
                <w:lang w:val="en-GB"/>
              </w:rPr>
            </w:pPr>
            <w:r>
              <w:rPr>
                <w:noProof/>
                <w:sz w:val="10"/>
                <w:szCs w:val="10"/>
                <w:lang w:val="en-GB"/>
              </w:rPr>
              <w:t>See chapter 3.8.1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Landfill Directive (1999/31/EC)</w:t>
            </w:r>
          </w:p>
        </w:tc>
        <w:tc>
          <w:tcPr>
            <w:tcW w:w="2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Waste, Energy</w:t>
            </w:r>
          </w:p>
        </w:tc>
        <w:tc>
          <w:tcPr>
            <w:tcW w:w="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CH4</w:t>
            </w:r>
          </w:p>
        </w:tc>
        <w:tc>
          <w:tcPr>
            <w:tcW w:w="54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Prevent or reduce as far as possible negative effects on the environment resulting from landfilling</w:t>
            </w:r>
          </w:p>
        </w:tc>
        <w:tc>
          <w:tcPr>
            <w:tcW w:w="29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The Landfill Directive defines the different categories of waste (municipal waste, hazardous waste, non-hazardous waste and inert waste) and applies to all landfills, defined as waste disposal sites for the deposit of waste onto or into land.</w:t>
            </w: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1999</w:t>
            </w:r>
          </w:p>
        </w:tc>
        <w:tc>
          <w:tcPr>
            <w:tcW w:w="421"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CION/MS</w:t>
            </w:r>
          </w:p>
        </w:tc>
        <w:tc>
          <w:tcPr>
            <w:tcW w:w="2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 xml:space="preserve">48000 </w:t>
            </w:r>
          </w:p>
        </w:tc>
        <w:tc>
          <w:tcPr>
            <w:tcW w:w="1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44000</w:t>
            </w:r>
          </w:p>
        </w:tc>
        <w:tc>
          <w:tcPr>
            <w:tcW w:w="1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2010 impact compared to 1995 levels, 2020 impact compared to 2008 levels (if all MS fully meet the targets: 62000kt in 2020), Source: EEA report</w:t>
            </w:r>
          </w:p>
          <w:p>
            <w:pPr>
              <w:rPr>
                <w:noProof/>
                <w:sz w:val="10"/>
                <w:szCs w:val="10"/>
                <w:lang w:val="en-GB"/>
              </w:rPr>
            </w:pPr>
            <w:r>
              <w:rPr>
                <w:noProof/>
                <w:sz w:val="10"/>
                <w:szCs w:val="10"/>
                <w:lang w:val="en-GB"/>
              </w:rPr>
              <w:t>See chapter 3.8.2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EU policies targeting waste streams</w:t>
            </w:r>
          </w:p>
        </w:tc>
        <w:tc>
          <w:tcPr>
            <w:tcW w:w="2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Waste, energy</w:t>
            </w:r>
          </w:p>
        </w:tc>
        <w:tc>
          <w:tcPr>
            <w:tcW w:w="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CO2, CH4</w:t>
            </w:r>
          </w:p>
        </w:tc>
        <w:tc>
          <w:tcPr>
            <w:tcW w:w="54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Conservation of resources</w:t>
            </w:r>
          </w:p>
        </w:tc>
        <w:tc>
          <w:tcPr>
            <w:tcW w:w="29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These policy group targets different waste streams to promote recycling, re-use and waste recovery.</w:t>
            </w: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1994</w:t>
            </w:r>
          </w:p>
        </w:tc>
        <w:tc>
          <w:tcPr>
            <w:tcW w:w="421"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CION/MS</w:t>
            </w:r>
          </w:p>
        </w:tc>
        <w:tc>
          <w:tcPr>
            <w:tcW w:w="2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(impact not estimated)</w:t>
            </w:r>
          </w:p>
          <w:p>
            <w:pPr>
              <w:rPr>
                <w:noProof/>
                <w:sz w:val="10"/>
                <w:szCs w:val="10"/>
                <w:lang w:val="en-GB"/>
              </w:rPr>
            </w:pPr>
            <w:r>
              <w:rPr>
                <w:noProof/>
                <w:sz w:val="10"/>
                <w:szCs w:val="10"/>
                <w:lang w:val="en-GB"/>
              </w:rPr>
              <w:t>See chapter 3.8.4 of the EU’s 2nd Biennial Report.</w:t>
            </w:r>
          </w:p>
        </w:tc>
      </w:tr>
      <w:tr>
        <w:trPr>
          <w:tblHeader/>
        </w:trPr>
        <w:tc>
          <w:tcPr>
            <w:tcW w:w="3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Management of biodegradable waste (COM/2008/0811 final)</w:t>
            </w:r>
          </w:p>
        </w:tc>
        <w:tc>
          <w:tcPr>
            <w:tcW w:w="2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Waste, Energy</w:t>
            </w:r>
          </w:p>
        </w:tc>
        <w:tc>
          <w:tcPr>
            <w:tcW w:w="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CO2, CH4</w:t>
            </w:r>
          </w:p>
        </w:tc>
        <w:tc>
          <w:tcPr>
            <w:tcW w:w="54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Make us of bio-waste as energy or material source</w:t>
            </w:r>
          </w:p>
        </w:tc>
        <w:tc>
          <w:tcPr>
            <w:tcW w:w="29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planned</w:t>
            </w:r>
          </w:p>
        </w:tc>
        <w:tc>
          <w:tcPr>
            <w:tcW w:w="50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lang w:val="en-GB"/>
              </w:rPr>
              <w:t xml:space="preserve">The CION published a Green Paper on the Management of biodegradable waste to use the potential of bio-waste. Currently the MS follow different strategies to manage their bio-waste. </w:t>
            </w:r>
            <w:r>
              <w:rPr>
                <w:noProof/>
                <w:sz w:val="10"/>
                <w:szCs w:val="10"/>
              </w:rPr>
              <w:t>A binding target is under discussion.</w:t>
            </w: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p>
        </w:tc>
        <w:tc>
          <w:tcPr>
            <w:tcW w:w="421"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CION/MS</w:t>
            </w:r>
          </w:p>
        </w:tc>
        <w:tc>
          <w:tcPr>
            <w:tcW w:w="2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Reduction potential ranges between 1500 and 6000 kt CO2eq in 2020, depending on the target. Source: Feasibility assessment</w:t>
            </w:r>
          </w:p>
          <w:p>
            <w:pPr>
              <w:rPr>
                <w:noProof/>
                <w:sz w:val="10"/>
                <w:szCs w:val="10"/>
                <w:lang w:val="en-GB"/>
              </w:rPr>
            </w:pPr>
            <w:r>
              <w:rPr>
                <w:noProof/>
                <w:sz w:val="10"/>
                <w:szCs w:val="10"/>
                <w:lang w:val="en-GB"/>
              </w:rPr>
              <w:t xml:space="preserve">See chapter 3.8.3 of the EU’s 2nd Biennial Report. </w:t>
            </w:r>
          </w:p>
        </w:tc>
      </w:tr>
      <w:tr>
        <w:trPr>
          <w:tblHeader/>
        </w:trPr>
        <w:tc>
          <w:tcPr>
            <w:tcW w:w="3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Urban Waste Water Treatment Directive (91/271/EEC)</w:t>
            </w:r>
          </w:p>
        </w:tc>
        <w:tc>
          <w:tcPr>
            <w:tcW w:w="2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Waste</w:t>
            </w:r>
          </w:p>
        </w:tc>
        <w:tc>
          <w:tcPr>
            <w:tcW w:w="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N2O, CH4</w:t>
            </w:r>
          </w:p>
        </w:tc>
        <w:tc>
          <w:tcPr>
            <w:tcW w:w="54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Protect the environment from the adverse effects of urban &amp; industrial waste water discharges</w:t>
            </w:r>
          </w:p>
        </w:tc>
        <w:tc>
          <w:tcPr>
            <w:tcW w:w="29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Regulatory</w:t>
            </w:r>
          </w:p>
        </w:tc>
        <w:tc>
          <w:tcPr>
            <w:tcW w:w="37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implemented</w:t>
            </w:r>
          </w:p>
        </w:tc>
        <w:tc>
          <w:tcPr>
            <w:tcW w:w="50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The Directive concerns the collection, treatment and discharge of urban waste water and the treatment and discharge of waste water from certain industrial sectors.</w:t>
            </w: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1991</w:t>
            </w:r>
          </w:p>
        </w:tc>
        <w:tc>
          <w:tcPr>
            <w:tcW w:w="421"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CION/MS</w:t>
            </w:r>
          </w:p>
        </w:tc>
        <w:tc>
          <w:tcPr>
            <w:tcW w:w="2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2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17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rPr>
            </w:pPr>
            <w:r>
              <w:rPr>
                <w:noProof/>
                <w:sz w:val="10"/>
                <w:szCs w:val="10"/>
              </w:rPr>
              <w:t>NE</w:t>
            </w:r>
          </w:p>
        </w:tc>
        <w:tc>
          <w:tcPr>
            <w:tcW w:w="6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pPr>
              <w:rPr>
                <w:noProof/>
                <w:sz w:val="10"/>
                <w:szCs w:val="10"/>
                <w:lang w:val="en-GB"/>
              </w:rPr>
            </w:pPr>
            <w:r>
              <w:rPr>
                <w:noProof/>
                <w:sz w:val="10"/>
                <w:szCs w:val="10"/>
                <w:lang w:val="en-GB"/>
              </w:rPr>
              <w:t>(impact not estimated)</w:t>
            </w:r>
          </w:p>
          <w:p>
            <w:pPr>
              <w:rPr>
                <w:noProof/>
                <w:sz w:val="10"/>
                <w:szCs w:val="10"/>
                <w:lang w:val="en-GB"/>
              </w:rPr>
            </w:pPr>
            <w:r>
              <w:rPr>
                <w:noProof/>
                <w:sz w:val="10"/>
                <w:szCs w:val="10"/>
                <w:lang w:val="en-GB"/>
              </w:rPr>
              <w:t>See chapter 3.8.5 of the EU’s 2nd Biennial Report.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7"/>
          <w:wAfter w:w="1818" w:type="pct"/>
          <w:tblHeader/>
        </w:trPr>
        <w:tc>
          <w:tcPr>
            <w:tcW w:w="3182" w:type="pct"/>
            <w:gridSpan w:val="10"/>
            <w:shd w:val="clear" w:color="auto" w:fill="FFFFFF"/>
            <w:tcMar>
              <w:top w:w="0" w:type="dxa"/>
              <w:left w:w="0" w:type="dxa"/>
              <w:bottom w:w="0" w:type="dxa"/>
              <w:right w:w="0" w:type="dxa"/>
            </w:tcMar>
            <w:vAlign w:val="center"/>
            <w:hideMark/>
          </w:tcPr>
          <w:p>
            <w:pPr>
              <w:spacing w:after="0"/>
              <w:jc w:val="left"/>
              <w:rPr>
                <w:noProof/>
                <w:sz w:val="10"/>
                <w:szCs w:val="10"/>
                <w:lang w:val="en-GB" w:eastAsia="de-DE"/>
              </w:rPr>
            </w:pPr>
            <w:r>
              <w:rPr>
                <w:noProof/>
                <w:sz w:val="10"/>
                <w:szCs w:val="10"/>
                <w:lang w:val="en-GB" w:eastAsia="de-DE"/>
              </w:rPr>
              <w:t>Abbreviations: GHG = greenhouse gas; LULUCF = land use, land-use change and forestry.; NE: not estimated</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7"/>
          <w:wAfter w:w="1818" w:type="pct"/>
          <w:tblHeader/>
        </w:trPr>
        <w:tc>
          <w:tcPr>
            <w:tcW w:w="3182" w:type="pct"/>
            <w:gridSpan w:val="10"/>
            <w:tcMar>
              <w:top w:w="0" w:type="dxa"/>
              <w:left w:w="0" w:type="dxa"/>
              <w:bottom w:w="0" w:type="dxa"/>
              <w:right w:w="0" w:type="dxa"/>
            </w:tcMar>
            <w:vAlign w:val="center"/>
            <w:hideMark/>
          </w:tcPr>
          <w:p>
            <w:pPr>
              <w:spacing w:after="0"/>
              <w:jc w:val="left"/>
              <w:rPr>
                <w:noProof/>
                <w:sz w:val="10"/>
                <w:szCs w:val="10"/>
                <w:lang w:val="en-GB" w:eastAsia="de-DE"/>
              </w:rPr>
            </w:pPr>
            <w:r>
              <w:rPr>
                <w:noProof/>
                <w:sz w:val="10"/>
                <w:szCs w:val="10"/>
                <w:vertAlign w:val="superscript"/>
                <w:lang w:val="en-GB" w:eastAsia="de-DE"/>
              </w:rPr>
              <w:t>a</w:t>
            </w:r>
            <w:r>
              <w:rPr>
                <w:noProof/>
                <w:sz w:val="10"/>
                <w:szCs w:val="10"/>
                <w:lang w:val="en-GB" w:eastAsia="de-DE"/>
              </w:rPr>
              <w:t xml:space="preserve"> Parties should use an asterisk (*) to indicate that a mitigation action is included in the ‘with measures’ projection.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7"/>
          <w:wAfter w:w="1818" w:type="pct"/>
          <w:tblHeader/>
        </w:trPr>
        <w:tc>
          <w:tcPr>
            <w:tcW w:w="3182" w:type="pct"/>
            <w:gridSpan w:val="10"/>
            <w:shd w:val="clear" w:color="auto" w:fill="FFFFFF"/>
            <w:tcMar>
              <w:top w:w="0" w:type="dxa"/>
              <w:left w:w="0" w:type="dxa"/>
              <w:bottom w:w="0" w:type="dxa"/>
              <w:right w:w="0" w:type="dxa"/>
            </w:tcMar>
            <w:vAlign w:val="center"/>
            <w:hideMark/>
          </w:tcPr>
          <w:p>
            <w:pPr>
              <w:spacing w:after="0"/>
              <w:jc w:val="left"/>
              <w:rPr>
                <w:b/>
                <w:noProof/>
                <w:sz w:val="10"/>
                <w:szCs w:val="10"/>
                <w:vertAlign w:val="superscript"/>
                <w:lang w:val="en-GB" w:eastAsia="de-DE"/>
              </w:rPr>
            </w:pPr>
            <w:r>
              <w:rPr>
                <w:b/>
                <w:noProof/>
                <w:sz w:val="10"/>
                <w:szCs w:val="10"/>
                <w:lang w:val="en-GB" w:eastAsia="de-DE"/>
              </w:rPr>
              <w:t xml:space="preserve">On aggregated EU-level, detailed information on the inclusion of EU-wide PaMs in the ‘with measures’ projection is not available as this may differ between the 28 Member States. Such detailed information can be sought in the Member states’ own Biennial Reports.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7"/>
          <w:wAfter w:w="1818" w:type="pct"/>
          <w:tblHeader/>
        </w:trPr>
        <w:tc>
          <w:tcPr>
            <w:tcW w:w="3182" w:type="pct"/>
            <w:gridSpan w:val="10"/>
            <w:shd w:val="clear" w:color="auto" w:fill="FFFFFF"/>
            <w:tcMar>
              <w:top w:w="0" w:type="dxa"/>
              <w:left w:w="0" w:type="dxa"/>
              <w:bottom w:w="0" w:type="dxa"/>
              <w:right w:w="0" w:type="dxa"/>
            </w:tcMar>
            <w:vAlign w:val="center"/>
            <w:hideMark/>
          </w:tcPr>
          <w:p>
            <w:pPr>
              <w:spacing w:after="0"/>
              <w:jc w:val="left"/>
              <w:rPr>
                <w:noProof/>
                <w:sz w:val="10"/>
                <w:szCs w:val="10"/>
                <w:lang w:val="en-GB" w:eastAsia="de-DE"/>
              </w:rPr>
            </w:pPr>
            <w:r>
              <w:rPr>
                <w:noProof/>
                <w:sz w:val="10"/>
                <w:szCs w:val="10"/>
                <w:vertAlign w:val="superscript"/>
                <w:lang w:val="en-GB" w:eastAsia="de-DE"/>
              </w:rPr>
              <w:t>b</w:t>
            </w:r>
            <w:r>
              <w:rPr>
                <w:noProof/>
                <w:sz w:val="10"/>
                <w:szCs w:val="10"/>
                <w:lang w:val="en-GB" w:eastAsia="de-DE"/>
              </w:rPr>
              <w:t xml:space="preserve"> To the extent possible, the following sectors should be used: energy, transport, industry/industrial processes, agriculture, forestry/LULUCF, waste management/waste, other sectors, cross-cutting, as appropriate.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7"/>
          <w:wAfter w:w="1818" w:type="pct"/>
          <w:tblHeader/>
        </w:trPr>
        <w:tc>
          <w:tcPr>
            <w:tcW w:w="3182" w:type="pct"/>
            <w:gridSpan w:val="10"/>
            <w:tcMar>
              <w:top w:w="0" w:type="dxa"/>
              <w:left w:w="0" w:type="dxa"/>
              <w:bottom w:w="0" w:type="dxa"/>
              <w:right w:w="0" w:type="dxa"/>
            </w:tcMar>
            <w:vAlign w:val="center"/>
            <w:hideMark/>
          </w:tcPr>
          <w:p>
            <w:pPr>
              <w:spacing w:after="0"/>
              <w:jc w:val="left"/>
              <w:rPr>
                <w:noProof/>
                <w:sz w:val="10"/>
                <w:szCs w:val="10"/>
                <w:lang w:val="en-GB" w:eastAsia="de-DE"/>
              </w:rPr>
            </w:pPr>
            <w:r>
              <w:rPr>
                <w:noProof/>
                <w:sz w:val="10"/>
                <w:szCs w:val="10"/>
                <w:vertAlign w:val="superscript"/>
                <w:lang w:val="en-GB" w:eastAsia="de-DE"/>
              </w:rPr>
              <w:t>c</w:t>
            </w:r>
            <w:r>
              <w:rPr>
                <w:noProof/>
                <w:sz w:val="10"/>
                <w:szCs w:val="10"/>
                <w:lang w:val="en-GB" w:eastAsia="de-DE"/>
              </w:rPr>
              <w:t xml:space="preserve"> To the extent possible, the following types of instrument should be used: economic, fiscal, voluntary agreement, regulatory, information, education, research, other.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7"/>
          <w:wAfter w:w="1818" w:type="pct"/>
          <w:tblHeader/>
        </w:trPr>
        <w:tc>
          <w:tcPr>
            <w:tcW w:w="3182" w:type="pct"/>
            <w:gridSpan w:val="10"/>
            <w:shd w:val="clear" w:color="auto" w:fill="FFFFFF"/>
            <w:tcMar>
              <w:top w:w="0" w:type="dxa"/>
              <w:left w:w="0" w:type="dxa"/>
              <w:bottom w:w="0" w:type="dxa"/>
              <w:right w:w="0" w:type="dxa"/>
            </w:tcMar>
            <w:vAlign w:val="center"/>
            <w:hideMark/>
          </w:tcPr>
          <w:p>
            <w:pPr>
              <w:spacing w:after="0"/>
              <w:jc w:val="left"/>
              <w:rPr>
                <w:noProof/>
                <w:sz w:val="10"/>
                <w:szCs w:val="10"/>
                <w:lang w:val="en-GB" w:eastAsia="de-DE"/>
              </w:rPr>
            </w:pPr>
            <w:r>
              <w:rPr>
                <w:noProof/>
                <w:sz w:val="10"/>
                <w:szCs w:val="10"/>
                <w:vertAlign w:val="superscript"/>
                <w:lang w:val="en-GB" w:eastAsia="de-DE"/>
              </w:rPr>
              <w:t>d</w:t>
            </w:r>
            <w:r>
              <w:rPr>
                <w:noProof/>
                <w:sz w:val="10"/>
                <w:szCs w:val="10"/>
                <w:lang w:val="en-GB" w:eastAsia="de-DE"/>
              </w:rPr>
              <w:t xml:space="preserve"> To the extent possible, the following descriptive terms should be used to report on the status of implementation: implemented, adopted, planned.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7"/>
          <w:wAfter w:w="1818" w:type="pct"/>
          <w:tblHeader/>
        </w:trPr>
        <w:tc>
          <w:tcPr>
            <w:tcW w:w="3182" w:type="pct"/>
            <w:gridSpan w:val="10"/>
            <w:tcMar>
              <w:top w:w="0" w:type="dxa"/>
              <w:left w:w="0" w:type="dxa"/>
              <w:bottom w:w="0" w:type="dxa"/>
              <w:right w:w="0" w:type="dxa"/>
            </w:tcMar>
            <w:vAlign w:val="center"/>
            <w:hideMark/>
          </w:tcPr>
          <w:p>
            <w:pPr>
              <w:spacing w:after="0"/>
              <w:jc w:val="left"/>
              <w:rPr>
                <w:noProof/>
                <w:sz w:val="10"/>
                <w:szCs w:val="10"/>
                <w:lang w:val="en-GB" w:eastAsia="de-DE"/>
              </w:rPr>
            </w:pPr>
            <w:r>
              <w:rPr>
                <w:noProof/>
                <w:sz w:val="10"/>
                <w:szCs w:val="10"/>
                <w:vertAlign w:val="superscript"/>
                <w:lang w:val="en-GB" w:eastAsia="de-DE"/>
              </w:rPr>
              <w:t>e</w:t>
            </w:r>
            <w:r>
              <w:rPr>
                <w:noProof/>
                <w:sz w:val="10"/>
                <w:szCs w:val="10"/>
                <w:lang w:val="en-GB" w:eastAsia="de-DE"/>
              </w:rPr>
              <w:t xml:space="preserve"> Additional information may be provided on the cost of the mitigation actions and the relevant timescale.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7"/>
          <w:wAfter w:w="1818" w:type="pct"/>
          <w:tblHeader/>
        </w:trPr>
        <w:tc>
          <w:tcPr>
            <w:tcW w:w="3182" w:type="pct"/>
            <w:gridSpan w:val="10"/>
            <w:shd w:val="clear" w:color="auto" w:fill="FFFFFF"/>
            <w:tcMar>
              <w:top w:w="0" w:type="dxa"/>
              <w:left w:w="0" w:type="dxa"/>
              <w:bottom w:w="0" w:type="dxa"/>
              <w:right w:w="0" w:type="dxa"/>
            </w:tcMar>
            <w:vAlign w:val="center"/>
            <w:hideMark/>
          </w:tcPr>
          <w:p>
            <w:pPr>
              <w:spacing w:after="0"/>
              <w:jc w:val="left"/>
              <w:rPr>
                <w:noProof/>
                <w:sz w:val="10"/>
                <w:szCs w:val="10"/>
                <w:lang w:val="en-GB" w:eastAsia="de-DE"/>
              </w:rPr>
            </w:pPr>
            <w:r>
              <w:rPr>
                <w:noProof/>
                <w:sz w:val="10"/>
                <w:szCs w:val="10"/>
                <w:vertAlign w:val="superscript"/>
                <w:lang w:val="en-GB" w:eastAsia="de-DE"/>
              </w:rPr>
              <w:t>f</w:t>
            </w:r>
            <w:r>
              <w:rPr>
                <w:noProof/>
                <w:sz w:val="10"/>
                <w:szCs w:val="10"/>
                <w:lang w:val="en-GB" w:eastAsia="de-DE"/>
              </w:rPr>
              <w:t xml:space="preserve"> Optional year or years deemed relevant by the Party.</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7"/>
          <w:wAfter w:w="1818" w:type="pct"/>
          <w:tblHeader/>
        </w:trPr>
        <w:tc>
          <w:tcPr>
            <w:tcW w:w="3182" w:type="pct"/>
            <w:gridSpan w:val="10"/>
            <w:tcMar>
              <w:top w:w="0" w:type="dxa"/>
              <w:left w:w="0" w:type="dxa"/>
              <w:bottom w:w="0" w:type="dxa"/>
              <w:right w:w="0" w:type="dxa"/>
            </w:tcMar>
            <w:vAlign w:val="center"/>
          </w:tcPr>
          <w:p>
            <w:pPr>
              <w:spacing w:after="0"/>
              <w:jc w:val="left"/>
              <w:rPr>
                <w:noProof/>
                <w:sz w:val="10"/>
                <w:szCs w:val="10"/>
                <w:lang w:val="en-GB" w:eastAsia="de-DE"/>
              </w:rPr>
            </w:pPr>
            <w:r>
              <w:rPr>
                <w:noProof/>
                <w:sz w:val="10"/>
                <w:szCs w:val="10"/>
                <w:lang w:val="en-GB" w:eastAsia="de-DE"/>
              </w:rPr>
              <w:t>The EU ‘with existing measures’ projections scenario is aggregated from individual Member States submissions. Thus, the projections include a variety of measures depending on the status of implementation of EU initiated policies in different Member States and programmes of measures developed independently in individual Member States. Measures included in the EU ‘with existing measures’ and scenarios can therefore not be indicated in CTF Table 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7"/>
          <w:wAfter w:w="1818" w:type="pct"/>
          <w:tblHeader/>
        </w:trPr>
        <w:tc>
          <w:tcPr>
            <w:tcW w:w="3182" w:type="pct"/>
            <w:gridSpan w:val="10"/>
            <w:tcMar>
              <w:top w:w="0" w:type="dxa"/>
              <w:left w:w="0" w:type="dxa"/>
              <w:bottom w:w="0" w:type="dxa"/>
              <w:right w:w="0" w:type="dxa"/>
            </w:tcMar>
            <w:vAlign w:val="center"/>
            <w:hideMark/>
          </w:tcPr>
          <w:p>
            <w:pPr>
              <w:spacing w:after="0"/>
              <w:jc w:val="left"/>
              <w:rPr>
                <w:noProof/>
                <w:sz w:val="10"/>
                <w:szCs w:val="10"/>
                <w:lang w:val="en-GB" w:eastAsia="de-DE"/>
              </w:rPr>
            </w:pPr>
            <w:r>
              <w:rPr>
                <w:noProof/>
                <w:sz w:val="10"/>
                <w:szCs w:val="10"/>
                <w:lang w:val="en-GB" w:eastAsia="de-DE"/>
              </w:rPr>
              <w:t>Abbreviations for implementing entities: CION: European Commission; EP: European Parliament; MS: Member States</w:t>
            </w:r>
          </w:p>
        </w:tc>
      </w:tr>
    </w:tbl>
    <w:p>
      <w:pPr>
        <w:rPr>
          <w:noProof/>
          <w:lang w:val="en-GB"/>
        </w:rPr>
        <w:sectPr>
          <w:headerReference w:type="even" r:id="rId39"/>
          <w:headerReference w:type="default" r:id="rId40"/>
          <w:footerReference w:type="even" r:id="rId41"/>
          <w:footerReference w:type="default" r:id="rId42"/>
          <w:headerReference w:type="first" r:id="rId43"/>
          <w:footerReference w:type="first" r:id="rId44"/>
          <w:pgSz w:w="16839" w:h="11907" w:orient="landscape" w:code="9"/>
          <w:pgMar w:top="541" w:right="1701" w:bottom="960" w:left="1320" w:header="360" w:footer="651" w:gutter="0"/>
          <w:paperSrc w:first="15" w:other="15"/>
          <w:cols w:space="720"/>
          <w:docGrid w:linePitch="299"/>
        </w:sectPr>
      </w:pPr>
    </w:p>
    <w:p>
      <w:pPr>
        <w:pStyle w:val="Heading1"/>
        <w:rPr>
          <w:noProof/>
        </w:rPr>
      </w:pPr>
      <w:bookmarkStart w:id="19" w:name="_Toc434423712"/>
      <w:bookmarkStart w:id="20" w:name="_Toc434423954"/>
      <w:bookmarkStart w:id="21" w:name="_Toc434424005"/>
      <w:r>
        <w:rPr>
          <w:noProof/>
        </w:rPr>
        <w:t>CTF table 4: Report on progress</w:t>
      </w:r>
      <w:bookmarkEnd w:id="19"/>
      <w:bookmarkEnd w:id="20"/>
      <w:bookmarkEnd w:id="21"/>
    </w:p>
    <w:p>
      <w:pPr>
        <w:pStyle w:val="Standardtext"/>
        <w:rPr>
          <w:noProof/>
        </w:rPr>
      </w:pPr>
      <w:r>
        <w:rPr>
          <w:noProof/>
          <w:lang w:val="en-US"/>
        </w:rPr>
        <w:drawing>
          <wp:inline distT="0" distB="0" distL="0" distR="0">
            <wp:extent cx="7729200" cy="5040000"/>
            <wp:effectExtent l="0" t="0" r="5715"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7729200" cy="5040000"/>
                    </a:xfrm>
                    <a:prstGeom prst="rect">
                      <a:avLst/>
                    </a:prstGeom>
                  </pic:spPr>
                </pic:pic>
              </a:graphicData>
            </a:graphic>
          </wp:inline>
        </w:drawing>
      </w:r>
    </w:p>
    <w:p>
      <w:pPr>
        <w:pStyle w:val="Standardtext"/>
        <w:rPr>
          <w:noProof/>
        </w:rPr>
      </w:pPr>
    </w:p>
    <w:p>
      <w:pPr>
        <w:pStyle w:val="Heading1"/>
        <w:rPr>
          <w:noProof/>
          <w:lang w:val="en-GB"/>
        </w:rPr>
      </w:pPr>
      <w:bookmarkStart w:id="22" w:name="_Toc434231454"/>
      <w:bookmarkStart w:id="23" w:name="_Toc434423713"/>
      <w:bookmarkStart w:id="24" w:name="_Toc434423955"/>
      <w:bookmarkStart w:id="25" w:name="_Toc434424006"/>
      <w:r>
        <w:rPr>
          <w:noProof/>
          <w:lang w:val="en-GB"/>
        </w:rPr>
        <w:t>CTF table 5: Summary of key variables and assumptions used in the projections analysis</w:t>
      </w:r>
      <w:bookmarkEnd w:id="22"/>
      <w:bookmarkEnd w:id="23"/>
      <w:bookmarkEnd w:id="24"/>
      <w:bookmarkEnd w:id="25"/>
    </w:p>
    <w:p>
      <w:pPr>
        <w:pStyle w:val="Standardtext"/>
        <w:rPr>
          <w:noProof/>
          <w:lang w:val="en-GB"/>
        </w:rPr>
      </w:pPr>
    </w:p>
    <w:p>
      <w:pPr>
        <w:pStyle w:val="Standardtext"/>
        <w:rPr>
          <w:noProof/>
        </w:rPr>
        <w:sectPr>
          <w:headerReference w:type="even" r:id="rId46"/>
          <w:headerReference w:type="default" r:id="rId47"/>
          <w:footerReference w:type="even" r:id="rId48"/>
          <w:footerReference w:type="default" r:id="rId49"/>
          <w:headerReference w:type="first" r:id="rId50"/>
          <w:footerReference w:type="first" r:id="rId51"/>
          <w:pgSz w:w="16839" w:h="11907" w:orient="landscape" w:code="9"/>
          <w:pgMar w:top="1134" w:right="1418" w:bottom="1134" w:left="1418" w:header="709" w:footer="454" w:gutter="0"/>
          <w:cols w:space="708"/>
          <w:docGrid w:linePitch="360"/>
        </w:sectPr>
      </w:pPr>
      <w:r>
        <w:rPr>
          <w:noProof/>
          <w:lang w:val="en-US"/>
        </w:rPr>
        <w:drawing>
          <wp:inline distT="0" distB="0" distL="0" distR="0">
            <wp:extent cx="8891905" cy="2264663"/>
            <wp:effectExtent l="0" t="0" r="4445" b="2540"/>
            <wp:docPr id="7" name="Grafik 7" descr="cid:image002.png@01D12B6F.EB241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2.png@01D12B6F.EB241630"/>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bwMode="auto">
                    <a:xfrm>
                      <a:off x="0" y="0"/>
                      <a:ext cx="8891905" cy="2264663"/>
                    </a:xfrm>
                    <a:prstGeom prst="rect">
                      <a:avLst/>
                    </a:prstGeom>
                    <a:noFill/>
                    <a:ln>
                      <a:noFill/>
                    </a:ln>
                  </pic:spPr>
                </pic:pic>
              </a:graphicData>
            </a:graphic>
          </wp:inline>
        </w:drawing>
      </w:r>
    </w:p>
    <w:p>
      <w:pPr>
        <w:pStyle w:val="Heading1"/>
        <w:rPr>
          <w:noProof/>
          <w:lang w:val="en-US"/>
        </w:rPr>
      </w:pPr>
      <w:bookmarkStart w:id="26" w:name="_Toc434423714"/>
      <w:bookmarkStart w:id="27" w:name="_Toc434423956"/>
      <w:bookmarkStart w:id="28" w:name="_Toc434424007"/>
      <w:r>
        <w:rPr>
          <w:noProof/>
          <w:lang w:val="en-US"/>
        </w:rPr>
        <w:t>CTF table 6: Information on updated greenhouse gas projections under a ‘with measures’ scenario</w:t>
      </w:r>
      <w:bookmarkEnd w:id="26"/>
      <w:bookmarkEnd w:id="27"/>
      <w:bookmarkEnd w:id="28"/>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9"/>
      </w:tblGrid>
      <w:tr>
        <w:trPr>
          <w:cantSplit/>
        </w:trPr>
        <w:tc>
          <w:tcPr>
            <w:tcW w:w="9639" w:type="dxa"/>
            <w:tcBorders>
              <w:top w:val="single" w:sz="4" w:space="0" w:color="006AA4" w:themeColor="accent1"/>
              <w:left w:val="nil"/>
              <w:bottom w:val="nil"/>
              <w:right w:val="nil"/>
            </w:tcBorders>
          </w:tcPr>
          <w:p>
            <w:pPr>
              <w:pStyle w:val="Caption"/>
              <w:spacing w:before="0" w:after="0"/>
              <w:rPr>
                <w:noProof/>
                <w:lang w:val="en-GB"/>
              </w:rPr>
            </w:pPr>
          </w:p>
        </w:tc>
      </w:tr>
      <w:tr>
        <w:tc>
          <w:tcPr>
            <w:tcW w:w="9639" w:type="dxa"/>
            <w:hideMark/>
          </w:tcPr>
          <w:p>
            <w:pPr>
              <w:pStyle w:val="Standardtext"/>
              <w:keepNext/>
              <w:jc w:val="left"/>
              <w:rPr>
                <w:noProof/>
              </w:rPr>
            </w:pPr>
            <w:r>
              <w:rPr>
                <w:noProof/>
                <w:lang w:val="en-US"/>
              </w:rPr>
              <w:drawing>
                <wp:inline distT="0" distB="0" distL="0" distR="0">
                  <wp:extent cx="6120000" cy="47124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120000" cy="4712400"/>
                          </a:xfrm>
                          <a:prstGeom prst="rect">
                            <a:avLst/>
                          </a:prstGeom>
                          <a:noFill/>
                          <a:ln>
                            <a:noFill/>
                          </a:ln>
                        </pic:spPr>
                      </pic:pic>
                    </a:graphicData>
                  </a:graphic>
                </wp:inline>
              </w:drawing>
            </w:r>
          </w:p>
        </w:tc>
      </w:tr>
      <w:tr>
        <w:tc>
          <w:tcPr>
            <w:tcW w:w="9639" w:type="dxa"/>
            <w:tcBorders>
              <w:top w:val="nil"/>
              <w:left w:val="nil"/>
              <w:bottom w:val="single" w:sz="4" w:space="0" w:color="006AA4" w:themeColor="accent1"/>
              <w:right w:val="nil"/>
            </w:tcBorders>
            <w:hideMark/>
          </w:tcPr>
          <w:p>
            <w:pPr>
              <w:pStyle w:val="QuelleI"/>
              <w:keepNext/>
              <w:keepLines/>
              <w:rPr>
                <w:rFonts w:cs="Times New Roman"/>
                <w:noProof/>
                <w:lang w:val="en-GB" w:eastAsia="de-DE"/>
              </w:rPr>
            </w:pPr>
            <w:r>
              <w:rPr>
                <w:rFonts w:cs="Times New Roman"/>
                <w:noProof/>
                <w:lang w:val="en-GB"/>
              </w:rPr>
              <w:t>Note:    The EU’s greenhouse gas projection is the result of an aggregation of Member States individual GHG projections. Member States had to submit these projections under the MMR in March 2015. The preparation of the projections takes considerable time. It is therefore likely that the F-Gas Regulation which was adopted in 2014 could not be considered within individual greenhouse gas projections. Therefore its anticipated effects are not completely reflected in the EU’s greenhouse gas projection</w:t>
            </w:r>
          </w:p>
        </w:tc>
      </w:tr>
    </w:tbl>
    <w:p>
      <w:pPr>
        <w:pStyle w:val="Standardtext"/>
        <w:rPr>
          <w:noProof/>
          <w:lang w:val="en-GB"/>
        </w:rPr>
      </w:pPr>
    </w:p>
    <w:p>
      <w:pPr>
        <w:pStyle w:val="Standardtext"/>
        <w:rPr>
          <w:noProof/>
          <w:lang w:val="en-GB"/>
        </w:rPr>
      </w:pPr>
    </w:p>
    <w:p>
      <w:pPr>
        <w:pStyle w:val="Standardtext"/>
        <w:rPr>
          <w:noProof/>
          <w:lang w:val="en-GB"/>
        </w:rPr>
        <w:sectPr>
          <w:headerReference w:type="even" r:id="rId55"/>
          <w:headerReference w:type="default" r:id="rId56"/>
          <w:footerReference w:type="even" r:id="rId57"/>
          <w:footerReference w:type="default" r:id="rId58"/>
          <w:headerReference w:type="first" r:id="rId59"/>
          <w:footerReference w:type="first" r:id="rId60"/>
          <w:pgSz w:w="11907" w:h="16839" w:code="9"/>
          <w:pgMar w:top="1418" w:right="1134" w:bottom="1418" w:left="1134" w:header="709" w:footer="454" w:gutter="0"/>
          <w:cols w:space="708"/>
          <w:docGrid w:linePitch="360"/>
        </w:sectPr>
      </w:pPr>
    </w:p>
    <w:p>
      <w:pPr>
        <w:pStyle w:val="Heading1"/>
        <w:pageBreakBefore/>
        <w:rPr>
          <w:noProof/>
          <w:lang w:val="en-US"/>
        </w:rPr>
      </w:pPr>
      <w:bookmarkStart w:id="29" w:name="_Toc434423715"/>
      <w:bookmarkStart w:id="30" w:name="_Toc434423957"/>
      <w:bookmarkStart w:id="31" w:name="_Toc434424008"/>
      <w:r>
        <w:rPr>
          <w:noProof/>
          <w:lang w:val="en-US"/>
        </w:rPr>
        <w:t>CTF Table 7. Provision of public financial support: summary information.</w:t>
      </w:r>
      <w:bookmarkEnd w:id="29"/>
      <w:bookmarkEnd w:id="30"/>
      <w:bookmarkEnd w:id="31"/>
      <w:r>
        <w:rPr>
          <w:noProof/>
          <w:lang w:val="en-US"/>
        </w:rPr>
        <w:t xml:space="preserve"> </w:t>
      </w:r>
    </w:p>
    <w:p>
      <w:pPr>
        <w:rPr>
          <w:noProof/>
          <w:lang w:val="en-US"/>
        </w:rPr>
      </w:pPr>
      <w:r>
        <w:rPr>
          <w:noProof/>
          <w:lang w:val="en-US"/>
        </w:rPr>
        <w:drawing>
          <wp:inline distT="0" distB="0" distL="0" distR="0">
            <wp:extent cx="8238654" cy="3684008"/>
            <wp:effectExtent l="0" t="0" r="0" b="0"/>
            <wp:docPr id="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8248352" cy="3688345"/>
                    </a:xfrm>
                    <a:prstGeom prst="rect">
                      <a:avLst/>
                    </a:prstGeom>
                  </pic:spPr>
                </pic:pic>
              </a:graphicData>
            </a:graphic>
          </wp:inline>
        </w:drawing>
      </w:r>
    </w:p>
    <w:p>
      <w:pPr>
        <w:pStyle w:val="Standardtext"/>
        <w:rPr>
          <w:noProof/>
          <w:szCs w:val="24"/>
          <w:lang w:val="en-GB"/>
        </w:rPr>
      </w:pPr>
      <w:r>
        <w:rPr>
          <w:noProof/>
          <w:szCs w:val="24"/>
          <w:lang w:val="en-GB"/>
        </w:rPr>
        <w:t>Each Party shall provide an indication of what new and additional financial resources they have provided, and clarify how they have determined that such resources are new and additional. Please provide this information in relation to table 7(a) and table 7(b).</w:t>
      </w:r>
    </w:p>
    <w:p>
      <w:pPr>
        <w:pStyle w:val="Standardtext"/>
        <w:rPr>
          <w:noProof/>
          <w:szCs w:val="24"/>
          <w:lang w:val="en-GB"/>
        </w:rPr>
      </w:pPr>
      <w:r>
        <w:rPr>
          <w:noProof/>
          <w:szCs w:val="24"/>
          <w:lang w:val="en-GB"/>
        </w:rPr>
        <w:t>Documentation box:</w:t>
      </w:r>
    </w:p>
    <w:p>
      <w:pPr>
        <w:pStyle w:val="Standardtext"/>
        <w:pBdr>
          <w:top w:val="single" w:sz="4" w:space="1" w:color="auto"/>
          <w:left w:val="single" w:sz="4" w:space="4" w:color="auto"/>
          <w:bottom w:val="single" w:sz="4" w:space="1" w:color="auto"/>
          <w:right w:val="single" w:sz="4" w:space="4" w:color="auto"/>
        </w:pBdr>
        <w:rPr>
          <w:b/>
          <w:noProof/>
          <w:szCs w:val="24"/>
          <w:lang w:val="en-GB"/>
        </w:rPr>
      </w:pPr>
      <w:r>
        <w:rPr>
          <w:b/>
          <w:noProof/>
          <w:szCs w:val="24"/>
          <w:lang w:val="en-GB"/>
        </w:rPr>
        <w:t>The financial resources reported in this Biennial Report are considered to be “new and additional resources” meaning that they were committed after and not included in the previous national communication or biennial report. As per recommendation of the ERT, it is further stated that the EU budgets are determined on an annual basis so that each annual commitment cycle represents new and additional resources.</w:t>
      </w:r>
    </w:p>
    <w:p>
      <w:pPr>
        <w:pStyle w:val="Standardtext"/>
        <w:rPr>
          <w:noProof/>
          <w:lang w:val="en-GB"/>
        </w:rPr>
      </w:pPr>
    </w:p>
    <w:p>
      <w:pPr>
        <w:pStyle w:val="Heading1"/>
        <w:rPr>
          <w:noProof/>
          <w:lang w:val="en-US"/>
        </w:rPr>
      </w:pPr>
      <w:bookmarkStart w:id="32" w:name="_Toc434423716"/>
      <w:bookmarkStart w:id="33" w:name="_Toc434423958"/>
      <w:bookmarkStart w:id="34" w:name="_Toc434424009"/>
      <w:r>
        <w:rPr>
          <w:noProof/>
          <w:lang w:val="en-US"/>
        </w:rPr>
        <w:t>CTF table 7b: Provision of public financial support: contribution through bilateral, regional and other channels in 2013</w:t>
      </w:r>
      <w:bookmarkEnd w:id="32"/>
      <w:bookmarkEnd w:id="33"/>
      <w:bookmarkEnd w:id="34"/>
    </w:p>
    <w:tbl>
      <w:tblPr>
        <w:tblW w:w="5000" w:type="pct"/>
        <w:tblCellMar>
          <w:left w:w="70" w:type="dxa"/>
          <w:right w:w="70" w:type="dxa"/>
        </w:tblCellMar>
        <w:tblLook w:val="04A0" w:firstRow="1" w:lastRow="0" w:firstColumn="1" w:lastColumn="0" w:noHBand="0" w:noVBand="1"/>
      </w:tblPr>
      <w:tblGrid>
        <w:gridCol w:w="2032"/>
        <w:gridCol w:w="1628"/>
        <w:gridCol w:w="1241"/>
        <w:gridCol w:w="1015"/>
        <w:gridCol w:w="733"/>
        <w:gridCol w:w="919"/>
        <w:gridCol w:w="1206"/>
        <w:gridCol w:w="1524"/>
        <w:gridCol w:w="4024"/>
      </w:tblGrid>
      <w:tr>
        <w:trPr>
          <w:trHeight w:val="20"/>
          <w:tblHeader/>
        </w:trPr>
        <w:tc>
          <w:tcPr>
            <w:tcW w:w="709" w:type="pct"/>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jc w:val="center"/>
              <w:rPr>
                <w:rFonts w:eastAsia="Times New Roman"/>
                <w:b/>
                <w:bCs/>
                <w:noProof/>
                <w:sz w:val="12"/>
                <w:szCs w:val="12"/>
                <w:lang w:val="en-GB" w:eastAsia="de-DE"/>
              </w:rPr>
            </w:pPr>
            <w:r>
              <w:rPr>
                <w:rFonts w:eastAsia="Times New Roman"/>
                <w:b/>
                <w:bCs/>
                <w:noProof/>
                <w:sz w:val="12"/>
                <w:szCs w:val="12"/>
                <w:lang w:val="en-GB" w:eastAsia="de-DE"/>
              </w:rPr>
              <w:t>Recipient country/ region/project/programme</w:t>
            </w:r>
          </w:p>
        </w:tc>
        <w:tc>
          <w:tcPr>
            <w:tcW w:w="1001" w:type="pct"/>
            <w:gridSpan w:val="2"/>
            <w:tcBorders>
              <w:top w:val="single" w:sz="4" w:space="0" w:color="auto"/>
              <w:left w:val="nil"/>
              <w:bottom w:val="single" w:sz="4" w:space="0" w:color="auto"/>
              <w:right w:val="single" w:sz="4" w:space="0" w:color="auto"/>
            </w:tcBorders>
            <w:shd w:val="clear" w:color="FFFFFF" w:fill="FFFFFF"/>
            <w:vAlign w:val="center"/>
            <w:hideMark/>
          </w:tcPr>
          <w:p>
            <w:pPr>
              <w:spacing w:after="0" w:line="240" w:lineRule="auto"/>
              <w:jc w:val="center"/>
              <w:rPr>
                <w:rFonts w:eastAsia="Times New Roman"/>
                <w:b/>
                <w:bCs/>
                <w:noProof/>
                <w:sz w:val="12"/>
                <w:szCs w:val="12"/>
                <w:lang w:eastAsia="de-DE"/>
              </w:rPr>
            </w:pPr>
            <w:r>
              <w:rPr>
                <w:rFonts w:eastAsia="Times New Roman"/>
                <w:b/>
                <w:bCs/>
                <w:noProof/>
                <w:sz w:val="12"/>
                <w:szCs w:val="12"/>
                <w:lang w:eastAsia="de-DE"/>
              </w:rPr>
              <w:t>Total amount</w:t>
            </w:r>
          </w:p>
        </w:tc>
        <w:tc>
          <w:tcPr>
            <w:tcW w:w="354" w:type="pct"/>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jc w:val="center"/>
              <w:rPr>
                <w:rFonts w:eastAsia="Times New Roman"/>
                <w:b/>
                <w:bCs/>
                <w:noProof/>
                <w:sz w:val="12"/>
                <w:szCs w:val="12"/>
                <w:lang w:eastAsia="de-DE"/>
              </w:rPr>
            </w:pPr>
            <w:r>
              <w:rPr>
                <w:rFonts w:eastAsia="Times New Roman"/>
                <w:b/>
                <w:bCs/>
                <w:noProof/>
                <w:sz w:val="12"/>
                <w:szCs w:val="12"/>
                <w:lang w:eastAsia="de-DE"/>
              </w:rPr>
              <w:t>Status</w:t>
            </w:r>
          </w:p>
        </w:tc>
        <w:tc>
          <w:tcPr>
            <w:tcW w:w="256" w:type="pct"/>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jc w:val="center"/>
              <w:rPr>
                <w:rFonts w:eastAsia="Times New Roman"/>
                <w:b/>
                <w:bCs/>
                <w:noProof/>
                <w:sz w:val="12"/>
                <w:szCs w:val="12"/>
                <w:lang w:eastAsia="de-DE"/>
              </w:rPr>
            </w:pPr>
            <w:r>
              <w:rPr>
                <w:rFonts w:eastAsia="Times New Roman"/>
                <w:b/>
                <w:bCs/>
                <w:noProof/>
                <w:sz w:val="12"/>
                <w:szCs w:val="12"/>
                <w:lang w:eastAsia="de-DE"/>
              </w:rPr>
              <w:t>Funding source</w:t>
            </w:r>
          </w:p>
        </w:tc>
        <w:tc>
          <w:tcPr>
            <w:tcW w:w="321" w:type="pct"/>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jc w:val="center"/>
              <w:rPr>
                <w:rFonts w:eastAsia="Times New Roman"/>
                <w:b/>
                <w:bCs/>
                <w:noProof/>
                <w:sz w:val="12"/>
                <w:szCs w:val="12"/>
                <w:lang w:eastAsia="de-DE"/>
              </w:rPr>
            </w:pPr>
            <w:r>
              <w:rPr>
                <w:rFonts w:eastAsia="Times New Roman"/>
                <w:b/>
                <w:bCs/>
                <w:noProof/>
                <w:sz w:val="12"/>
                <w:szCs w:val="12"/>
                <w:lang w:eastAsia="de-DE"/>
              </w:rPr>
              <w:t>Financial instrument</w:t>
            </w:r>
          </w:p>
        </w:tc>
        <w:tc>
          <w:tcPr>
            <w:tcW w:w="421" w:type="pct"/>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jc w:val="center"/>
              <w:rPr>
                <w:rFonts w:eastAsia="Times New Roman"/>
                <w:b/>
                <w:bCs/>
                <w:noProof/>
                <w:sz w:val="12"/>
                <w:szCs w:val="12"/>
                <w:lang w:eastAsia="de-DE"/>
              </w:rPr>
            </w:pPr>
            <w:r>
              <w:rPr>
                <w:rFonts w:eastAsia="Times New Roman"/>
                <w:b/>
                <w:bCs/>
                <w:noProof/>
                <w:sz w:val="12"/>
                <w:szCs w:val="12"/>
                <w:lang w:eastAsia="de-DE"/>
              </w:rPr>
              <w:t>Type of support</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b/>
                <w:bCs/>
                <w:noProof/>
                <w:sz w:val="12"/>
                <w:szCs w:val="12"/>
                <w:lang w:eastAsia="de-DE"/>
              </w:rPr>
            </w:pPr>
            <w:r>
              <w:rPr>
                <w:rFonts w:eastAsia="Times New Roman"/>
                <w:b/>
                <w:bCs/>
                <w:noProof/>
                <w:sz w:val="12"/>
                <w:szCs w:val="12"/>
                <w:lang w:eastAsia="de-DE"/>
              </w:rPr>
              <w:t>Sector</w:t>
            </w:r>
          </w:p>
        </w:tc>
        <w:tc>
          <w:tcPr>
            <w:tcW w:w="14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b/>
                <w:bCs/>
                <w:noProof/>
                <w:sz w:val="12"/>
                <w:szCs w:val="12"/>
                <w:lang w:eastAsia="de-DE"/>
              </w:rPr>
            </w:pPr>
            <w:r>
              <w:rPr>
                <w:rFonts w:eastAsia="Times New Roman"/>
                <w:b/>
                <w:bCs/>
                <w:noProof/>
                <w:sz w:val="12"/>
                <w:szCs w:val="12"/>
                <w:lang w:eastAsia="de-DE"/>
              </w:rPr>
              <w:t>Additional information</w:t>
            </w:r>
          </w:p>
        </w:tc>
      </w:tr>
      <w:tr>
        <w:trPr>
          <w:trHeight w:val="20"/>
          <w:tblHeader/>
        </w:trPr>
        <w:tc>
          <w:tcPr>
            <w:tcW w:w="709"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left"/>
              <w:rPr>
                <w:rFonts w:eastAsia="Times New Roman"/>
                <w:b/>
                <w:bCs/>
                <w:noProof/>
                <w:sz w:val="12"/>
                <w:szCs w:val="12"/>
                <w:lang w:eastAsia="de-DE"/>
              </w:rPr>
            </w:pPr>
          </w:p>
        </w:tc>
        <w:tc>
          <w:tcPr>
            <w:tcW w:w="1001" w:type="pct"/>
            <w:gridSpan w:val="2"/>
            <w:tcBorders>
              <w:top w:val="single" w:sz="4" w:space="0" w:color="auto"/>
              <w:left w:val="nil"/>
              <w:bottom w:val="single" w:sz="4" w:space="0" w:color="auto"/>
              <w:right w:val="single" w:sz="4" w:space="0" w:color="auto"/>
            </w:tcBorders>
            <w:shd w:val="clear" w:color="FFFFFF" w:fill="FFFFFF"/>
            <w:vAlign w:val="center"/>
            <w:hideMark/>
          </w:tcPr>
          <w:p>
            <w:pPr>
              <w:spacing w:after="0" w:line="240" w:lineRule="auto"/>
              <w:jc w:val="center"/>
              <w:rPr>
                <w:rFonts w:eastAsia="Times New Roman"/>
                <w:b/>
                <w:bCs/>
                <w:noProof/>
                <w:sz w:val="12"/>
                <w:szCs w:val="12"/>
                <w:lang w:eastAsia="de-DE"/>
              </w:rPr>
            </w:pPr>
            <w:r>
              <w:rPr>
                <w:rFonts w:eastAsia="Times New Roman"/>
                <w:b/>
                <w:bCs/>
                <w:noProof/>
                <w:sz w:val="12"/>
                <w:szCs w:val="12"/>
                <w:lang w:eastAsia="de-DE"/>
              </w:rPr>
              <w:t xml:space="preserve">Climate-specific </w:t>
            </w:r>
          </w:p>
        </w:tc>
        <w:tc>
          <w:tcPr>
            <w:tcW w:w="354"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left"/>
              <w:rPr>
                <w:rFonts w:eastAsia="Times New Roman"/>
                <w:b/>
                <w:bCs/>
                <w:noProof/>
                <w:sz w:val="12"/>
                <w:szCs w:val="12"/>
                <w:lang w:eastAsia="de-DE"/>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left"/>
              <w:rPr>
                <w:rFonts w:eastAsia="Times New Roman"/>
                <w:b/>
                <w:bCs/>
                <w:noProof/>
                <w:sz w:val="12"/>
                <w:szCs w:val="12"/>
                <w:lang w:eastAsia="de-DE"/>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left"/>
              <w:rPr>
                <w:rFonts w:eastAsia="Times New Roman"/>
                <w:b/>
                <w:bCs/>
                <w:noProof/>
                <w:sz w:val="12"/>
                <w:szCs w:val="12"/>
                <w:lang w:eastAsia="de-DE"/>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left"/>
              <w:rPr>
                <w:rFonts w:eastAsia="Times New Roman"/>
                <w:b/>
                <w:bCs/>
                <w:noProof/>
                <w:sz w:val="12"/>
                <w:szCs w:val="12"/>
                <w:lang w:eastAsia="de-DE"/>
              </w:rPr>
            </w:pPr>
          </w:p>
        </w:tc>
        <w:tc>
          <w:tcPr>
            <w:tcW w:w="5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left"/>
              <w:rPr>
                <w:rFonts w:eastAsia="Times New Roman"/>
                <w:b/>
                <w:bCs/>
                <w:noProof/>
                <w:sz w:val="12"/>
                <w:szCs w:val="12"/>
                <w:lang w:eastAsia="de-DE"/>
              </w:rPr>
            </w:pPr>
          </w:p>
        </w:tc>
        <w:tc>
          <w:tcPr>
            <w:tcW w:w="140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left"/>
              <w:rPr>
                <w:rFonts w:eastAsia="Times New Roman"/>
                <w:b/>
                <w:bCs/>
                <w:noProof/>
                <w:sz w:val="12"/>
                <w:szCs w:val="12"/>
                <w:lang w:eastAsia="de-DE"/>
              </w:rPr>
            </w:pPr>
          </w:p>
        </w:tc>
      </w:tr>
      <w:tr>
        <w:trPr>
          <w:trHeight w:val="20"/>
          <w:tblHeader/>
        </w:trPr>
        <w:tc>
          <w:tcPr>
            <w:tcW w:w="709"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left"/>
              <w:rPr>
                <w:rFonts w:eastAsia="Times New Roman"/>
                <w:b/>
                <w:bCs/>
                <w:noProof/>
                <w:sz w:val="12"/>
                <w:szCs w:val="12"/>
                <w:lang w:eastAsia="de-DE"/>
              </w:rPr>
            </w:pP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eastAsia="Times New Roman"/>
                <w:b/>
                <w:bCs/>
                <w:noProof/>
                <w:sz w:val="12"/>
                <w:szCs w:val="12"/>
                <w:lang w:eastAsia="de-DE"/>
              </w:rPr>
            </w:pPr>
            <w:r>
              <w:rPr>
                <w:rFonts w:eastAsia="Times New Roman"/>
                <w:b/>
                <w:bCs/>
                <w:noProof/>
                <w:sz w:val="12"/>
                <w:szCs w:val="12"/>
                <w:lang w:eastAsia="de-DE"/>
              </w:rPr>
              <w:t>European euro - EUR</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eastAsia="Times New Roman"/>
                <w:b/>
                <w:bCs/>
                <w:noProof/>
                <w:sz w:val="12"/>
                <w:szCs w:val="12"/>
                <w:lang w:eastAsia="de-DE"/>
              </w:rPr>
            </w:pPr>
            <w:r>
              <w:rPr>
                <w:rFonts w:eastAsia="Times New Roman"/>
                <w:b/>
                <w:bCs/>
                <w:noProof/>
                <w:sz w:val="12"/>
                <w:szCs w:val="12"/>
                <w:lang w:eastAsia="de-DE"/>
              </w:rPr>
              <w:t>USD</w:t>
            </w:r>
          </w:p>
        </w:tc>
        <w:tc>
          <w:tcPr>
            <w:tcW w:w="354"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left"/>
              <w:rPr>
                <w:rFonts w:eastAsia="Times New Roman"/>
                <w:b/>
                <w:bCs/>
                <w:noProof/>
                <w:sz w:val="12"/>
                <w:szCs w:val="12"/>
                <w:lang w:eastAsia="de-DE"/>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left"/>
              <w:rPr>
                <w:rFonts w:eastAsia="Times New Roman"/>
                <w:b/>
                <w:bCs/>
                <w:noProof/>
                <w:sz w:val="12"/>
                <w:szCs w:val="12"/>
                <w:lang w:eastAsia="de-DE"/>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left"/>
              <w:rPr>
                <w:rFonts w:eastAsia="Times New Roman"/>
                <w:b/>
                <w:bCs/>
                <w:noProof/>
                <w:sz w:val="12"/>
                <w:szCs w:val="12"/>
                <w:lang w:eastAsia="de-DE"/>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left"/>
              <w:rPr>
                <w:rFonts w:eastAsia="Times New Roman"/>
                <w:b/>
                <w:bCs/>
                <w:noProof/>
                <w:sz w:val="12"/>
                <w:szCs w:val="12"/>
                <w:lang w:eastAsia="de-DE"/>
              </w:rPr>
            </w:pPr>
          </w:p>
        </w:tc>
        <w:tc>
          <w:tcPr>
            <w:tcW w:w="5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left"/>
              <w:rPr>
                <w:rFonts w:eastAsia="Times New Roman"/>
                <w:b/>
                <w:bCs/>
                <w:noProof/>
                <w:sz w:val="12"/>
                <w:szCs w:val="12"/>
                <w:lang w:eastAsia="de-DE"/>
              </w:rPr>
            </w:pPr>
          </w:p>
        </w:tc>
        <w:tc>
          <w:tcPr>
            <w:tcW w:w="140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left"/>
              <w:rPr>
                <w:rFonts w:eastAsia="Times New Roman"/>
                <w:b/>
                <w:bCs/>
                <w:noProof/>
                <w:sz w:val="12"/>
                <w:szCs w:val="12"/>
                <w:lang w:eastAsia="de-DE"/>
              </w:rPr>
            </w:pP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Bilateral, non allocated</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53 320 000,00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70 808 960,00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Multisector aid</w:t>
            </w:r>
            <w:r>
              <w:rPr>
                <w:rFonts w:eastAsia="Times New Roman"/>
                <w:noProof/>
                <w:sz w:val="12"/>
                <w:szCs w:val="12"/>
                <w:lang w:val="en-GB" w:eastAsia="de-DE"/>
              </w:rPr>
              <w:br/>
              <w:t>EU Budget contribution to the NIF (2011-2013) - ENPI South Region</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South Africa</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40 000 000,00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53 120 000,00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Multisector aid</w:t>
            </w:r>
            <w:r>
              <w:rPr>
                <w:rFonts w:eastAsia="Times New Roman"/>
                <w:noProof/>
                <w:sz w:val="12"/>
                <w:szCs w:val="12"/>
                <w:lang w:val="en-GB" w:eastAsia="de-DE"/>
              </w:rPr>
              <w:br/>
              <w:t>Infrastructure Investment Programme for South Africa (IIPSA)</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Europe</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30 880 000,00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41 008 640,00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Multisector aid</w:t>
            </w:r>
            <w:r>
              <w:rPr>
                <w:rFonts w:eastAsia="Times New Roman"/>
                <w:noProof/>
                <w:sz w:val="12"/>
                <w:szCs w:val="12"/>
                <w:lang w:val="en-GB" w:eastAsia="de-DE"/>
              </w:rPr>
              <w:br/>
              <w:t xml:space="preserve">EU Budget contribution to the NIF (2011-2013) - ENPI East Region  </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Morocco</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24 000 000,00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31 872 000,00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agriculture</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Agricultural policy and administrative management</w:t>
            </w:r>
            <w:r>
              <w:rPr>
                <w:rFonts w:eastAsia="Times New Roman"/>
                <w:noProof/>
                <w:sz w:val="12"/>
                <w:szCs w:val="12"/>
                <w:lang w:val="en-GB" w:eastAsia="de-DE"/>
              </w:rPr>
              <w:br/>
              <w:t>Support programme for agricultural policy in Morocco, phase 2 (AGRI II)</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Africa - South Sahara, regional</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60 000 000,00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79 680 000,00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Disaster prevention and preparedness</w:t>
            </w:r>
            <w:r>
              <w:rPr>
                <w:rFonts w:eastAsia="Times New Roman"/>
                <w:noProof/>
                <w:sz w:val="12"/>
                <w:szCs w:val="12"/>
                <w:lang w:val="en-GB" w:eastAsia="de-DE"/>
              </w:rPr>
              <w:br/>
              <w:t>Building Resilience of African Nations and Communities to Disasters</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Bilateral, non allocated</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23 260 000,00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30 889 280,00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agriculture</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Agricultural research</w:t>
            </w:r>
            <w:r>
              <w:rPr>
                <w:rFonts w:eastAsia="Times New Roman"/>
                <w:noProof/>
                <w:sz w:val="12"/>
                <w:szCs w:val="12"/>
                <w:lang w:val="en-GB" w:eastAsia="de-DE"/>
              </w:rPr>
              <w:br/>
              <w:t>Global Public Goods for Food and Nutrition Security: Support to International Agricultural Research for Development</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Africa - South Sahara, regional</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22 400 000,00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29 747 200,00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agriculture</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Agricultural policy and administrative management</w:t>
            </w:r>
            <w:r>
              <w:rPr>
                <w:rFonts w:eastAsia="Times New Roman"/>
                <w:noProof/>
                <w:sz w:val="12"/>
                <w:szCs w:val="12"/>
                <w:lang w:val="en-GB" w:eastAsia="de-DE"/>
              </w:rPr>
              <w:br/>
              <w:t>« Stock CEDEAO », covering the first 3 components of the support project for storing food security in West Africa between the EU and the Economic Community of West African States (CEDEAO) (ROC/FED/24-947)</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Bilateral, non allocated</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22 000 000,00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29 216 000,00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 xml:space="preserve">Power generation/renewable sources </w:t>
            </w:r>
            <w:r>
              <w:rPr>
                <w:rFonts w:eastAsia="Times New Roman"/>
                <w:noProof/>
                <w:sz w:val="12"/>
                <w:szCs w:val="12"/>
                <w:lang w:val="en-GB" w:eastAsia="de-DE"/>
              </w:rPr>
              <w:br/>
              <w:t>Second global committment for the energy Facility Call for Proposals</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Ethiopia</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20 000 000,00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26 560 000,00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Rural development</w:t>
            </w:r>
            <w:r>
              <w:rPr>
                <w:rFonts w:eastAsia="Times New Roman"/>
                <w:noProof/>
                <w:sz w:val="12"/>
                <w:szCs w:val="12"/>
                <w:lang w:val="en-GB" w:eastAsia="de-DE"/>
              </w:rPr>
              <w:br/>
              <w:t>SHARE Ethiopia - Accelerating Resilience Capacity (ARC)</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America</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19 800 000,00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26 294 400,00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Multisector aid</w:t>
            </w:r>
            <w:r>
              <w:rPr>
                <w:rFonts w:eastAsia="Times New Roman"/>
                <w:noProof/>
                <w:sz w:val="12"/>
                <w:szCs w:val="12"/>
                <w:lang w:val="en-GB" w:eastAsia="de-DE"/>
              </w:rPr>
              <w:br/>
              <w:t>Latin America Investment Facility 2009 - LAIF</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Kenya </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16 000 000,00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21 248 000,00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Rural development</w:t>
            </w:r>
            <w:r>
              <w:rPr>
                <w:rFonts w:eastAsia="Times New Roman"/>
                <w:noProof/>
                <w:sz w:val="12"/>
                <w:szCs w:val="12"/>
                <w:lang w:eastAsia="de-DE"/>
              </w:rPr>
              <w:br/>
              <w:t>SHARE Kenya</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Oceania</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35 500 000,00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47 144 000,00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Energy policy and administrative management</w:t>
            </w:r>
            <w:r>
              <w:rPr>
                <w:rFonts w:eastAsia="Times New Roman"/>
                <w:noProof/>
                <w:sz w:val="12"/>
                <w:szCs w:val="12"/>
                <w:lang w:val="en-GB" w:eastAsia="de-DE"/>
              </w:rPr>
              <w:br/>
              <w:t>Adapting to Climate Change and Sustainable Energy (ACSE)</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Kenya </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31 000 000,00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41 168 000,00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water and sanitation</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Water resources policy and administrative management</w:t>
            </w:r>
            <w:r>
              <w:rPr>
                <w:rFonts w:eastAsia="Times New Roman"/>
                <w:noProof/>
                <w:sz w:val="12"/>
                <w:szCs w:val="12"/>
                <w:lang w:val="en-GB" w:eastAsia="de-DE"/>
              </w:rPr>
              <w:br/>
              <w:t>Water Tower Protection and Climate Change Mitigation and Adaptation Programme</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Guyana</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12 080 000,00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16 042 240,00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Multisector aid</w:t>
            </w:r>
            <w:r>
              <w:rPr>
                <w:rFonts w:eastAsia="Times New Roman"/>
                <w:noProof/>
                <w:sz w:val="12"/>
                <w:szCs w:val="12"/>
                <w:lang w:val="en-GB" w:eastAsia="de-DE"/>
              </w:rPr>
              <w:br/>
              <w:t>10th EDF Contribution to the Caribbean Facility (CIF), earmarked for Guyana</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Bilateral, non allocated</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12 000 000,00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15 936 000,00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 xml:space="preserve">Power generation/renewable sources </w:t>
            </w:r>
            <w:r>
              <w:rPr>
                <w:rFonts w:eastAsia="Times New Roman"/>
                <w:noProof/>
                <w:sz w:val="12"/>
                <w:szCs w:val="12"/>
                <w:lang w:val="en-GB" w:eastAsia="de-DE"/>
              </w:rPr>
              <w:br/>
              <w:t>Action fiche for budget increase and re-allocation of the 10th EDF ACP-EU Energy Facility</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Africa - South Sahara, regional</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12 000 000,00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15 936 000,00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Electrical transmission/ distribution</w:t>
            </w:r>
            <w:r>
              <w:rPr>
                <w:rFonts w:eastAsia="Times New Roman"/>
                <w:noProof/>
                <w:sz w:val="12"/>
                <w:szCs w:val="12"/>
                <w:lang w:val="en-GB" w:eastAsia="de-DE"/>
              </w:rPr>
              <w:br/>
              <w:t>Western African Power Pool Information and Coordination Centre</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Asia</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12 000 000,00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15 936 000,00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Multisector aid</w:t>
            </w:r>
            <w:r>
              <w:rPr>
                <w:rFonts w:eastAsia="Times New Roman"/>
                <w:noProof/>
                <w:sz w:val="12"/>
                <w:szCs w:val="12"/>
                <w:lang w:val="en-GB" w:eastAsia="de-DE"/>
              </w:rPr>
              <w:br/>
              <w:t>Asian Investment facility</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Bilateral, non allocated</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29 000 000,00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38 512 000,00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Urban development and management</w:t>
            </w:r>
            <w:r>
              <w:rPr>
                <w:rFonts w:eastAsia="Times New Roman"/>
                <w:noProof/>
                <w:sz w:val="12"/>
                <w:szCs w:val="12"/>
                <w:lang w:val="en-GB" w:eastAsia="de-DE"/>
              </w:rPr>
              <w:br/>
              <w:t>Regional Programme in the Neighbourhood East for Sustainable Urban Demonstration Projects (SUDeP)</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Nigeria </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10 800 000,00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14 342 400,00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Energy policy and administrative management</w:t>
            </w:r>
            <w:r>
              <w:rPr>
                <w:rFonts w:eastAsia="Times New Roman"/>
                <w:noProof/>
                <w:sz w:val="12"/>
                <w:szCs w:val="12"/>
                <w:lang w:val="en-GB" w:eastAsia="de-DE"/>
              </w:rPr>
              <w:br/>
              <w:t>Access to Sustainable Energy in Nigeria</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Bilateral, non allocated</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10 120 000,00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13 439 360,00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Energy policy and administrative management</w:t>
            </w:r>
            <w:r>
              <w:rPr>
                <w:rFonts w:eastAsia="Times New Roman"/>
                <w:noProof/>
                <w:sz w:val="12"/>
                <w:szCs w:val="12"/>
                <w:lang w:val="en-GB" w:eastAsia="de-DE"/>
              </w:rPr>
              <w:br/>
              <w:t>ACP-EU Energy Facility under the 10th EDF - replenishment 2012</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Bilateral, non allocated</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10 000 000,00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13 280 000,00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 xml:space="preserve">Power generation/renewable sources </w:t>
            </w:r>
            <w:r>
              <w:rPr>
                <w:rFonts w:eastAsia="Times New Roman"/>
                <w:noProof/>
                <w:sz w:val="12"/>
                <w:szCs w:val="12"/>
                <w:lang w:val="en-GB" w:eastAsia="de-DE"/>
              </w:rPr>
              <w:br/>
              <w:t>ACP-EU Energy Facility under the 10th EDF - replenishment 2012</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Burkina Faso </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25 000 000,00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33 200 000,00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Solar energy</w:t>
            </w:r>
            <w:r>
              <w:rPr>
                <w:rFonts w:eastAsia="Times New Roman"/>
                <w:noProof/>
                <w:sz w:val="12"/>
                <w:szCs w:val="12"/>
                <w:lang w:val="en-GB" w:eastAsia="de-DE"/>
              </w:rPr>
              <w:br/>
              <w:t>Producing photovoltaic solar for Zagtouli</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Central Asia</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8 226 800,00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10 925 190,40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Multisector aid</w:t>
            </w:r>
            <w:r>
              <w:rPr>
                <w:rFonts w:eastAsia="Times New Roman"/>
                <w:noProof/>
                <w:sz w:val="12"/>
                <w:szCs w:val="12"/>
                <w:lang w:val="en-GB" w:eastAsia="de-DE"/>
              </w:rPr>
              <w:br/>
              <w:t>Investment Facility for Central Asia 2013 (IFCA)</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 xml:space="preserve">West Bank and Gaza Strip </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val="en-GB" w:eastAsia="de-DE"/>
              </w:rPr>
              <w:t xml:space="preserve">                </w:t>
            </w:r>
            <w:r>
              <w:rPr>
                <w:rFonts w:eastAsia="Times New Roman"/>
                <w:noProof/>
                <w:sz w:val="12"/>
                <w:szCs w:val="12"/>
                <w:lang w:eastAsia="de-DE"/>
              </w:rPr>
              <w:t xml:space="preserve">8 000 000,00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10 624 000,00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water and sanitation</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Sanitation - large systems</w:t>
            </w:r>
            <w:r>
              <w:rPr>
                <w:rFonts w:eastAsia="Times New Roman"/>
                <w:noProof/>
                <w:sz w:val="12"/>
                <w:szCs w:val="12"/>
                <w:lang w:val="en-GB" w:eastAsia="de-DE"/>
              </w:rPr>
              <w:br/>
              <w:t xml:space="preserve">Sewerage Nablus East    </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Egypt</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8 000 000,00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10 624 000,00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water and sanitation</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fr-FR" w:eastAsia="de-DE"/>
              </w:rPr>
            </w:pPr>
            <w:r>
              <w:rPr>
                <w:rFonts w:eastAsia="Times New Roman"/>
                <w:noProof/>
                <w:sz w:val="12"/>
                <w:szCs w:val="12"/>
                <w:lang w:val="fr-FR" w:eastAsia="de-DE"/>
              </w:rPr>
              <w:t>Waste management/disposal</w:t>
            </w:r>
            <w:r>
              <w:rPr>
                <w:rFonts w:eastAsia="Times New Roman"/>
                <w:noProof/>
                <w:sz w:val="12"/>
                <w:szCs w:val="12"/>
                <w:lang w:val="fr-FR" w:eastAsia="de-DE"/>
              </w:rPr>
              <w:br/>
              <w:t>National Solid Waste Management Programme</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Africa - South Sahara, regional</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8 000 000,00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10 624 000,00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agriculture</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Agricultural land resources</w:t>
            </w:r>
            <w:r>
              <w:rPr>
                <w:rFonts w:eastAsia="Times New Roman"/>
                <w:noProof/>
                <w:sz w:val="12"/>
                <w:szCs w:val="12"/>
                <w:lang w:val="en-GB" w:eastAsia="de-DE"/>
              </w:rPr>
              <w:br/>
              <w:t xml:space="preserve">Action Against Desertification </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Africa - South Sahara, regional</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8 000 000,00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10 624 000,00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agriculture</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Food crop production</w:t>
            </w:r>
            <w:r>
              <w:rPr>
                <w:rFonts w:eastAsia="Times New Roman"/>
                <w:noProof/>
                <w:sz w:val="12"/>
                <w:szCs w:val="12"/>
                <w:lang w:val="en-GB" w:eastAsia="de-DE"/>
              </w:rPr>
              <w:br/>
              <w:t>Addressing food security for the poor and vulnerable in fragile situations: Call for proposals for Central African Republic, Sudan, South Sudan</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Madagascar</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8 000 000,00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10 624 000,00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forestry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Fuelwood/charcoal</w:t>
            </w:r>
            <w:r>
              <w:rPr>
                <w:rFonts w:eastAsia="Times New Roman"/>
                <w:noProof/>
                <w:sz w:val="12"/>
                <w:szCs w:val="12"/>
                <w:lang w:val="en-GB" w:eastAsia="de-DE"/>
              </w:rPr>
              <w:br/>
              <w:t xml:space="preserve">Support programme for agroforestry around ’Antananarivo </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Bilateral, non allocated</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20 000 000,00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26 560 000,00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Disaster prevention and preparedness</w:t>
            </w:r>
            <w:r>
              <w:rPr>
                <w:rFonts w:eastAsia="Times New Roman"/>
                <w:noProof/>
                <w:sz w:val="12"/>
                <w:szCs w:val="12"/>
                <w:lang w:val="en-GB" w:eastAsia="de-DE"/>
              </w:rPr>
              <w:br/>
              <w:t>ACP-EU Natural Disaster Risk Reduction Programme</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West Indies</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20 000 000,00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26 560 000,00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Disaster prevention and preparedness</w:t>
            </w:r>
            <w:r>
              <w:rPr>
                <w:rFonts w:eastAsia="Times New Roman"/>
                <w:noProof/>
                <w:sz w:val="12"/>
                <w:szCs w:val="12"/>
                <w:lang w:val="en-GB" w:eastAsia="de-DE"/>
              </w:rPr>
              <w:br/>
              <w:t>ACP-EU Natural Disaster Risk Management in the CARIFORUM</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Africa - South Sahara, regional</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7 800 000,00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10 358 400,00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Site preservation</w:t>
            </w:r>
            <w:r>
              <w:rPr>
                <w:rFonts w:eastAsia="Times New Roman"/>
                <w:noProof/>
                <w:sz w:val="12"/>
                <w:szCs w:val="12"/>
                <w:lang w:val="en-GB" w:eastAsia="de-DE"/>
              </w:rPr>
              <w:br/>
              <w:t>Public-Private Partnership: a mechanism to fulfill the mandates for conservation, development and poverty reduction in and around protected priority areas in Central Africa</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Africa - South Sahara, regional</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7 600 000,00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10 092 800,00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Environmental policy and administrative management</w:t>
            </w:r>
            <w:r>
              <w:rPr>
                <w:rFonts w:eastAsia="Times New Roman"/>
                <w:noProof/>
                <w:sz w:val="12"/>
                <w:szCs w:val="12"/>
                <w:lang w:val="en-GB" w:eastAsia="de-DE"/>
              </w:rPr>
              <w:br/>
              <w:t>SWITCH AFRICA GREEN</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Solomon Islands</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6 960 000,00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9 242 880,00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water and sanitation</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Basic drinking water supply and basic sanitation</w:t>
            </w:r>
            <w:r>
              <w:rPr>
                <w:rFonts w:eastAsia="Times New Roman"/>
                <w:noProof/>
                <w:sz w:val="12"/>
                <w:szCs w:val="12"/>
                <w:lang w:val="en-GB" w:eastAsia="de-DE"/>
              </w:rPr>
              <w:br/>
              <w:t>Improving governance and access to Water, Sanitation and Hygiene promotion (WASH)  for rural people</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Senegal </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6 960 000,00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9 242 880,00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Urban development and management</w:t>
            </w:r>
            <w:r>
              <w:rPr>
                <w:rFonts w:eastAsia="Times New Roman"/>
                <w:noProof/>
                <w:sz w:val="12"/>
                <w:szCs w:val="12"/>
                <w:lang w:val="en-GB" w:eastAsia="de-DE"/>
              </w:rPr>
              <w:br/>
              <w:t>Sanitation and urban restructuring in Hann and Petit Mbao</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Bilateral, non allocated</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6 800 000,00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9 030 400,00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Environmental policy and administrative management</w:t>
            </w:r>
            <w:r>
              <w:rPr>
                <w:rFonts w:eastAsia="Times New Roman"/>
                <w:noProof/>
                <w:sz w:val="12"/>
                <w:szCs w:val="12"/>
                <w:lang w:val="en-GB" w:eastAsia="de-DE"/>
              </w:rPr>
              <w:br/>
              <w:t>Switch MED demonstration projects and networking component</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Macedonia (Former Yugoslav Republic of)</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6 200 000,00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8 233 600,00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Rural development</w:t>
            </w:r>
            <w:r>
              <w:rPr>
                <w:rFonts w:eastAsia="Times New Roman"/>
                <w:noProof/>
                <w:sz w:val="12"/>
                <w:szCs w:val="12"/>
                <w:lang w:val="en-GB" w:eastAsia="de-DE"/>
              </w:rPr>
              <w:br/>
              <w:t>Improvement and development of rural infrastructure (with WB)</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Benin </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6 000 000,00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7 968 000,00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transport</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Rail transport</w:t>
            </w:r>
            <w:r>
              <w:rPr>
                <w:rFonts w:eastAsia="Times New Roman"/>
                <w:noProof/>
                <w:sz w:val="12"/>
                <w:szCs w:val="12"/>
                <w:lang w:val="en-GB" w:eastAsia="de-DE"/>
              </w:rPr>
              <w:br/>
              <w:t>Strengthening transport services on the axis Benin/Niger - Part of institutional strengthening</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Bilateral, non allocated</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6 000 000,00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7 968 000,00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Energy policy and administrative management</w:t>
            </w:r>
            <w:r>
              <w:rPr>
                <w:rFonts w:eastAsia="Times New Roman"/>
                <w:noProof/>
                <w:sz w:val="12"/>
                <w:szCs w:val="12"/>
                <w:lang w:val="en-GB" w:eastAsia="de-DE"/>
              </w:rPr>
              <w:br/>
              <w:t>Support to rural electrification in the context of EU Sustainable Energy for All (SE4All) funded initiatives</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Guyana</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14 800 000,00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19 654 400,00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Flood prevention/control</w:t>
            </w:r>
            <w:r>
              <w:rPr>
                <w:rFonts w:eastAsia="Times New Roman"/>
                <w:noProof/>
                <w:sz w:val="12"/>
                <w:szCs w:val="12"/>
                <w:lang w:val="en-GB" w:eastAsia="de-DE"/>
              </w:rPr>
              <w:br/>
              <w:t>Sea and River Defence Sector Budget Support Programme</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Serbia</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5 707 600,00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7 579 692,80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Energy policy and administrative management</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Africa - South Sahara, regional</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5 600 000,00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7 436 800,00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agriculture</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Agricultural research</w:t>
            </w:r>
            <w:r>
              <w:rPr>
                <w:rFonts w:eastAsia="Times New Roman"/>
                <w:noProof/>
                <w:sz w:val="12"/>
                <w:szCs w:val="12"/>
                <w:lang w:val="en-GB" w:eastAsia="de-DE"/>
              </w:rPr>
              <w:br/>
              <w:t>FSTP AAP 2013 first batch - Support to Forum for Agricultural Research in Africa –FARA (Medium Term Operational Plan 2014/2018)(CRIS/2013/318-401)</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Turkey</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13 950 000,00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18 525 600,00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Environmental policy and administrative management</w:t>
            </w:r>
            <w:r>
              <w:rPr>
                <w:rFonts w:eastAsia="Times New Roman"/>
                <w:noProof/>
                <w:sz w:val="12"/>
                <w:szCs w:val="12"/>
                <w:lang w:val="en-GB" w:eastAsia="de-DE"/>
              </w:rPr>
              <w:br/>
              <w:t>Capacity Building in the Field of Climate Change in Turkey</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Ukraine </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5 200 000,00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6 905 600,00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Environmental policy and administrative management</w:t>
            </w:r>
            <w:r>
              <w:rPr>
                <w:rFonts w:eastAsia="Times New Roman"/>
                <w:noProof/>
                <w:sz w:val="12"/>
                <w:szCs w:val="12"/>
                <w:lang w:val="en-GB" w:eastAsia="de-DE"/>
              </w:rPr>
              <w:br/>
              <w:t>Non-substantial increase of Ukraine 2013 Annual Action Programme</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Saint Kitts et Nevis </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5 105 200,00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6 779 705,60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Multisector aid</w:t>
            </w:r>
            <w:r>
              <w:rPr>
                <w:rFonts w:eastAsia="Times New Roman"/>
                <w:noProof/>
                <w:sz w:val="12"/>
                <w:szCs w:val="12"/>
                <w:lang w:val="en-GB" w:eastAsia="de-DE"/>
              </w:rPr>
              <w:br/>
              <w:t xml:space="preserve">National Social and Economic Transformation Programme - AAP 2012  </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Serbia</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5 060 000,00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6 719 680,00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Environmental policy and administrative management</w:t>
            </w:r>
            <w:r>
              <w:rPr>
                <w:rFonts w:eastAsia="Times New Roman"/>
                <w:noProof/>
                <w:sz w:val="12"/>
                <w:szCs w:val="12"/>
                <w:lang w:eastAsia="de-DE"/>
              </w:rPr>
              <w:br/>
              <w:t>Environment and Climate Change Sector</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Africa - South Sahara, regional</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12 324 341,38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16 366 725,35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 xml:space="preserve">Power generation/renewable sources </w:t>
            </w:r>
            <w:r>
              <w:rPr>
                <w:rFonts w:eastAsia="Times New Roman"/>
                <w:noProof/>
                <w:sz w:val="12"/>
                <w:szCs w:val="12"/>
                <w:lang w:val="en-GB" w:eastAsia="de-DE"/>
              </w:rPr>
              <w:br/>
              <w:t>ACP EU Energy facility under the 10 th EDF</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Serbia</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4 452 000,00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5 912 256,00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Energy policy and administrative management</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Africa - North Sahara, regional</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10 500 000,00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13 944 000,00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Urban development and management</w:t>
            </w:r>
            <w:r>
              <w:rPr>
                <w:rFonts w:eastAsia="Times New Roman"/>
                <w:noProof/>
                <w:sz w:val="12"/>
                <w:szCs w:val="12"/>
                <w:lang w:val="en-GB" w:eastAsia="de-DE"/>
              </w:rPr>
              <w:br/>
              <w:t>Regional Programme in the Neighbourhood for Sustainable Urban Demonstration Projects (SUDeP) -Southern Part</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Moldova, Republic of</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4 000 000,00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5 312 000,00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Energy policy and administrative management</w:t>
            </w:r>
            <w:r>
              <w:rPr>
                <w:rFonts w:eastAsia="Times New Roman"/>
                <w:noProof/>
                <w:sz w:val="12"/>
                <w:szCs w:val="12"/>
                <w:lang w:val="en-GB" w:eastAsia="de-DE"/>
              </w:rPr>
              <w:br/>
              <w:t xml:space="preserve">EaPIC Moldova – Scale-up of Support to the Reform of the Energy Sector </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Bilateral, non allocated</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10 000 000,00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13 280 000,00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Environmental policy and administrative management</w:t>
            </w:r>
            <w:r>
              <w:rPr>
                <w:rFonts w:eastAsia="Times New Roman"/>
                <w:noProof/>
                <w:sz w:val="12"/>
                <w:szCs w:val="12"/>
                <w:lang w:val="en-GB" w:eastAsia="de-DE"/>
              </w:rPr>
              <w:br/>
              <w:t>Supporting more ambitious Low-Emission Development pathways in key developing countries by promoting international cooperative initiatives to reduce greenhouse gas emissions through improvements in energy efficiency policies and reforming energy subs</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Moldova, Republic of</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3 784 000,00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5 025 152,00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Biomass</w:t>
            </w:r>
            <w:r>
              <w:rPr>
                <w:rFonts w:eastAsia="Times New Roman"/>
                <w:noProof/>
                <w:sz w:val="12"/>
                <w:szCs w:val="12"/>
                <w:lang w:val="en-GB" w:eastAsia="de-DE"/>
              </w:rPr>
              <w:br/>
              <w:t xml:space="preserve">EaPIC Moldova – Scale-up of Support to the use of biomass for energy </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Haiti </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3 720 000,00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4 940 160,00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Urban development and management</w:t>
            </w:r>
            <w:r>
              <w:rPr>
                <w:rFonts w:eastAsia="Times New Roman"/>
                <w:noProof/>
                <w:sz w:val="12"/>
                <w:szCs w:val="12"/>
                <w:lang w:val="en-GB" w:eastAsia="de-DE"/>
              </w:rPr>
              <w:br/>
              <w:t>Rehabilitation of neigbourhoods to facilitate the return of people displaced by the quake and support for reparing/constructing damaged/destroyed houses</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Kazakhstan </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3 520 000,00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4 674 560,00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Environmental policy and administrative management</w:t>
            </w:r>
            <w:r>
              <w:rPr>
                <w:rFonts w:eastAsia="Times New Roman"/>
                <w:noProof/>
                <w:sz w:val="12"/>
                <w:szCs w:val="12"/>
                <w:lang w:val="en-GB" w:eastAsia="de-DE"/>
              </w:rPr>
              <w:br/>
              <w:t>Supporting Kazakhstan's Green Economy Strategy</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Djibouti </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3 200 000,00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4 249 600,00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water and sanitation</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 xml:space="preserve">Water supply - large systems </w:t>
            </w:r>
            <w:r>
              <w:rPr>
                <w:rFonts w:eastAsia="Times New Roman"/>
                <w:noProof/>
                <w:sz w:val="12"/>
                <w:szCs w:val="12"/>
                <w:lang w:val="en-GB" w:eastAsia="de-DE"/>
              </w:rPr>
              <w:br/>
              <w:t>Initiative Supporting Horn of Africa's Resilience - Improving access to clean water in peri-urban areas in Djibouti and three main regional places and preparatory studiy for an intervention in the rural area</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Bolivia</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8 000 000,00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10 624 000,00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water and sanitation</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River development</w:t>
            </w:r>
            <w:r>
              <w:rPr>
                <w:rFonts w:eastAsia="Times New Roman"/>
                <w:noProof/>
                <w:sz w:val="12"/>
                <w:szCs w:val="12"/>
                <w:lang w:val="en-GB" w:eastAsia="de-DE"/>
              </w:rPr>
              <w:br/>
              <w:t>Sectoral support for the National Basin Plan II</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Albania</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8 000 000,00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10 624 000,00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Environmental policy and administrative management</w:t>
            </w:r>
            <w:r>
              <w:rPr>
                <w:rFonts w:eastAsia="Times New Roman"/>
                <w:noProof/>
                <w:sz w:val="12"/>
                <w:szCs w:val="12"/>
                <w:lang w:eastAsia="de-DE"/>
              </w:rPr>
              <w:br/>
              <w:t>Sector Programme on Environment and Climate Change</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Malawi </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8 000 000,00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10 624 000,00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Environmental policy and administrative management</w:t>
            </w:r>
            <w:r>
              <w:rPr>
                <w:rFonts w:eastAsia="Times New Roman"/>
                <w:noProof/>
                <w:sz w:val="12"/>
                <w:szCs w:val="12"/>
                <w:lang w:eastAsia="de-DE"/>
              </w:rPr>
              <w:br/>
              <w:t>Global Climate Change Alliance - Malawi</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Tanzania</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8 000 000,00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10 624 000,00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Environmental policy and administrative management</w:t>
            </w:r>
            <w:r>
              <w:rPr>
                <w:rFonts w:eastAsia="Times New Roman"/>
                <w:noProof/>
                <w:sz w:val="12"/>
                <w:szCs w:val="12"/>
                <w:lang w:val="en-GB" w:eastAsia="de-DE"/>
              </w:rPr>
              <w:br/>
              <w:t xml:space="preserve">Integrated Approaches for Climate Change Adaptation </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Tchad </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8 000 000,00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10 624 000,00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Environmental policy and administrative management</w:t>
            </w:r>
            <w:r>
              <w:rPr>
                <w:rFonts w:eastAsia="Times New Roman"/>
                <w:noProof/>
                <w:sz w:val="12"/>
                <w:szCs w:val="12"/>
                <w:lang w:val="en-GB" w:eastAsia="de-DE"/>
              </w:rPr>
              <w:br/>
              <w:t xml:space="preserve">GCCA in Tchad; adaptation to the effects of climate change and renewable energy development </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Africa - South Sahara, regional</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3 984 000,00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Environmental policy and administrative management</w:t>
            </w:r>
            <w:r>
              <w:rPr>
                <w:rFonts w:eastAsia="Times New Roman"/>
                <w:noProof/>
                <w:sz w:val="12"/>
                <w:szCs w:val="12"/>
                <w:lang w:val="en-GB" w:eastAsia="de-DE"/>
              </w:rPr>
              <w:br/>
              <w:t>Phase II: Support Programme for the Implementation of the Mauritius Strategy for Small Island Developing States of the Eastern and Southern Africa - Indian Ocean region</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Namibia</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7 100 000,00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9 428 800,00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water and sanitation</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Rural development</w:t>
            </w:r>
            <w:r>
              <w:rPr>
                <w:rFonts w:eastAsia="Times New Roman"/>
                <w:noProof/>
                <w:sz w:val="12"/>
                <w:szCs w:val="12"/>
                <w:lang w:val="en-GB" w:eastAsia="de-DE"/>
              </w:rPr>
              <w:br/>
              <w:t>Local Call for Proposals: Climate Change Adaptation and Mitigation, including renewable energy</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America</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7 000 000,00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9 296 000,00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Water resources policy and administrative management</w:t>
            </w:r>
            <w:r>
              <w:rPr>
                <w:rFonts w:eastAsia="Times New Roman"/>
                <w:noProof/>
                <w:sz w:val="12"/>
                <w:szCs w:val="12"/>
                <w:lang w:val="en-GB" w:eastAsia="de-DE"/>
              </w:rPr>
              <w:br/>
              <w:t>Regional Project of Watershed and Coastal Management in the context of Climate Change in Latin America and Caribbean (WATERCLIMA-LAC)</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Bilateral, non allocated</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2 800 000,00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3 718 400,00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val="en-GB" w:eastAsia="de-DE"/>
              </w:rPr>
              <w:t xml:space="preserve">2012-2013 ENRTP: The projects under this title concentrate on challenges associated with rapidly degrading key ecosystems, the links between forests and climate change and efforts to improve forest governance and combat illegal logging and associated trade. Priorities include REDD+ Actions and good governance in forest and climate policies. </w:t>
            </w:r>
            <w:r>
              <w:rPr>
                <w:rFonts w:eastAsia="Times New Roman"/>
                <w:noProof/>
                <w:sz w:val="12"/>
                <w:szCs w:val="12"/>
                <w:lang w:eastAsia="de-DE"/>
              </w:rPr>
              <w:t>Geographical scope: Africa</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Ghana </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2 800 000,00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3 718 400,00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Environmental policy and administrative management</w:t>
            </w:r>
            <w:r>
              <w:rPr>
                <w:rFonts w:eastAsia="Times New Roman"/>
                <w:noProof/>
                <w:sz w:val="12"/>
                <w:szCs w:val="12"/>
                <w:lang w:val="en-GB" w:eastAsia="de-DE"/>
              </w:rPr>
              <w:br/>
              <w:t>Ghana - Natural Resource and Environmental Governance (NREG) SPSP</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Africa</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6 750 000,00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8 964 000,00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Environmental policy and administrative management</w:t>
            </w:r>
            <w:r>
              <w:rPr>
                <w:rFonts w:eastAsia="Times New Roman"/>
                <w:noProof/>
                <w:sz w:val="12"/>
                <w:szCs w:val="12"/>
                <w:lang w:val="en-GB" w:eastAsia="de-DE"/>
              </w:rPr>
              <w:br/>
              <w:t>Project FLEUVE: Local Environmental Front for a Green Union</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Bilateral, non allocated</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6 500 000,00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8 632 000,00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Environmental policy and administrative management</w:t>
            </w:r>
            <w:r>
              <w:rPr>
                <w:rFonts w:eastAsia="Times New Roman"/>
                <w:noProof/>
                <w:sz w:val="12"/>
                <w:szCs w:val="12"/>
                <w:lang w:val="en-GB" w:eastAsia="de-DE"/>
              </w:rPr>
              <w:br/>
              <w:t>Capacity building for CO2 mitigation from international aviation.</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Lebanon</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2 400 000,00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3 187 200,00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water and sanitation</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Basic drinking water supply and basic sanitation</w:t>
            </w:r>
            <w:r>
              <w:rPr>
                <w:rFonts w:eastAsia="Times New Roman"/>
                <w:noProof/>
                <w:sz w:val="12"/>
                <w:szCs w:val="12"/>
                <w:lang w:val="en-GB" w:eastAsia="de-DE"/>
              </w:rPr>
              <w:br/>
              <w:t>Stimulating Sustainable Growth and Job Opportunities in Lebanon</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Africa - North Sahara, regional</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6 000 000,00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7 968 000,00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Energy policy and administrative management</w:t>
            </w:r>
            <w:r>
              <w:rPr>
                <w:rFonts w:eastAsia="Times New Roman"/>
                <w:noProof/>
                <w:sz w:val="12"/>
                <w:szCs w:val="12"/>
                <w:lang w:val="en-GB" w:eastAsia="de-DE"/>
              </w:rPr>
              <w:br/>
              <w:t>Sustainable Electricity for the Mediterranean</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Madagascar</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2 400 000,00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3 187 200,00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agriculture</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Agricultural development</w:t>
            </w:r>
            <w:r>
              <w:rPr>
                <w:rFonts w:eastAsia="Times New Roman"/>
                <w:noProof/>
                <w:sz w:val="12"/>
                <w:szCs w:val="12"/>
                <w:lang w:val="en-GB" w:eastAsia="de-DE"/>
              </w:rPr>
              <w:br/>
              <w:t>Improved Food Security and increase in agricultural revenue (ASARA)</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Djibouti </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2 400 000,00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3 187 200,00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agriculture</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Livestock</w:t>
            </w:r>
            <w:r>
              <w:rPr>
                <w:rFonts w:eastAsia="Times New Roman"/>
                <w:noProof/>
                <w:sz w:val="12"/>
                <w:szCs w:val="12"/>
                <w:lang w:val="en-GB" w:eastAsia="de-DE"/>
              </w:rPr>
              <w:br/>
              <w:t xml:space="preserve">Supporting Horn of Africa's Resilience - Securing Pastoral Systems (PSSP) in Djibouti </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Haiti </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6 000 000,00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7 968 000,00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Environmental policy and administrative management</w:t>
            </w:r>
            <w:r>
              <w:rPr>
                <w:rFonts w:eastAsia="Times New Roman"/>
                <w:noProof/>
                <w:sz w:val="12"/>
                <w:szCs w:val="12"/>
                <w:lang w:val="en-GB" w:eastAsia="de-DE"/>
              </w:rPr>
              <w:br/>
              <w:t>GCCA –- Support for the consideration of climate change in the national development of Haiti</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Asia</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2 200 000,00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2 921 600,00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Environmental policy and administrative management</w:t>
            </w:r>
            <w:r>
              <w:rPr>
                <w:rFonts w:eastAsia="Times New Roman"/>
                <w:noProof/>
                <w:sz w:val="12"/>
                <w:szCs w:val="12"/>
                <w:lang w:val="en-GB" w:eastAsia="de-DE"/>
              </w:rPr>
              <w:br/>
              <w:t>SWITCH-Asia Policy Support Component</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Europe</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2 200 000,00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2 921 600,00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Disaster prevention and preparedness</w:t>
            </w:r>
            <w:r>
              <w:rPr>
                <w:rFonts w:eastAsia="Times New Roman"/>
                <w:noProof/>
                <w:sz w:val="12"/>
                <w:szCs w:val="12"/>
                <w:lang w:val="en-GB" w:eastAsia="de-DE"/>
              </w:rPr>
              <w:br/>
              <w:t>Prevention Preparedness and Response to natural and  man-made Disasters in EaP East - PPRD East II</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Ethiopia</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2 120 000,00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2 815 360,00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Food aid/food security programmes</w:t>
            </w:r>
            <w:r>
              <w:rPr>
                <w:rFonts w:eastAsia="Times New Roman"/>
                <w:noProof/>
                <w:sz w:val="12"/>
                <w:szCs w:val="12"/>
                <w:lang w:val="en-GB" w:eastAsia="de-DE"/>
              </w:rPr>
              <w:br/>
              <w:t>Support to the productive safety net programme of Ethiopia (PSNP)</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Jordan</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5 000 000,00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6 640 000,00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 xml:space="preserve">Power generation/renewable sources </w:t>
            </w:r>
            <w:r>
              <w:rPr>
                <w:rFonts w:eastAsia="Times New Roman"/>
                <w:noProof/>
                <w:sz w:val="12"/>
                <w:szCs w:val="12"/>
                <w:lang w:val="en-GB" w:eastAsia="de-DE"/>
              </w:rPr>
              <w:br/>
              <w:t>Renewable Energy and Energy Efficiency Programme in Jordan</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 xml:space="preserve">Congo (Democratic Republic of the)   </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val="en-GB" w:eastAsia="de-DE"/>
              </w:rPr>
              <w:t xml:space="preserve">                </w:t>
            </w:r>
            <w:r>
              <w:rPr>
                <w:rFonts w:eastAsia="Times New Roman"/>
                <w:noProof/>
                <w:sz w:val="12"/>
                <w:szCs w:val="12"/>
                <w:lang w:eastAsia="de-DE"/>
              </w:rPr>
              <w:t xml:space="preserve">2 000 000,00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2 656 000,00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Electrical transmission/ distribution</w:t>
            </w:r>
            <w:r>
              <w:rPr>
                <w:rFonts w:eastAsia="Times New Roman"/>
                <w:noProof/>
                <w:sz w:val="12"/>
                <w:szCs w:val="12"/>
                <w:lang w:eastAsia="de-DE"/>
              </w:rPr>
              <w:br/>
              <w:t>Electrification Project Goma, DRC</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Liberia </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2 656 000,00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forestry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Forestry policy and administrative management</w:t>
            </w:r>
            <w:r>
              <w:rPr>
                <w:rFonts w:eastAsia="Times New Roman"/>
                <w:noProof/>
                <w:sz w:val="12"/>
                <w:szCs w:val="12"/>
                <w:lang w:val="en-GB" w:eastAsia="de-DE"/>
              </w:rPr>
              <w:br/>
              <w:t xml:space="preserve">Support to VPA implementation in Liberia </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Europe</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5 000 000,00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6 640 000,00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Environmental policy and administrative management</w:t>
            </w:r>
            <w:r>
              <w:rPr>
                <w:rFonts w:eastAsia="Times New Roman"/>
                <w:noProof/>
                <w:sz w:val="12"/>
                <w:szCs w:val="12"/>
                <w:lang w:eastAsia="de-DE"/>
              </w:rPr>
              <w:br/>
              <w:t>Environment and Climate Regional Accession Network (ECRAN)</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Tunisia</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2 656 000,00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Environmental policy and administrative management</w:t>
            </w:r>
            <w:r>
              <w:rPr>
                <w:rFonts w:eastAsia="Times New Roman"/>
                <w:noProof/>
                <w:sz w:val="12"/>
                <w:szCs w:val="12"/>
                <w:lang w:val="en-GB" w:eastAsia="de-DE"/>
              </w:rPr>
              <w:br/>
              <w:t xml:space="preserve">Support to local environmental governance of industrial activity in Gabes. </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South America</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2 656 000,00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Bio-diversity</w:t>
            </w:r>
            <w:r>
              <w:rPr>
                <w:rFonts w:eastAsia="Times New Roman"/>
                <w:noProof/>
                <w:sz w:val="12"/>
                <w:szCs w:val="12"/>
                <w:lang w:val="en-GB" w:eastAsia="de-DE"/>
              </w:rPr>
              <w:br/>
              <w:t>Support to the implementation of the Amazon Conservation Vision</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Bhutan</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1 840 000,00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2 443 520,00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Agricultural policy and administrative management</w:t>
            </w:r>
            <w:r>
              <w:rPr>
                <w:rFonts w:eastAsia="Times New Roman"/>
                <w:noProof/>
                <w:sz w:val="12"/>
                <w:szCs w:val="12"/>
                <w:lang w:val="en-GB" w:eastAsia="de-DE"/>
              </w:rPr>
              <w:br/>
              <w:t>Technical Cooperation Project in support of the Renewable Natural Resources Sector Bhutan</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Africa - South Sahara, regional</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1 600 000,00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2 124 800,00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agriculture</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Water resources policy and administrative management</w:t>
            </w:r>
            <w:r>
              <w:rPr>
                <w:rFonts w:eastAsia="Times New Roman"/>
                <w:noProof/>
                <w:sz w:val="12"/>
                <w:szCs w:val="12"/>
                <w:lang w:val="en-GB" w:eastAsia="de-DE"/>
              </w:rPr>
              <w:br/>
              <w:t>Water for growth and poverty reduction in the Mekrou transboundary river basin</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Oceania</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1 600 000,00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2 124 800,00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Democratic participation and civil society</w:t>
            </w:r>
            <w:r>
              <w:rPr>
                <w:rFonts w:eastAsia="Times New Roman"/>
                <w:noProof/>
                <w:sz w:val="12"/>
                <w:szCs w:val="12"/>
                <w:lang w:val="en-GB" w:eastAsia="de-DE"/>
              </w:rPr>
              <w:br/>
              <w:t xml:space="preserve">Strenghtening Non State Actor Engagement in Regional Policy Development </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Jordan</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4 000 000,00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5 312 000,00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 xml:space="preserve">Power generation/renewable sources </w:t>
            </w:r>
            <w:r>
              <w:rPr>
                <w:rFonts w:eastAsia="Times New Roman"/>
                <w:noProof/>
                <w:sz w:val="12"/>
                <w:szCs w:val="12"/>
                <w:lang w:val="en-GB" w:eastAsia="de-DE"/>
              </w:rPr>
              <w:br/>
              <w:t>Capacity-Building in Wind Energy and Concentrating Solar Power (CSP) in Jordan</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Bilateral, non allocated</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1 600 000,00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2 124 800,00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forestry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Forestry policy and administrative management</w:t>
            </w:r>
            <w:r>
              <w:rPr>
                <w:rFonts w:eastAsia="Times New Roman"/>
                <w:noProof/>
                <w:sz w:val="12"/>
                <w:szCs w:val="12"/>
                <w:lang w:val="en-GB" w:eastAsia="de-DE"/>
              </w:rPr>
              <w:br/>
              <w:t>Independent timber Market Monitoring: analysis of the reception of FLEGT licensed timber on the EU market as framed by FLEGT Voluntary Partnership Agreements</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Maldives </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4 000 000,00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5 312 000,00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Environmental policy and administrative management</w:t>
            </w:r>
            <w:r>
              <w:rPr>
                <w:rFonts w:eastAsia="Times New Roman"/>
                <w:noProof/>
                <w:sz w:val="12"/>
                <w:szCs w:val="12"/>
                <w:lang w:val="en-GB" w:eastAsia="de-DE"/>
              </w:rPr>
              <w:br/>
              <w:t>Good Governance in the areas of Climate Change and Drugs in the Maldives 2011 - 2013</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Mauritania</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4 000 000,00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5 312 000,00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Environmental policy and administrative management</w:t>
            </w:r>
            <w:r>
              <w:rPr>
                <w:rFonts w:eastAsia="Times New Roman"/>
                <w:noProof/>
                <w:sz w:val="12"/>
                <w:szCs w:val="12"/>
                <w:lang w:eastAsia="de-DE"/>
              </w:rPr>
              <w:br/>
              <w:t>GCCA - Mauritanie</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Myanmar </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4 000 000,00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5 312 000,00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Environmental policy and administrative management</w:t>
            </w:r>
            <w:r>
              <w:rPr>
                <w:rFonts w:eastAsia="Times New Roman"/>
                <w:noProof/>
                <w:sz w:val="12"/>
                <w:szCs w:val="12"/>
                <w:lang w:eastAsia="de-DE"/>
              </w:rPr>
              <w:br/>
              <w:t>Myanmar Climate Change Alliance</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Haiti </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1 450 000,00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1 925 600,00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Trade facilitation</w:t>
            </w:r>
            <w:r>
              <w:rPr>
                <w:rFonts w:eastAsia="Times New Roman"/>
                <w:noProof/>
                <w:sz w:val="12"/>
                <w:szCs w:val="12"/>
                <w:lang w:val="en-GB" w:eastAsia="de-DE"/>
              </w:rPr>
              <w:br/>
              <w:t>Binational cooperation programme: support for binational cooperation in the areas of trade, environment and local cross-border development</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Europe</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1 425 902,80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1 893 598,92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Multisector aid</w:t>
            </w:r>
            <w:r>
              <w:rPr>
                <w:rFonts w:eastAsia="Times New Roman"/>
                <w:noProof/>
                <w:sz w:val="12"/>
                <w:szCs w:val="12"/>
                <w:lang w:val="en-GB" w:eastAsia="de-DE"/>
              </w:rPr>
              <w:br/>
              <w:t>CBC - Black Sea Basin - Tranche 2008</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 xml:space="preserve">Congo (Democratic Republic of the)   </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val="en-GB" w:eastAsia="de-DE"/>
              </w:rPr>
              <w:t xml:space="preserve">                </w:t>
            </w:r>
            <w:r>
              <w:rPr>
                <w:rFonts w:eastAsia="Times New Roman"/>
                <w:noProof/>
                <w:sz w:val="12"/>
                <w:szCs w:val="12"/>
                <w:lang w:eastAsia="de-DE"/>
              </w:rPr>
              <w:t xml:space="preserve">1 344 000,00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1 784 832,00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forestry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Bio-diversity</w:t>
            </w:r>
            <w:r>
              <w:rPr>
                <w:rFonts w:eastAsia="Times New Roman"/>
                <w:noProof/>
                <w:sz w:val="12"/>
                <w:szCs w:val="12"/>
                <w:lang w:val="en-GB" w:eastAsia="de-DE"/>
              </w:rPr>
              <w:br/>
              <w:t>Support national conservation policy and forest and biodiversity management</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Kiribati </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1 320 000,00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1 752 960,00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water and sanitation</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Basic drinking water supply and basic sanitation</w:t>
            </w:r>
            <w:r>
              <w:rPr>
                <w:rFonts w:eastAsia="Times New Roman"/>
                <w:noProof/>
                <w:sz w:val="12"/>
                <w:szCs w:val="12"/>
                <w:lang w:val="en-GB" w:eastAsia="de-DE"/>
              </w:rPr>
              <w:br/>
              <w:t>Water and sanitation in Kiribati Outer Islands - Phase II</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Bilateral, non allocated</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1 300 000,00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1 726 400,00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agriculture</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Agricultural financial services</w:t>
            </w:r>
            <w:r>
              <w:rPr>
                <w:rFonts w:eastAsia="Times New Roman"/>
                <w:noProof/>
                <w:sz w:val="12"/>
                <w:szCs w:val="12"/>
                <w:lang w:val="en-GB" w:eastAsia="de-DE"/>
              </w:rPr>
              <w:br/>
              <w:t>Platform for Agricultural Risk Management - PARM</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Asia</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1 280 000,00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1 699 840,00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industry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Industrial development</w:t>
            </w:r>
            <w:r>
              <w:rPr>
                <w:rFonts w:eastAsia="Times New Roman"/>
                <w:noProof/>
                <w:sz w:val="12"/>
                <w:szCs w:val="12"/>
                <w:lang w:val="en-GB" w:eastAsia="de-DE"/>
              </w:rPr>
              <w:br/>
              <w:t>SWITCH Asia – Access to Finance for Sustainable Consumption and Production</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Tanzania</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1 200 000,00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1 593 600,00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Power generation/renewable sources </w:t>
            </w:r>
            <w:r>
              <w:rPr>
                <w:rFonts w:eastAsia="Times New Roman"/>
                <w:noProof/>
                <w:sz w:val="12"/>
                <w:szCs w:val="12"/>
                <w:lang w:eastAsia="de-DE"/>
              </w:rPr>
              <w:br/>
              <w:t>Zanzibar Renewable Energies and Ennergy Efficiency</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Bilateral, non allocated</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3 984 000,00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industry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Environmental policy and administrative management</w:t>
            </w:r>
            <w:r>
              <w:rPr>
                <w:rFonts w:eastAsia="Times New Roman"/>
                <w:noProof/>
                <w:sz w:val="12"/>
                <w:szCs w:val="12"/>
                <w:lang w:val="en-GB" w:eastAsia="de-DE"/>
              </w:rPr>
              <w:br/>
              <w:t>Maximising the climate benefits of the HCFC phase-out</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Comoros </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3 984 000,00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Environmental policy and administrative management</w:t>
            </w:r>
            <w:r>
              <w:rPr>
                <w:rFonts w:eastAsia="Times New Roman"/>
                <w:noProof/>
                <w:sz w:val="12"/>
                <w:szCs w:val="12"/>
                <w:lang w:val="en-GB" w:eastAsia="de-DE"/>
              </w:rPr>
              <w:br/>
              <w:t>GCCA - Support programme to the Union of Comoros to strengthen resilience to climate change</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Djibouti </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3 984 000,00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Environmental policy and administrative management</w:t>
            </w:r>
            <w:r>
              <w:rPr>
                <w:rFonts w:eastAsia="Times New Roman"/>
                <w:noProof/>
                <w:sz w:val="12"/>
                <w:szCs w:val="12"/>
                <w:lang w:eastAsia="de-DE"/>
              </w:rPr>
              <w:br/>
              <w:t>GCCA Djibouti</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Sao Tome and Principe</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3 984 000,00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Environmental policy and administrative management</w:t>
            </w:r>
            <w:r>
              <w:rPr>
                <w:rFonts w:eastAsia="Times New Roman"/>
                <w:noProof/>
                <w:sz w:val="12"/>
                <w:szCs w:val="12"/>
                <w:lang w:val="en-GB" w:eastAsia="de-DE"/>
              </w:rPr>
              <w:br/>
              <w:t xml:space="preserve">GCCA - Reduction of climate vulnerability in São Tomé et Príncipe </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Cook Islands</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1 020 000,00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1 354 560,00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water and sanitation</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Water supply and sanitation - large systems</w:t>
            </w:r>
            <w:r>
              <w:rPr>
                <w:rFonts w:eastAsia="Times New Roman"/>
                <w:noProof/>
                <w:sz w:val="12"/>
                <w:szCs w:val="12"/>
                <w:lang w:val="en-GB" w:eastAsia="de-DE"/>
              </w:rPr>
              <w:br/>
              <w:t>Cook Islands Sanitation Sector Reform Contract</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Macedonia (Former Yugoslav Republic of)</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2 185 000,00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2 901 680,00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Environmental policy and administrative management</w:t>
            </w:r>
            <w:r>
              <w:rPr>
                <w:rFonts w:eastAsia="Times New Roman"/>
                <w:noProof/>
                <w:sz w:val="12"/>
                <w:szCs w:val="12"/>
                <w:lang w:val="en-GB" w:eastAsia="de-DE"/>
              </w:rPr>
              <w:br/>
              <w:t>SF - Environment and Climate Change</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Samoa (Occidental)</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865 200,00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1 148 985,60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water and sanitation</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Water resources policy and administrative management</w:t>
            </w:r>
            <w:r>
              <w:rPr>
                <w:rFonts w:eastAsia="Times New Roman"/>
                <w:noProof/>
                <w:sz w:val="12"/>
                <w:szCs w:val="12"/>
                <w:lang w:val="en-GB" w:eastAsia="de-DE"/>
              </w:rPr>
              <w:br/>
              <w:t>Fiji-Samoa-Water and Sanitation Sector Policy Support Programme Phase II &amp; MDG Initiative</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Turkey</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2 149 000,00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2 853 872,00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Environmental policy and administrative management</w:t>
            </w:r>
            <w:r>
              <w:rPr>
                <w:rFonts w:eastAsia="Times New Roman"/>
                <w:noProof/>
                <w:sz w:val="12"/>
                <w:szCs w:val="12"/>
                <w:lang w:val="en-GB" w:eastAsia="de-DE"/>
              </w:rPr>
              <w:br/>
              <w:t>Capacity Building on the European Pollutant Release and Transfer Register (E_PRTR) in Turkey</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Central Asia</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2 656 000,00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water and sanitation</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Water resources policy and administrative management</w:t>
            </w:r>
            <w:r>
              <w:rPr>
                <w:rFonts w:eastAsia="Times New Roman"/>
                <w:noProof/>
                <w:sz w:val="12"/>
                <w:szCs w:val="12"/>
                <w:lang w:val="en-GB" w:eastAsia="de-DE"/>
              </w:rPr>
              <w:br/>
              <w:t>Regional coordination and support for the EU-CA enhanced regional coopeartion on Environment and Water: WECOOP II</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Bolivia</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800 000,00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1 062 400,00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water and sanitation</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Basic drinking water supply and basic sanitation</w:t>
            </w:r>
            <w:r>
              <w:rPr>
                <w:rFonts w:eastAsia="Times New Roman"/>
                <w:noProof/>
                <w:sz w:val="12"/>
                <w:szCs w:val="12"/>
                <w:lang w:val="en-GB" w:eastAsia="de-DE"/>
              </w:rPr>
              <w:br/>
              <w:t>Support programme for the sector development plan for the basic sanitation of rural areas</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Bilateral, non allocated</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800 000,00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1 062 400,00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Energy policy and administrative management</w:t>
            </w:r>
            <w:r>
              <w:rPr>
                <w:rFonts w:eastAsia="Times New Roman"/>
                <w:noProof/>
                <w:sz w:val="12"/>
                <w:szCs w:val="12"/>
                <w:lang w:val="en-GB" w:eastAsia="de-DE"/>
              </w:rPr>
              <w:br/>
              <w:t>Support to Sustainable Energy for all activities via the Investment Facility for Central Asia, the Neighbourhood Investment Facility, the Asia Investment Facility, the Latin America Investment Facility and the Technical Assistance Facility</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Macedonia (Former Yugoslav Republic of)</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800 000,00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1 062 400,00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water and sanitation</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Agricultural water resources</w:t>
            </w:r>
            <w:r>
              <w:rPr>
                <w:rFonts w:eastAsia="Times New Roman"/>
                <w:noProof/>
                <w:sz w:val="12"/>
                <w:szCs w:val="12"/>
                <w:lang w:val="en-GB" w:eastAsia="de-DE"/>
              </w:rPr>
              <w:br/>
              <w:t>Development of small-scale irrigation</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Albania</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800 000,00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1 062 400,00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Small and medium-sized enterprises (sme) development</w:t>
            </w:r>
            <w:r>
              <w:rPr>
                <w:rFonts w:eastAsia="Times New Roman"/>
                <w:noProof/>
                <w:sz w:val="12"/>
                <w:szCs w:val="12"/>
                <w:lang w:val="en-GB" w:eastAsia="de-DE"/>
              </w:rPr>
              <w:br/>
              <w:t>EBRD small business instruments - Enterprise Growth Programme and Business Advisory Services</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Europe</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800 000,00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1 062 400,00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Flood prevention/control</w:t>
            </w:r>
            <w:r>
              <w:rPr>
                <w:rFonts w:eastAsia="Times New Roman"/>
                <w:noProof/>
                <w:sz w:val="12"/>
                <w:szCs w:val="12"/>
                <w:lang w:val="en-GB" w:eastAsia="de-DE"/>
              </w:rPr>
              <w:br/>
              <w:t xml:space="preserve">Prevention, preparedness and response to floods in the Western Balkans and Turkey </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Guinea-Bissau</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600 000,00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796 800,00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water and sanitation</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Basic drinking water supply and basic sanitation</w:t>
            </w:r>
            <w:r>
              <w:rPr>
                <w:rFonts w:eastAsia="Times New Roman"/>
                <w:noProof/>
                <w:sz w:val="12"/>
                <w:szCs w:val="12"/>
                <w:lang w:val="en-GB" w:eastAsia="de-DE"/>
              </w:rPr>
              <w:br/>
              <w:t>Support project for the water sector and solar village water PAE-HVS 10EME FED</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America</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1 450 000,00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1 925 600,00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Environmental policy and administrative management</w:t>
            </w:r>
            <w:r>
              <w:rPr>
                <w:rFonts w:eastAsia="Times New Roman"/>
                <w:noProof/>
                <w:sz w:val="12"/>
                <w:szCs w:val="12"/>
                <w:lang w:eastAsia="de-DE"/>
              </w:rPr>
              <w:br/>
              <w:t>EUROCLIMA - Second phase</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Marshall Islands</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420 000,00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557 760,00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Solar energy</w:t>
            </w:r>
            <w:r>
              <w:rPr>
                <w:rFonts w:eastAsia="Times New Roman"/>
                <w:noProof/>
                <w:sz w:val="12"/>
                <w:szCs w:val="12"/>
                <w:lang w:val="en-GB" w:eastAsia="de-DE"/>
              </w:rPr>
              <w:br/>
              <w:t>North Pacific ACP Renewable Energy and Energy Efficiency Programme (North Rep)</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Albania</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340 000,00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451 520,00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Democratic participation and civil society</w:t>
            </w:r>
            <w:r>
              <w:rPr>
                <w:rFonts w:eastAsia="Times New Roman"/>
                <w:noProof/>
                <w:sz w:val="12"/>
                <w:szCs w:val="12"/>
                <w:lang w:eastAsia="de-DE"/>
              </w:rPr>
              <w:br/>
              <w:t>Cross-border co-operation programme Albania - Montenegro (2013 - AL part)</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Central African Republic</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320 000,00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424 960,00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Bio-diversity</w:t>
            </w:r>
            <w:r>
              <w:rPr>
                <w:rFonts w:eastAsia="Times New Roman"/>
                <w:noProof/>
                <w:sz w:val="12"/>
                <w:szCs w:val="12"/>
                <w:lang w:val="en-GB" w:eastAsia="de-DE"/>
              </w:rPr>
              <w:br/>
              <w:t>Support the national policy for security reform and support to ZCV</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Albania</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240 000,00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318 720,00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Democratic participation and civil society</w:t>
            </w:r>
            <w:r>
              <w:rPr>
                <w:rFonts w:eastAsia="Times New Roman"/>
                <w:noProof/>
                <w:sz w:val="12"/>
                <w:szCs w:val="12"/>
                <w:lang w:eastAsia="de-DE"/>
              </w:rPr>
              <w:br/>
              <w:t>Cross-border Co-operation Programme Albania - Kosovo (2013 - AL part)</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Malaysia</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265 600,00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Environmental policy and administrative management</w:t>
            </w:r>
            <w:r>
              <w:rPr>
                <w:rFonts w:eastAsia="Times New Roman"/>
                <w:noProof/>
                <w:sz w:val="12"/>
                <w:szCs w:val="12"/>
                <w:lang w:val="en-GB" w:eastAsia="de-DE"/>
              </w:rPr>
              <w:br/>
              <w:t>Switch Asia - Policy support component Malaysia</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Niue</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120 000,00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159 360,00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Solar energy</w:t>
            </w:r>
            <w:r>
              <w:rPr>
                <w:rFonts w:eastAsia="Times New Roman"/>
                <w:noProof/>
                <w:sz w:val="12"/>
                <w:szCs w:val="12"/>
                <w:lang w:val="en-GB" w:eastAsia="de-DE"/>
              </w:rPr>
              <w:br/>
              <w:t>Renewable Energy and Energy Efficiency for Niue</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Bilateral, non allocated</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93 060,40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123 584,21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forestry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Forestry policy and administrative management</w:t>
            </w:r>
            <w:r>
              <w:rPr>
                <w:rFonts w:eastAsia="Times New Roman"/>
                <w:noProof/>
                <w:sz w:val="12"/>
                <w:szCs w:val="12"/>
                <w:lang w:val="en-GB" w:eastAsia="de-DE"/>
              </w:rPr>
              <w:br/>
              <w:t>Establishment of a forestry research network for ACP countries</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Tanzania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2 600 000,00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3 452 800,00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forestry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Fund targeting forestry assets mainly in Europe</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Indonesia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3 400 000,00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4 515 200,00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forestry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Fund targeting forestry assets mainly in Europe</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Brazil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3 984 000,00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forestry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Fund targeting forestry assets mainly in Europe</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Ukraine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3 984 000,00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forestry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Fund targeting forestry assets mainly in Europe</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India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150 000 000,00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199 200 000,00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Framework Loan supporting renewable energy and energy efficiency investment projects that contribute to climate change mitigation.</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Nepal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62 293 881,00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82 726 273,97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The project comprises the construction and operation of a 140 MW storage hydroelectric power scheme and its interconnection to the national grid. It is designed to help meet peak electricity demand in Nepal during the dry winter months and to operate as a baseload plant during the remainder of the year. In addition, it will provide an alternative to expensive fossil-fuel based power generation with cleaner energy, help stabilise Nepal's power supply system and reduce transmission losses.</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Armenia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5 000 000,00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6 640 000,00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transport</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Emergency investments in Yerevan Metro, covering immediate rehabilitation needs, including security upgrades.</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Turkey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200 000 000,00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265 600 000,00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transport</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Construction of 478 km of double track electrified railway high speed line for passenger traffic between Gebze (44 km east of Istanbul) and Ankara– Tranche B</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Africa - Regional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1 328 000,00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forestry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Innovative pilot fund for forest based carbon and other environmentally certified credits, aiming to protect the environment and reduce carbon emissions through sustainable land use and conservation of primary forest.</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Africa - Regional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1 328 000,00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forestry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Innovative pilot fund for forest based carbon and other environmentally certified credits, aiming to protect the environment and reduce carbon emissions through sustainable land use and conservation of primary forest.</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Africa - Regional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1 328 000,00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forestry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Innovative pilot fund for forest based carbon and other environmentally certified credits, aiming to protect the environment and reduce carbon emissions through sustainable land use and conservation of primary forest.</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Africa - Regional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1 328 000,00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forestry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Innovative pilot fund for forest based carbon and other environmentally certified credits, aiming to protect the environment and reduce carbon emissions through sustainable land use and conservation of primary forest.</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Africa - Regional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6 000 000,00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7 968 000,00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forestry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Innovative pilot fund for forest based carbon and other environmentally certified credits, aiming to protect the environment and reduce carbon emissions through sustainable land use and conservation of primary forest.</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Asia - Regional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500 000,00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664 000,00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forestry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Innovative pilot fund for forest based carbon and other environmentally certified credits, aiming to protect the environment and reduce carbon emissions through sustainable land use and conservation of primary forest.</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Asia - Regional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500 000,00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664 000,00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forestry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Innovative pilot fund for forest based carbon and other environmentally certified credits, aiming to protect the environment and reduce carbon emissions through sustainable land use and conservation of primary forest.</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Asia - Regional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500 000,00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664 000,00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forestry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Innovative pilot fund for forest based carbon and other environmentally certified credits, aiming to protect the environment and reduce carbon emissions through sustainable land use and conservation of primary forest.</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Asia - Regional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500 000,00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664 000,00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forestry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Innovative pilot fund for forest based carbon and other environmentally certified credits, aiming to protect the environment and reduce carbon emissions through sustainable land use and conservation of primary forest.</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Asia - Regional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3 984 000,00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forestry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Innovative pilot fund for forest based carbon and other environmentally certified credits, aiming to protect the environment and reduce carbon emissions through sustainable land use and conservation of primary forest.</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Latin America - Regional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1 328 000,00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forestry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Innovative pilot fund for forest based carbon and other environmentally certified credits, aiming to protect the environment and reduce carbon emissions through sustainable land use and conservation of primary forest.</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Latin America - Regional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1 328 000,00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forestry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Innovative pilot fund for forest based carbon and other environmentally certified credits, aiming to protect the environment and reduce carbon emissions through sustainable land use and conservation of primary forest.</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Latin America - Regional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1 328 000,00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forestry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Innovative pilot fund for forest based carbon and other environmentally certified credits, aiming to protect the environment and reduce carbon emissions through sustainable land use and conservation of primary forest.</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Latin America - Regional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1 328 000,00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forestry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Innovative pilot fund for forest based carbon and other environmentally certified credits, aiming to protect the environment and reduce carbon emissions through sustainable land use and conservation of primary forest.</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Latin America - Regional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6 000 000,00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7 968 000,00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forestry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Innovative pilot fund for forest based carbon and other environmentally certified credits, aiming to protect the environment and reduce carbon emissions through sustainable land use and conservation of primary forest.</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Turkey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50 000 000,00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66 400 000,00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Framework loan to support Energy Efficiency projects, and to a lesser extent, Renewable Energy projects, across Turkey in co-financing with EBRD.</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India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12 000 000,00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15 936 000,00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Framework Loan supporting renewable energy and energy efficiency investments that contribute to climate change mitigation. The operation is expected to finance mainly wind, solar, hydropower and high efficiency cogeneration projects.</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India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12 000 000,00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15 936 000,00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Framework Loan supporting renewable energy and energy efficiency investments that contribute to climate change mitigation. The operation is expected to finance mainly wind, solar, hydropower and high efficiency cogeneration projects.</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India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12 000 000,00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15 936 000,00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Framework Loan supporting renewable energy and energy efficiency investments that contribute to climate change mitigation. The operation is expected to finance mainly wind, solar, hydropower and high efficiency cogeneration projects.</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India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4 000 000,00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5 312 000,00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Framework Loan supporting renewable energy and energy efficiency investments that contribute to climate change mitigation. The operation is expected to finance mainly wind, solar, hydropower and high efficiency cogeneration projects.</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Turkey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99 388 379,00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131 987 767,31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The proposed facility is a Framework Loan to finance renewable energy and energy efficiency projects in Turkey.</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Central America - Regional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148 793 750,00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197 598 100,00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eastAsia="de-DE"/>
              </w:rPr>
              <w:t xml:space="preserve">The Framework Loan will support renewable energy and energy efficiency projects in Honduras, Nicaragua, El Salvador, Guatemala, Costa Rica and Panama. </w:t>
            </w:r>
            <w:r>
              <w:rPr>
                <w:rFonts w:eastAsia="Times New Roman"/>
                <w:noProof/>
                <w:color w:val="000000"/>
                <w:sz w:val="12"/>
                <w:szCs w:val="12"/>
                <w:lang w:val="en-GB" w:eastAsia="de-DE"/>
              </w:rPr>
              <w:t>The majority of the projects are expected to be hydropower, wind, geothermal and photovoltaic.</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Central America - Regional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17 456 250,00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23 181 900,00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eastAsia="de-DE"/>
              </w:rPr>
              <w:t xml:space="preserve">The Framework Loan will support renewable energy and energy efficiency projects in Honduras, Nicaragua, El Salvador, Guatemala, Costa Rica and Panama. </w:t>
            </w:r>
            <w:r>
              <w:rPr>
                <w:rFonts w:eastAsia="Times New Roman"/>
                <w:noProof/>
                <w:color w:val="000000"/>
                <w:sz w:val="12"/>
                <w:szCs w:val="12"/>
                <w:lang w:val="en-GB" w:eastAsia="de-DE"/>
              </w:rPr>
              <w:t>The majority of the projects are expected to be hydropower, wind, geothermal and photovoltaic.</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Central America - Regional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8 750 000,00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11 620 000,00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eastAsia="de-DE"/>
              </w:rPr>
              <w:t xml:space="preserve">The Framework Loan will support renewable energy and energy efficiency projects in Honduras, Nicaragua, El Salvador, Guatemala, Costa Rica and Panama. </w:t>
            </w:r>
            <w:r>
              <w:rPr>
                <w:rFonts w:eastAsia="Times New Roman"/>
                <w:noProof/>
                <w:color w:val="000000"/>
                <w:sz w:val="12"/>
                <w:szCs w:val="12"/>
                <w:lang w:val="en-GB" w:eastAsia="de-DE"/>
              </w:rPr>
              <w:t>The majority of the projects are expected to be hydropower, wind, geothermal and photovoltaic.</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Ukraine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152 000 000,00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201 856 000,00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transport</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The project consist of extending the existing metro line in Dnipropetrovsk by 4.0 kilometres and adding 3 stations. This would bring the metro service to the city centre to serve areas of high urban density and activity.</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South Africa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110 000 000,00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146 080 000,00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24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The project concerns the construction and operation of a greenfield concentrated solar power (CSP) plant with 100 MW of installed power generating capacity.</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South Africa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120 000 000,00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159 360 000,00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Framework loan to be made available to several financial intermediaries for the funding of affordable and social housing projects and associated urban infrastructure, including social amenities, throughout South Africa.</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Sri Lanka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8 100 000,00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10 756 800,00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Global loan to finance SMEs (about 70% of the GL)  and renewable energy and energy efficiency investments (about 30% of the total) in Sri Lanka</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Sri Lanka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18 900 000,00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25 099 200,00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Global loan to finance SMEs (about 70% of the GL)  and renewable energy and energy efficiency investments (about 30% of the total) in Sri Lanka</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Bangladesh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82 000 000,00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108 896 000,00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The project consists of the conversion of 3 natural gas fired open cycle power units to combined cycle mode of operation by the addition of heat recovery boilers and steam turbines. The conversion will result in efficiency improvements of the order of 75% and capacity increase of a 50% order, without any increase in the amount of fuel used.</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Pakistan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100 000 000,00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132 800 000,00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Keyal Khwar Hydropower comprises a medium-sized (122 MW) run-of-river hydropower plant with a small 1.5 ha reservoir for daily regulation (dam height of 38m). It is located on a tributary of the Indus River in northern Pakistan. This operation is proposed for co-financing with KfW as Lead Financier under the Mutual Reliance Initiative (MRI).</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Jordan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52 958 900,00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70 329 419,20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The project concerns the development, construction and operation of a 117 MW wind farm as well as the associated electrical facilities in the Tafila Governorate in Jordan. This is the first large on-shore wind farm in Jordan and thus it will contribute defining the framework for the future development of this sector in Jordan.</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Costa Rica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51 786 639,00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68 772 656,59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The project consists of the extension of a geothermal power plant in Costa Rica.</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Turkey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75 000 000,00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99 600 000,00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forestry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Supporting forest rehabilitation, afforestation and erosion control activities in Turkey during the period 2014-15 through the Ministry of Forestry and Water Works.</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Turkey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75 000 000,00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99 600 000,00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forestry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Supporting forest rehabilitation, afforestation and erosion control activities in Turkey during the period 2014-15 through the Ministry of Forestry and Water Works.</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Albania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1 875 000,00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2 490 000,00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Increase of EIB investment in the Green for Growth Fund, targeting energy efficiency and smaller renewable energy investments within the South-Eastern Europe region and in the Eastern Neighbourhood region.</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Macedonia (Former Yugoslav Republic of)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val="en-GB" w:eastAsia="de-DE"/>
              </w:rPr>
              <w:t xml:space="preserve">                   </w:t>
            </w:r>
            <w:r>
              <w:rPr>
                <w:rFonts w:eastAsia="Times New Roman"/>
                <w:noProof/>
                <w:sz w:val="12"/>
                <w:szCs w:val="12"/>
                <w:lang w:eastAsia="de-DE"/>
              </w:rPr>
              <w:t xml:space="preserve">625 000,00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830 000,00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Increase of EIB investment in the Green for Growth Fund, targeting energy efficiency and smaller renewable energy investments within the South-Eastern Europe region and in the Eastern Neighbourhood region.</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Montenegro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1 250 000,00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1 660 000,00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Increase of EIB investment in the Green for Growth Fund, targeting energy efficiency and smaller renewable energy investments within the South-Eastern Europe region and in the Eastern Neighbourhood region.</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Serbia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2 500 000,00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3 320 000,00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Increase of EIB investment in the Green for Growth Fund, targeting energy efficiency and smaller renewable energy investments within the South-Eastern Europe region and in the Eastern Neighbourhood region.</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Turkey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2 500 000,00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3 320 000,00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Increase of EIB investment in the Green for Growth Fund, targeting energy efficiency and smaller renewable energy investments within the South-Eastern Europe region and in the Eastern Neighbourhood region.</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Bosnia and Herzegovina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1 250 000,00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1 660 000,00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Increase of EIB investment in the Green for Growth Fund, targeting energy efficiency and smaller renewable energy investments within the South-Eastern Europe region and in the Eastern Neighbourhood region.</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Armenia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3 750 000,00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4 980 000,00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Increase of EIB investment in the Green for Growth Fund, targeting energy efficiency and smaller renewable energy investments within the South-Eastern Europe region and in the Eastern Neighbourhood region.</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Azerbaijan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1 250 000,00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1 660 000,00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Increase of EIB investment in the Green for Growth Fund, targeting energy efficiency and smaller renewable energy investments within the South-Eastern Europe region and in the Eastern Neighbourhood region.</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Georgia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3 750 000,00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4 980 000,00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Increase of EIB investment in the Green for Growth Fund, targeting energy efficiency and smaller renewable energy investments within the South-Eastern Europe region and in the Eastern Neighbourhood region.</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Moldova, Republic of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1 250 000,00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1 660 000,00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Increase of EIB investment in the Green for Growth Fund, targeting energy efficiency and smaller renewable energy investments within the South-Eastern Europe region and in the Eastern Neighbourhood region.</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Ukraine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2 500 000,00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3 320 000,00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Increase of EIB investment in the Green for Growth Fund, targeting energy efficiency and smaller renewable energy investments within the South-Eastern Europe region and in the Eastern Neighbourhood region.</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Africa - Regional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3 030 000,00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4 023 840,00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The Global Energy Efficiency and Renewable Energy Fund ("GEEREF") is an emerging market infrastructure fund-of-funds. GEEREF invests in funds that target projects and companies involved in energy efficiency and renewable energy which enhance access to clean energy in developing countries and economies in transition.  Geographical focus is Sub-Saharan Africa; East and South Asia as well as the Pacific; non-EU Eastern Europe, Russia and Central Asia; Latin America and the Caribbean; Middle East and North Africa. GEEREF is advised by EIF with EIB acting as sub-adviser.</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Asia - Regional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3 030 000,00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4 023 840,00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The Global Energy Efficiency and Renewable Energy Fund ("GEEREF") is an emerging market infrastructure fund-of-funds. GEEREF invests in funds that target projects and companies involved in energy efficiency and renewable energy which enhance access to clean energy in developing countries and economies in transition.  Geographical focus is Sub-Saharan Africa; East and South Asia as well as the Pacific; non-EU Eastern Europe, Russia and Central Asia; Latin America and the Caribbean; Middle East and North Africa. GEEREF is advised by EIF with EIB acting as sub-adviser.</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Latin America - Regional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3 030 000,00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4 023 840,00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The Global Energy Efficiency and Renewable Energy Fund ("GEEREF") is an emerging market infrastructure fund-of-funds. GEEREF invests in funds that target projects and companies involved in energy efficiency and renewable energy which enhance access to clean energy in developing countries and economies in transition.  Geographical focus is Sub-Saharan Africa; East and South Asia as well as the Pacific; non-EU Eastern Europe, Russia and Central Asia; Latin America and the Caribbean; Middle East and North Africa. GEEREF is advised by EIF with EIB acting as sub-adviser.</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Eastern Europe, Russia, South Caucasus - Regional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val="en-GB" w:eastAsia="de-DE"/>
              </w:rPr>
              <w:t xml:space="preserve">                </w:t>
            </w:r>
            <w:r>
              <w:rPr>
                <w:rFonts w:eastAsia="Times New Roman"/>
                <w:noProof/>
                <w:sz w:val="12"/>
                <w:szCs w:val="12"/>
                <w:lang w:eastAsia="de-DE"/>
              </w:rPr>
              <w:t xml:space="preserve">1 010 000,00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1 341 280,00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The Global Energy Efficiency and Renewable Energy Fund ("GEEREF") is an emerging market infrastructure fund-of-funds. GEEREF invests in funds that target projects and companies involved in energy efficiency and renewable energy which enhance access to clean energy in developing countries and economies in transition.  Geographical focus is Sub-Saharan Africa; East and South Asia as well as the Pacific; non-EU Eastern Europe, Russia and Central Asia; Latin America and the Caribbean; Middle East and North Africa. GEEREF is advised by EIF with EIB acting as sub-adviser.</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Tanzania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22 500 000,00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29 880 000,00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water and sanitation</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The project consists of the extension and upgrading of water supply and sanitation in Mwanza and satellite towns, including peri-urban sanitation, as well as sanitation in the towns of Musoma and Bukoba.</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Kazakhstan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14 250 000,00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18 924 000,00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A dedicated EIB loan to finance projects promoted by SMEs and Mid-Caps in Kazakhstan. Projects in fields considered as priority under the Mandate (i.e. local private sector development, development of social and economic infrastructure, and climate change mitigation and adaptation) carried out by eligible promoters of any size can also be funded, provided that financing thereto does not exceed 30% of the overall EIB loan amount.</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Kazakhstan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14 250 000,00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18 924 000,00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A dedicated EIB loan to finance projects promoted by SMEs and Mid-Caps in Kazakhstan. Projects in fields considered as priority under the Mandate (i.e. local private sector development, development of social and economic infrastructure, and climate change mitigation and adaptation) carried out by eligible promoters of any size can also be funded, provided that financing thereto does not exceed 30% of the overall EIB loan amount.</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Kazakhstan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35 000 000,00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46 480 000,00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A dedicated EIB loan to finance projects promoted by SMEs and Mid-Caps in Kazakhstan. Projects in fields considered as priority under the Mandate (i.e. local private sector development, development of social and economic infrastructure, and climate change mitigation and adaptation) carried out by eligible promoters of any size can also be funded, provided that financing thereto does not exceed 30% of the overall EIB loan amount.</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Kazakhstan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14 250 000,00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18 924 000,00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A dedicated EIB loan to finance projects promoted by SMEs and Mid-Caps in Kazakhstan. Projects in fields considered as priority under the Mandate (i.e. local private sector development, development of social and economic infrastructure, and climate change mitigation and adaptation) carried out by eligible promoters of any size can also be funded, provided that financing thereto does not exceed 30% of the overall EIB loan amount.</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Kazakhstan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35 000 000,00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46 480 000,00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A dedicated EIB loan to finance projects promoted by SMEs and Mid-Caps in Kazakhstan. Projects in fields considered as priority under the Mandate (i.e. local private sector development, development of social and economic infrastructure, and climate change mitigation and adaptation) carried out by eligible promoters of any size can also be funded, provided that financing thereto does not exceed 30% of the overall EIB loan amount.</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Kazakhstan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14 250 000,00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18 924 000,00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A dedicated EIB loan to finance projects promoted by SMEs and Mid-Caps in Kazakhstan. Projects in fields considered as priority under the Mandate (i.e. local private sector development, development of social and economic infrastructure, and climate change mitigation and adaptation) carried out by eligible promoters of any size can also be funded, provided that financing thereto does not exceed 30% of the overall EIB loan amount.</w:t>
            </w:r>
          </w:p>
        </w:tc>
      </w:tr>
      <w:tr>
        <w:trPr>
          <w:trHeight w:val="20"/>
        </w:trPr>
        <w:tc>
          <w:tcPr>
            <w:tcW w:w="709"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Morocco / EIB</w:t>
            </w:r>
          </w:p>
        </w:tc>
        <w:tc>
          <w:tcPr>
            <w:tcW w:w="568"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200 000 000,00 </w:t>
            </w:r>
          </w:p>
        </w:tc>
        <w:tc>
          <w:tcPr>
            <w:tcW w:w="4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 xml:space="preserve">  265 600 000,00 </w:t>
            </w:r>
          </w:p>
        </w:tc>
        <w:tc>
          <w:tcPr>
            <w:tcW w:w="354"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56"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21"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32"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405"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color w:val="000000"/>
                <w:sz w:val="12"/>
                <w:szCs w:val="12"/>
                <w:lang w:val="en-GB" w:eastAsia="de-DE"/>
              </w:rPr>
            </w:pPr>
            <w:r>
              <w:rPr>
                <w:rFonts w:eastAsia="Times New Roman"/>
                <w:noProof/>
                <w:color w:val="000000"/>
                <w:sz w:val="12"/>
                <w:szCs w:val="12"/>
                <w:lang w:val="en-GB" w:eastAsia="de-DE"/>
              </w:rPr>
              <w:t>Development of three wind farms as part of Phase II of the Integrated Wind Turbine Programme of the national office for electricity and portable water (ONEE) on the sites of Tanger II (150 MW), Midelt (100 MW) and Jbel Lahdid (Essaouira - 200 MW)</w:t>
            </w:r>
          </w:p>
        </w:tc>
      </w:tr>
    </w:tbl>
    <w:p>
      <w:pPr>
        <w:pStyle w:val="Standardtext"/>
        <w:rPr>
          <w:noProof/>
          <w:lang w:val="en-GB"/>
        </w:rPr>
      </w:pPr>
    </w:p>
    <w:p>
      <w:pPr>
        <w:pStyle w:val="Heading1"/>
        <w:rPr>
          <w:noProof/>
          <w:lang w:val="en-US"/>
        </w:rPr>
      </w:pPr>
      <w:bookmarkStart w:id="35" w:name="_Toc434423717"/>
      <w:bookmarkStart w:id="36" w:name="_Toc434423959"/>
      <w:bookmarkStart w:id="37" w:name="_Toc434424010"/>
      <w:r>
        <w:rPr>
          <w:noProof/>
          <w:lang w:val="en-US"/>
        </w:rPr>
        <w:t>CTF table 7b: Provision of public financial support: contribution through bilateral, regional and other channels in 2014</w:t>
      </w:r>
      <w:bookmarkEnd w:id="35"/>
      <w:bookmarkEnd w:id="36"/>
      <w:bookmarkEnd w:id="37"/>
    </w:p>
    <w:tbl>
      <w:tblPr>
        <w:tblW w:w="5000" w:type="pct"/>
        <w:tblCellMar>
          <w:left w:w="70" w:type="dxa"/>
          <w:right w:w="70" w:type="dxa"/>
        </w:tblCellMar>
        <w:tblLook w:val="04A0" w:firstRow="1" w:lastRow="0" w:firstColumn="1" w:lastColumn="0" w:noHBand="0" w:noVBand="1"/>
      </w:tblPr>
      <w:tblGrid>
        <w:gridCol w:w="2330"/>
        <w:gridCol w:w="1452"/>
        <w:gridCol w:w="1395"/>
        <w:gridCol w:w="1097"/>
        <w:gridCol w:w="667"/>
        <w:gridCol w:w="874"/>
        <w:gridCol w:w="1303"/>
        <w:gridCol w:w="1452"/>
        <w:gridCol w:w="3752"/>
      </w:tblGrid>
      <w:tr>
        <w:trPr>
          <w:trHeight w:val="20"/>
          <w:tblHeader/>
        </w:trPr>
        <w:tc>
          <w:tcPr>
            <w:tcW w:w="813" w:type="pct"/>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jc w:val="center"/>
              <w:rPr>
                <w:rFonts w:eastAsia="Times New Roman"/>
                <w:b/>
                <w:bCs/>
                <w:noProof/>
                <w:sz w:val="12"/>
                <w:szCs w:val="12"/>
                <w:lang w:val="en-GB" w:eastAsia="de-DE"/>
              </w:rPr>
            </w:pPr>
            <w:r>
              <w:rPr>
                <w:rFonts w:eastAsia="Times New Roman"/>
                <w:b/>
                <w:bCs/>
                <w:noProof/>
                <w:sz w:val="12"/>
                <w:szCs w:val="12"/>
                <w:lang w:val="en-GB" w:eastAsia="de-DE"/>
              </w:rPr>
              <w:t>Recipient country/ region/project/programme</w:t>
            </w:r>
          </w:p>
        </w:tc>
        <w:tc>
          <w:tcPr>
            <w:tcW w:w="994" w:type="pct"/>
            <w:gridSpan w:val="2"/>
            <w:tcBorders>
              <w:top w:val="single" w:sz="4" w:space="0" w:color="auto"/>
              <w:left w:val="nil"/>
              <w:bottom w:val="single" w:sz="4" w:space="0" w:color="auto"/>
              <w:right w:val="single" w:sz="4" w:space="0" w:color="auto"/>
            </w:tcBorders>
            <w:shd w:val="clear" w:color="FFFFFF" w:fill="FFFFFF"/>
            <w:vAlign w:val="center"/>
            <w:hideMark/>
          </w:tcPr>
          <w:p>
            <w:pPr>
              <w:spacing w:after="0" w:line="240" w:lineRule="auto"/>
              <w:jc w:val="center"/>
              <w:rPr>
                <w:rFonts w:eastAsia="Times New Roman"/>
                <w:b/>
                <w:bCs/>
                <w:noProof/>
                <w:sz w:val="12"/>
                <w:szCs w:val="12"/>
                <w:lang w:eastAsia="de-DE"/>
              </w:rPr>
            </w:pPr>
            <w:r>
              <w:rPr>
                <w:rFonts w:eastAsia="Times New Roman"/>
                <w:b/>
                <w:bCs/>
                <w:noProof/>
                <w:sz w:val="12"/>
                <w:szCs w:val="12"/>
                <w:lang w:eastAsia="de-DE"/>
              </w:rPr>
              <w:t>Total amount</w:t>
            </w:r>
          </w:p>
        </w:tc>
        <w:tc>
          <w:tcPr>
            <w:tcW w:w="383" w:type="pct"/>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jc w:val="center"/>
              <w:rPr>
                <w:rFonts w:eastAsia="Times New Roman"/>
                <w:b/>
                <w:bCs/>
                <w:noProof/>
                <w:sz w:val="12"/>
                <w:szCs w:val="12"/>
                <w:lang w:eastAsia="de-DE"/>
              </w:rPr>
            </w:pPr>
            <w:r>
              <w:rPr>
                <w:rFonts w:eastAsia="Times New Roman"/>
                <w:b/>
                <w:bCs/>
                <w:noProof/>
                <w:sz w:val="12"/>
                <w:szCs w:val="12"/>
                <w:lang w:eastAsia="de-DE"/>
              </w:rPr>
              <w:t>Status</w:t>
            </w:r>
          </w:p>
        </w:tc>
        <w:tc>
          <w:tcPr>
            <w:tcW w:w="233" w:type="pct"/>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jc w:val="center"/>
              <w:rPr>
                <w:rFonts w:eastAsia="Times New Roman"/>
                <w:b/>
                <w:bCs/>
                <w:noProof/>
                <w:sz w:val="12"/>
                <w:szCs w:val="12"/>
                <w:lang w:eastAsia="de-DE"/>
              </w:rPr>
            </w:pPr>
            <w:r>
              <w:rPr>
                <w:rFonts w:eastAsia="Times New Roman"/>
                <w:b/>
                <w:bCs/>
                <w:noProof/>
                <w:sz w:val="12"/>
                <w:szCs w:val="12"/>
                <w:lang w:eastAsia="de-DE"/>
              </w:rPr>
              <w:t>Funding source</w:t>
            </w:r>
          </w:p>
        </w:tc>
        <w:tc>
          <w:tcPr>
            <w:tcW w:w="305" w:type="pct"/>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jc w:val="center"/>
              <w:rPr>
                <w:rFonts w:eastAsia="Times New Roman"/>
                <w:b/>
                <w:bCs/>
                <w:noProof/>
                <w:sz w:val="12"/>
                <w:szCs w:val="12"/>
                <w:lang w:eastAsia="de-DE"/>
              </w:rPr>
            </w:pPr>
            <w:r>
              <w:rPr>
                <w:rFonts w:eastAsia="Times New Roman"/>
                <w:b/>
                <w:bCs/>
                <w:noProof/>
                <w:sz w:val="12"/>
                <w:szCs w:val="12"/>
                <w:lang w:eastAsia="de-DE"/>
              </w:rPr>
              <w:t>Financial instrument</w:t>
            </w:r>
          </w:p>
        </w:tc>
        <w:tc>
          <w:tcPr>
            <w:tcW w:w="455" w:type="pct"/>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jc w:val="center"/>
              <w:rPr>
                <w:rFonts w:eastAsia="Times New Roman"/>
                <w:b/>
                <w:bCs/>
                <w:noProof/>
                <w:sz w:val="12"/>
                <w:szCs w:val="12"/>
                <w:lang w:eastAsia="de-DE"/>
              </w:rPr>
            </w:pPr>
            <w:r>
              <w:rPr>
                <w:rFonts w:eastAsia="Times New Roman"/>
                <w:b/>
                <w:bCs/>
                <w:noProof/>
                <w:sz w:val="12"/>
                <w:szCs w:val="12"/>
                <w:lang w:eastAsia="de-DE"/>
              </w:rPr>
              <w:t>Type of support</w:t>
            </w:r>
          </w:p>
        </w:tc>
        <w:tc>
          <w:tcPr>
            <w:tcW w:w="507" w:type="pct"/>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jc w:val="center"/>
              <w:rPr>
                <w:rFonts w:eastAsia="Times New Roman"/>
                <w:b/>
                <w:bCs/>
                <w:noProof/>
                <w:sz w:val="12"/>
                <w:szCs w:val="12"/>
                <w:lang w:eastAsia="de-DE"/>
              </w:rPr>
            </w:pPr>
            <w:r>
              <w:rPr>
                <w:rFonts w:eastAsia="Times New Roman"/>
                <w:b/>
                <w:bCs/>
                <w:noProof/>
                <w:sz w:val="12"/>
                <w:szCs w:val="12"/>
                <w:lang w:eastAsia="de-DE"/>
              </w:rPr>
              <w:t>Sector</w:t>
            </w:r>
          </w:p>
        </w:tc>
        <w:tc>
          <w:tcPr>
            <w:tcW w:w="13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b/>
                <w:bCs/>
                <w:noProof/>
                <w:sz w:val="12"/>
                <w:szCs w:val="12"/>
                <w:lang w:eastAsia="de-DE"/>
              </w:rPr>
            </w:pPr>
            <w:r>
              <w:rPr>
                <w:rFonts w:eastAsia="Times New Roman"/>
                <w:b/>
                <w:bCs/>
                <w:noProof/>
                <w:sz w:val="12"/>
                <w:szCs w:val="12"/>
                <w:lang w:eastAsia="de-DE"/>
              </w:rPr>
              <w:t>Additional information</w:t>
            </w:r>
          </w:p>
        </w:tc>
      </w:tr>
      <w:tr>
        <w:trPr>
          <w:trHeight w:val="20"/>
          <w:tblHeader/>
        </w:trPr>
        <w:tc>
          <w:tcPr>
            <w:tcW w:w="813"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left"/>
              <w:rPr>
                <w:rFonts w:eastAsia="Times New Roman"/>
                <w:b/>
                <w:bCs/>
                <w:noProof/>
                <w:sz w:val="12"/>
                <w:szCs w:val="12"/>
                <w:lang w:eastAsia="de-DE"/>
              </w:rPr>
            </w:pPr>
          </w:p>
        </w:tc>
        <w:tc>
          <w:tcPr>
            <w:tcW w:w="994" w:type="pct"/>
            <w:gridSpan w:val="2"/>
            <w:tcBorders>
              <w:top w:val="single" w:sz="4" w:space="0" w:color="auto"/>
              <w:left w:val="nil"/>
              <w:bottom w:val="single" w:sz="4" w:space="0" w:color="auto"/>
              <w:right w:val="single" w:sz="4" w:space="0" w:color="auto"/>
            </w:tcBorders>
            <w:shd w:val="clear" w:color="FFFFFF" w:fill="FFFFFF"/>
            <w:vAlign w:val="center"/>
            <w:hideMark/>
          </w:tcPr>
          <w:p>
            <w:pPr>
              <w:spacing w:after="0" w:line="240" w:lineRule="auto"/>
              <w:jc w:val="center"/>
              <w:rPr>
                <w:rFonts w:eastAsia="Times New Roman"/>
                <w:b/>
                <w:bCs/>
                <w:noProof/>
                <w:sz w:val="12"/>
                <w:szCs w:val="12"/>
                <w:lang w:eastAsia="de-DE"/>
              </w:rPr>
            </w:pPr>
            <w:r>
              <w:rPr>
                <w:rFonts w:eastAsia="Times New Roman"/>
                <w:b/>
                <w:bCs/>
                <w:noProof/>
                <w:sz w:val="12"/>
                <w:szCs w:val="12"/>
                <w:lang w:eastAsia="de-DE"/>
              </w:rPr>
              <w:t>Climate-specific</w:t>
            </w:r>
          </w:p>
        </w:tc>
        <w:tc>
          <w:tcPr>
            <w:tcW w:w="383"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left"/>
              <w:rPr>
                <w:rFonts w:eastAsia="Times New Roman"/>
                <w:b/>
                <w:bCs/>
                <w:noProof/>
                <w:sz w:val="12"/>
                <w:szCs w:val="12"/>
                <w:lang w:eastAsia="de-DE"/>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left"/>
              <w:rPr>
                <w:rFonts w:eastAsia="Times New Roman"/>
                <w:b/>
                <w:bCs/>
                <w:noProof/>
                <w:sz w:val="12"/>
                <w:szCs w:val="12"/>
                <w:lang w:eastAsia="de-DE"/>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left"/>
              <w:rPr>
                <w:rFonts w:eastAsia="Times New Roman"/>
                <w:b/>
                <w:bCs/>
                <w:noProof/>
                <w:sz w:val="12"/>
                <w:szCs w:val="12"/>
                <w:lang w:eastAsia="de-DE"/>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left"/>
              <w:rPr>
                <w:rFonts w:eastAsia="Times New Roman"/>
                <w:b/>
                <w:bCs/>
                <w:noProof/>
                <w:sz w:val="12"/>
                <w:szCs w:val="12"/>
                <w:lang w:eastAsia="de-DE"/>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left"/>
              <w:rPr>
                <w:rFonts w:eastAsia="Times New Roman"/>
                <w:b/>
                <w:bCs/>
                <w:noProof/>
                <w:sz w:val="12"/>
                <w:szCs w:val="12"/>
                <w:lang w:eastAsia="de-DE"/>
              </w:rPr>
            </w:pPr>
          </w:p>
        </w:tc>
        <w:tc>
          <w:tcPr>
            <w:tcW w:w="131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left"/>
              <w:rPr>
                <w:rFonts w:eastAsia="Times New Roman"/>
                <w:b/>
                <w:bCs/>
                <w:noProof/>
                <w:sz w:val="12"/>
                <w:szCs w:val="12"/>
                <w:lang w:eastAsia="de-DE"/>
              </w:rPr>
            </w:pPr>
          </w:p>
        </w:tc>
      </w:tr>
      <w:tr>
        <w:trPr>
          <w:trHeight w:val="20"/>
          <w:tblHeader/>
        </w:trPr>
        <w:tc>
          <w:tcPr>
            <w:tcW w:w="813"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left"/>
              <w:rPr>
                <w:rFonts w:eastAsia="Times New Roman"/>
                <w:b/>
                <w:bCs/>
                <w:noProof/>
                <w:sz w:val="12"/>
                <w:szCs w:val="12"/>
                <w:lang w:eastAsia="de-DE"/>
              </w:rPr>
            </w:pP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eastAsia="Times New Roman"/>
                <w:b/>
                <w:bCs/>
                <w:noProof/>
                <w:sz w:val="12"/>
                <w:szCs w:val="12"/>
                <w:lang w:eastAsia="de-DE"/>
              </w:rPr>
            </w:pPr>
            <w:r>
              <w:rPr>
                <w:rFonts w:eastAsia="Times New Roman"/>
                <w:b/>
                <w:bCs/>
                <w:noProof/>
                <w:sz w:val="12"/>
                <w:szCs w:val="12"/>
                <w:lang w:eastAsia="de-DE"/>
              </w:rPr>
              <w:t>European euro - EUR</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center"/>
              <w:rPr>
                <w:rFonts w:eastAsia="Times New Roman"/>
                <w:b/>
                <w:bCs/>
                <w:noProof/>
                <w:sz w:val="12"/>
                <w:szCs w:val="12"/>
                <w:lang w:eastAsia="de-DE"/>
              </w:rPr>
            </w:pPr>
            <w:r>
              <w:rPr>
                <w:rFonts w:eastAsia="Times New Roman"/>
                <w:b/>
                <w:bCs/>
                <w:noProof/>
                <w:sz w:val="12"/>
                <w:szCs w:val="12"/>
                <w:lang w:eastAsia="de-DE"/>
              </w:rPr>
              <w:t>USD</w:t>
            </w:r>
          </w:p>
        </w:tc>
        <w:tc>
          <w:tcPr>
            <w:tcW w:w="383"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left"/>
              <w:rPr>
                <w:rFonts w:eastAsia="Times New Roman"/>
                <w:b/>
                <w:bCs/>
                <w:noProof/>
                <w:sz w:val="12"/>
                <w:szCs w:val="12"/>
                <w:lang w:eastAsia="de-DE"/>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left"/>
              <w:rPr>
                <w:rFonts w:eastAsia="Times New Roman"/>
                <w:b/>
                <w:bCs/>
                <w:noProof/>
                <w:sz w:val="12"/>
                <w:szCs w:val="12"/>
                <w:lang w:eastAsia="de-DE"/>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left"/>
              <w:rPr>
                <w:rFonts w:eastAsia="Times New Roman"/>
                <w:b/>
                <w:bCs/>
                <w:noProof/>
                <w:sz w:val="12"/>
                <w:szCs w:val="12"/>
                <w:lang w:eastAsia="de-DE"/>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left"/>
              <w:rPr>
                <w:rFonts w:eastAsia="Times New Roman"/>
                <w:b/>
                <w:bCs/>
                <w:noProof/>
                <w:sz w:val="12"/>
                <w:szCs w:val="12"/>
                <w:lang w:eastAsia="de-DE"/>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left"/>
              <w:rPr>
                <w:rFonts w:eastAsia="Times New Roman"/>
                <w:b/>
                <w:bCs/>
                <w:noProof/>
                <w:sz w:val="12"/>
                <w:szCs w:val="12"/>
                <w:lang w:eastAsia="de-DE"/>
              </w:rPr>
            </w:pPr>
          </w:p>
        </w:tc>
        <w:tc>
          <w:tcPr>
            <w:tcW w:w="131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left"/>
              <w:rPr>
                <w:rFonts w:eastAsia="Times New Roman"/>
                <w:b/>
                <w:bCs/>
                <w:noProof/>
                <w:sz w:val="12"/>
                <w:szCs w:val="12"/>
                <w:lang w:eastAsia="de-DE"/>
              </w:rPr>
            </w:pP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Bilateral, non allocated</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106 120 000,00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140 715 120,00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Multisector aid</w:t>
            </w:r>
            <w:r>
              <w:rPr>
                <w:rFonts w:eastAsia="Times New Roman"/>
                <w:noProof/>
                <w:sz w:val="12"/>
                <w:szCs w:val="12"/>
                <w:lang w:val="en-GB" w:eastAsia="de-DE"/>
              </w:rPr>
              <w:br/>
              <w:t>Contribution from the 2014 General EU Budget to the NIF (Neighbourhood Investment Facility) SOUTH</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Bilateral, non allocated</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41 634 360,63</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55 207 162,20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Multisector aid</w:t>
            </w:r>
            <w:r>
              <w:rPr>
                <w:rFonts w:eastAsia="Times New Roman"/>
                <w:noProof/>
                <w:sz w:val="12"/>
                <w:szCs w:val="12"/>
                <w:lang w:val="en-GB" w:eastAsia="de-DE"/>
              </w:rPr>
              <w:br/>
              <w:t>Contribution 2014 to the NIF (Neighbourhood Investment Facility) for the EAST</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Turkey</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26 160 000,00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34 688 160,00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transport</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Transport policy and administrative management</w:t>
            </w:r>
            <w:r>
              <w:rPr>
                <w:rFonts w:eastAsia="Times New Roman"/>
                <w:noProof/>
                <w:sz w:val="12"/>
                <w:szCs w:val="12"/>
                <w:lang w:val="en-GB" w:eastAsia="de-DE"/>
              </w:rPr>
              <w:br/>
              <w:t>Sustainable and safe transport</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 xml:space="preserve">West Bank and Gaza Strip </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15 000 000,00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19 890 000,00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water and sanitation</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Sanitation - large systems</w:t>
            </w:r>
            <w:r>
              <w:rPr>
                <w:rFonts w:eastAsia="Times New Roman"/>
                <w:noProof/>
                <w:sz w:val="12"/>
                <w:szCs w:val="12"/>
                <w:lang w:val="en-GB" w:eastAsia="de-DE"/>
              </w:rPr>
              <w:br/>
              <w:t>Hebron Wastewater Treatment Plant (HWWTP)</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Jordan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5 000 000,00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6 630 000,00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Public sector policy and administrative management</w:t>
            </w:r>
            <w:r>
              <w:rPr>
                <w:rFonts w:eastAsia="Times New Roman"/>
                <w:noProof/>
                <w:sz w:val="12"/>
                <w:szCs w:val="12"/>
                <w:lang w:val="en-GB" w:eastAsia="de-DE"/>
              </w:rPr>
              <w:br/>
              <w:t>Support to the response to the Syria crisis in Jordan</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Georgia</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4 800 000,00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6 364 800,00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agriculture</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Agricultural development</w:t>
            </w:r>
            <w:r>
              <w:rPr>
                <w:rFonts w:eastAsia="Times New Roman"/>
                <w:noProof/>
                <w:sz w:val="12"/>
                <w:szCs w:val="12"/>
                <w:lang w:val="en-GB" w:eastAsia="de-DE"/>
              </w:rPr>
              <w:br/>
              <w:t xml:space="preserve">ENPARD Georgia Topup </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Europe</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2 800 000,00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3 712 800,00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Environmental policy and administrative management</w:t>
            </w:r>
            <w:r>
              <w:rPr>
                <w:rFonts w:eastAsia="Times New Roman"/>
                <w:noProof/>
                <w:sz w:val="12"/>
                <w:szCs w:val="12"/>
                <w:lang w:val="en-GB" w:eastAsia="de-DE"/>
              </w:rPr>
              <w:br/>
              <w:t>Implementation of the Shared Environmental Information System principles and practices in the Eastern Partnership countries (SEIS East)</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Africa</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29 940 696,80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39 701 363,96</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 xml:space="preserve">Power generation/renewable sources </w:t>
            </w:r>
            <w:r>
              <w:rPr>
                <w:rFonts w:eastAsia="Times New Roman"/>
                <w:noProof/>
                <w:sz w:val="12"/>
                <w:szCs w:val="12"/>
                <w:lang w:val="en-GB" w:eastAsia="de-DE"/>
              </w:rPr>
              <w:br/>
              <w:t>GPGC – Delivering access to modern, affordable and sustainable energy/renewable energy to 6 million people</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Bilateral, non allocated</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2 099 457,08</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2 783 880,09</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Urban development and management</w:t>
            </w:r>
            <w:r>
              <w:rPr>
                <w:rFonts w:eastAsia="Times New Roman"/>
                <w:noProof/>
                <w:sz w:val="12"/>
                <w:szCs w:val="12"/>
                <w:lang w:val="en-GB" w:eastAsia="de-DE"/>
              </w:rPr>
              <w:br/>
              <w:t>Non-substantial modifications of Commission Implementing Decision C(2013)5300 on the ENPI East Regional Action Programme 2013</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Serbia</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24 800 000,00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32 884 800,00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Flood prevention/control</w:t>
            </w:r>
            <w:r>
              <w:rPr>
                <w:rFonts w:eastAsia="Times New Roman"/>
                <w:noProof/>
                <w:sz w:val="12"/>
                <w:szCs w:val="12"/>
                <w:lang w:val="en-GB" w:eastAsia="de-DE"/>
              </w:rPr>
              <w:br/>
              <w:t>Flood recovery and prevention</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Turkey</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12 548 000,00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16 638 648,00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water and sanitation</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Water supply and sanitation - large systems</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Bilateral, non allocated</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65 000 000,00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86 190 000,00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Food aid/food security programmes</w:t>
            </w:r>
            <w:r>
              <w:rPr>
                <w:rFonts w:eastAsia="Times New Roman"/>
                <w:noProof/>
                <w:sz w:val="12"/>
                <w:szCs w:val="12"/>
                <w:lang w:val="en-GB" w:eastAsia="de-DE"/>
              </w:rPr>
              <w:br/>
              <w:t xml:space="preserve">Pro-Resilience Action (PRO-ACT): building resilience through crisis prevention and post-crisis response strategy </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Zambia</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25 600 000,00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33 945 600,00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Hydro-electric power plants</w:t>
            </w:r>
            <w:r>
              <w:rPr>
                <w:rFonts w:eastAsia="Times New Roman"/>
                <w:noProof/>
                <w:sz w:val="12"/>
                <w:szCs w:val="12"/>
                <w:lang w:eastAsia="de-DE"/>
              </w:rPr>
              <w:br/>
              <w:t>Kariba Dam Rehabilitation</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Africa - North Sahara, regional</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1 866 250,00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2 474 647,50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Energy policy and administrative management</w:t>
            </w:r>
            <w:r>
              <w:rPr>
                <w:rFonts w:eastAsia="Times New Roman"/>
                <w:noProof/>
                <w:sz w:val="12"/>
                <w:szCs w:val="12"/>
                <w:lang w:val="en-GB" w:eastAsia="de-DE"/>
              </w:rPr>
              <w:br/>
              <w:t>Additional contribution to the project Energy Efficiency in the Construction Sector (MED ENEC II)</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Philippines </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60 000 000,00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79 560 000,00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Energy policy and administrative management</w:t>
            </w:r>
            <w:r>
              <w:rPr>
                <w:rFonts w:eastAsia="Times New Roman"/>
                <w:noProof/>
                <w:sz w:val="12"/>
                <w:szCs w:val="12"/>
                <w:lang w:val="en-GB" w:eastAsia="de-DE"/>
              </w:rPr>
              <w:br/>
              <w:t>Access to Sustainable Energy in the Philippines</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Europe</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1 200 000,00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1 591 200,00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Energy policy and administrative management</w:t>
            </w:r>
            <w:r>
              <w:rPr>
                <w:rFonts w:eastAsia="Times New Roman"/>
                <w:noProof/>
                <w:sz w:val="12"/>
                <w:szCs w:val="12"/>
                <w:lang w:val="en-GB" w:eastAsia="de-DE"/>
              </w:rPr>
              <w:br/>
              <w:t>Regional energy technical assistance project, working in the domains of electricity and gas, energy efficiency and sustainable energy, as well as energy statistics. Action location is Armenia, Azerbaijan, Belarus, Georgia, Moldova, Ukraine, Kazakhstan, Kyrgyzstan, Tajikistan, Turkmenistan and Uzbekistan.</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Europe</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1 200 000,00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1 591 200,00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Sectors not specified</w:t>
            </w:r>
            <w:r>
              <w:rPr>
                <w:rFonts w:eastAsia="Times New Roman"/>
                <w:noProof/>
                <w:sz w:val="12"/>
                <w:szCs w:val="12"/>
                <w:lang w:val="en-GB" w:eastAsia="de-DE"/>
              </w:rPr>
              <w:br/>
              <w:t>CLIMA East: Supporting Climate Change Mitigation and Adaptation in ENP East countries and Russia</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Serbia</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4 000 000,00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5 304 000,00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Flood prevention/control</w:t>
            </w:r>
            <w:r>
              <w:rPr>
                <w:rFonts w:eastAsia="Times New Roman"/>
                <w:noProof/>
                <w:sz w:val="12"/>
                <w:szCs w:val="12"/>
                <w:lang w:val="en-GB" w:eastAsia="de-DE"/>
              </w:rPr>
              <w:br/>
              <w:t xml:space="preserve">Regional reconstruction and improvement of flood protection infrastructure in the Sava River Basin- Serbia part </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Tajikistan </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14 000 000,00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18 564 000,00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Rural development</w:t>
            </w:r>
            <w:r>
              <w:rPr>
                <w:rFonts w:eastAsia="Times New Roman"/>
                <w:noProof/>
                <w:sz w:val="12"/>
                <w:szCs w:val="12"/>
                <w:lang w:val="en-GB" w:eastAsia="de-DE"/>
              </w:rPr>
              <w:br/>
              <w:t>Rural Development Programme I to Tajikistan</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Montenegro</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1 656 000,00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2 195 856,00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transport</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Rail transport</w:t>
            </w:r>
            <w:r>
              <w:rPr>
                <w:rFonts w:eastAsia="Times New Roman"/>
                <w:noProof/>
                <w:sz w:val="12"/>
                <w:szCs w:val="12"/>
                <w:lang w:val="en-GB" w:eastAsia="de-DE"/>
              </w:rPr>
              <w:br/>
              <w:t>Rehabilitation of the rilway section Kos-trebesica</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Burundi </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12 200 000,00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16 177 200,00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fr-FR" w:eastAsia="de-DE"/>
              </w:rPr>
            </w:pPr>
            <w:r>
              <w:rPr>
                <w:rFonts w:eastAsia="Times New Roman"/>
                <w:noProof/>
                <w:sz w:val="12"/>
                <w:szCs w:val="12"/>
                <w:lang w:val="fr-FR" w:eastAsia="de-DE"/>
              </w:rPr>
              <w:t xml:space="preserve">Power generation/renewable sources </w:t>
            </w:r>
            <w:r>
              <w:rPr>
                <w:rFonts w:eastAsia="Times New Roman"/>
                <w:noProof/>
                <w:sz w:val="12"/>
                <w:szCs w:val="12"/>
                <w:lang w:val="fr-FR" w:eastAsia="de-DE"/>
              </w:rPr>
              <w:br/>
              <w:t>Amenagements hydroelectriques de Jiji et Mulembwe</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Honduras </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12 000 000,00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15 912 000,00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agriculture</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Agricultural development</w:t>
            </w:r>
            <w:r>
              <w:rPr>
                <w:rFonts w:eastAsia="Times New Roman"/>
                <w:noProof/>
                <w:sz w:val="12"/>
                <w:szCs w:val="12"/>
                <w:lang w:val="en-GB" w:eastAsia="de-DE"/>
              </w:rPr>
              <w:br/>
              <w:t>Food Security, Nutrition and Resilience in the Dry Corridor</w:t>
            </w:r>
            <w:r>
              <w:rPr>
                <w:rFonts w:eastAsia="Times New Roman"/>
                <w:noProof/>
                <w:sz w:val="12"/>
                <w:szCs w:val="12"/>
                <w:lang w:val="en-GB" w:eastAsia="de-DE"/>
              </w:rPr>
              <w:br/>
              <w:t>(EUROSAN)</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America</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12 000 000,00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15 912 000,00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Multisector aid</w:t>
            </w:r>
            <w:r>
              <w:rPr>
                <w:rFonts w:eastAsia="Times New Roman"/>
                <w:noProof/>
                <w:sz w:val="12"/>
                <w:szCs w:val="12"/>
                <w:lang w:val="en-GB" w:eastAsia="de-DE"/>
              </w:rPr>
              <w:br/>
              <w:t>Latin American Investment Facility 2014 - LAIF</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Montenegro</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760 000,00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1 007 760,00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Environmental policy and administrative management</w:t>
            </w:r>
            <w:r>
              <w:rPr>
                <w:rFonts w:eastAsia="Times New Roman"/>
                <w:noProof/>
                <w:sz w:val="12"/>
                <w:szCs w:val="12"/>
                <w:lang w:val="en-GB" w:eastAsia="de-DE"/>
              </w:rPr>
              <w:br/>
              <w:t>Implementation of the Water Framework Directive and optimisation of the water supply</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Turkey</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596 000,00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790 296,00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Environmental policy and administrative management</w:t>
            </w:r>
            <w:r>
              <w:rPr>
                <w:rFonts w:eastAsia="Times New Roman"/>
                <w:noProof/>
                <w:sz w:val="12"/>
                <w:szCs w:val="12"/>
                <w:lang w:eastAsia="de-DE"/>
              </w:rPr>
              <w:br/>
              <w:t>Environmental management for sustainable development</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Asia</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10 400 000,00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13 790 400,00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Multisector aid</w:t>
            </w:r>
            <w:r>
              <w:rPr>
                <w:rFonts w:eastAsia="Times New Roman"/>
                <w:noProof/>
                <w:sz w:val="12"/>
                <w:szCs w:val="12"/>
                <w:lang w:val="en-GB" w:eastAsia="de-DE"/>
              </w:rPr>
              <w:br/>
              <w:t>Asian Investment Facility</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Europe</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560 000,00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742 560,00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Multisector aid</w:t>
            </w:r>
            <w:r>
              <w:rPr>
                <w:rFonts w:eastAsia="Times New Roman"/>
                <w:noProof/>
                <w:sz w:val="12"/>
                <w:szCs w:val="12"/>
                <w:lang w:val="en-GB" w:eastAsia="de-DE"/>
              </w:rPr>
              <w:br/>
              <w:t>Cross-Border Cooperation Programme Serbia-Bosnia and Herzegovina</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Bilateral, non allocated</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10 000 000,00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13 260 000,00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Food aid/food security programmes</w:t>
            </w:r>
            <w:r>
              <w:rPr>
                <w:rFonts w:eastAsia="Times New Roman"/>
                <w:noProof/>
                <w:sz w:val="12"/>
                <w:szCs w:val="12"/>
                <w:lang w:val="en-GB" w:eastAsia="de-DE"/>
              </w:rPr>
              <w:br/>
              <w:t>Resilience oriented information systems for improved decision making</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Europe</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476 000,00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631 176,00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Multisector aid</w:t>
            </w:r>
            <w:r>
              <w:rPr>
                <w:rFonts w:eastAsia="Times New Roman"/>
                <w:noProof/>
                <w:sz w:val="12"/>
                <w:szCs w:val="12"/>
                <w:lang w:val="en-GB" w:eastAsia="de-DE"/>
              </w:rPr>
              <w:br/>
              <w:t>IPA II Cross-Border Co-operation Action Programme Montenegro-Albania for the year 2014</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Asia</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9 082 849,20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12 043 858,04</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industry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Industrial development</w:t>
            </w:r>
            <w:r>
              <w:rPr>
                <w:rFonts w:eastAsia="Times New Roman"/>
                <w:noProof/>
                <w:sz w:val="12"/>
                <w:szCs w:val="12"/>
                <w:lang w:val="en-GB" w:eastAsia="de-DE"/>
              </w:rPr>
              <w:br/>
              <w:t>Switch Asia II - Promoting sustainable Consumption and Production</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Bilateral, non allocated</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8 441 196,00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11 193 025,90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agriculture</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Agricultural policy and administrative management</w:t>
            </w:r>
            <w:r>
              <w:rPr>
                <w:rFonts w:eastAsia="Times New Roman"/>
                <w:noProof/>
                <w:sz w:val="12"/>
                <w:szCs w:val="12"/>
                <w:lang w:val="en-GB" w:eastAsia="de-DE"/>
              </w:rPr>
              <w:br/>
              <w:t xml:space="preserve">FIRST : Food security Impact, Resilience, Sustainability, Transformation   </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Uzbekistan </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8 000 000,00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10 608 000,00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water and sanitation</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Water resources policy and administrative management</w:t>
            </w:r>
            <w:r>
              <w:rPr>
                <w:rFonts w:eastAsia="Times New Roman"/>
                <w:noProof/>
                <w:sz w:val="12"/>
                <w:szCs w:val="12"/>
                <w:lang w:val="en-GB" w:eastAsia="de-DE"/>
              </w:rPr>
              <w:br/>
              <w:t xml:space="preserve">Integrated Management of Water Resources in rural areas in Uzbekistan  </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Bilateral, non allocated</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8 000 000,00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10 608 000,00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agriculture</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Agricultural research</w:t>
            </w:r>
            <w:r>
              <w:rPr>
                <w:rFonts w:eastAsia="Times New Roman"/>
                <w:noProof/>
                <w:sz w:val="12"/>
                <w:szCs w:val="12"/>
                <w:lang w:val="en-GB" w:eastAsia="de-DE"/>
              </w:rPr>
              <w:br/>
              <w:t>Putting Research into Use for Nutrition, Sustainability and Resilience (PRUNSAR)</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East Asia</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8 000 000,00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10 608 000,00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Multisector aid</w:t>
            </w:r>
            <w:r>
              <w:rPr>
                <w:rFonts w:eastAsia="Times New Roman"/>
                <w:noProof/>
                <w:sz w:val="12"/>
                <w:szCs w:val="12"/>
                <w:lang w:eastAsia="de-DE"/>
              </w:rPr>
              <w:br/>
              <w:t xml:space="preserve">Enhanced Regional EU-ASEAN Dialogue Initiative </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Europe</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336 000,00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445 536,00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Multisector aid</w:t>
            </w:r>
            <w:r>
              <w:rPr>
                <w:rFonts w:eastAsia="Times New Roman"/>
                <w:noProof/>
                <w:sz w:val="12"/>
                <w:szCs w:val="12"/>
                <w:lang w:val="en-GB" w:eastAsia="de-DE"/>
              </w:rPr>
              <w:br/>
              <w:t>Cross-Border Cooperation Programme Serbia-Montenegro</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Bilateral, non allocated</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15 000 000,00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19 890 000,00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Environmental policy and administrative management</w:t>
            </w:r>
            <w:r>
              <w:rPr>
                <w:rFonts w:eastAsia="Times New Roman"/>
                <w:noProof/>
                <w:sz w:val="12"/>
                <w:szCs w:val="12"/>
                <w:lang w:val="en-GB" w:eastAsia="de-DE"/>
              </w:rPr>
              <w:br/>
              <w:t>Support to the NAMA Facility</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Bilateral, non allocated</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5 200 000,00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6 895 200,00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forestry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Forestry policy and administrative management</w:t>
            </w:r>
            <w:r>
              <w:rPr>
                <w:rFonts w:eastAsia="Times New Roman"/>
                <w:noProof/>
                <w:sz w:val="12"/>
                <w:szCs w:val="12"/>
                <w:lang w:val="en-GB" w:eastAsia="de-DE"/>
              </w:rPr>
              <w:br/>
              <w:t>FAO Forest Law Enforcement, Governance, and Trade Trust Fund</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Bolivia</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4 800 000,00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6 364 800,00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water and sanitation</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Basic drinking water supply and basic sanitation</w:t>
            </w:r>
            <w:r>
              <w:rPr>
                <w:rFonts w:eastAsia="Times New Roman"/>
                <w:noProof/>
                <w:sz w:val="12"/>
                <w:szCs w:val="12"/>
                <w:lang w:val="en-GB" w:eastAsia="de-DE"/>
              </w:rPr>
              <w:br/>
              <w:t>Avenant au programme PASAP</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Bilateral, non allocated</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12 000 000,00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15 912 000,00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forestry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Forestry policy and administrative management</w:t>
            </w:r>
            <w:r>
              <w:rPr>
                <w:rFonts w:eastAsia="Times New Roman"/>
                <w:noProof/>
                <w:sz w:val="12"/>
                <w:szCs w:val="12"/>
                <w:lang w:val="en-GB" w:eastAsia="de-DE"/>
              </w:rPr>
              <w:br/>
              <w:t xml:space="preserve">Additional contribution to the Forest Carbon Partnership Facility - Readiness Fund </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Niger </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11 000 000,00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14 586 000,00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agriculture</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Rural development</w:t>
            </w:r>
            <w:r>
              <w:rPr>
                <w:rFonts w:eastAsia="Times New Roman"/>
                <w:noProof/>
                <w:sz w:val="12"/>
                <w:szCs w:val="12"/>
                <w:lang w:val="en-GB" w:eastAsia="de-DE"/>
              </w:rPr>
              <w:br/>
              <w:t>Climate resilience for a sustainable agricultural development / PARC-DAD</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Bilateral, non allocated</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10 000 000,00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13 260 000,00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Environmental policy and administrative management</w:t>
            </w:r>
            <w:r>
              <w:rPr>
                <w:rFonts w:eastAsia="Times New Roman"/>
                <w:noProof/>
                <w:sz w:val="12"/>
                <w:szCs w:val="12"/>
                <w:lang w:val="en-GB" w:eastAsia="de-DE"/>
              </w:rPr>
              <w:br/>
              <w:t>Capacity Building for Climate Mitigation in the Maritime Shipping Industry</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South Asia</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10 000 000,00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13 260 000,00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Disaster prevention and preparedness</w:t>
            </w:r>
            <w:r>
              <w:rPr>
                <w:rFonts w:eastAsia="Times New Roman"/>
                <w:noProof/>
                <w:sz w:val="12"/>
                <w:szCs w:val="12"/>
                <w:lang w:val="en-GB" w:eastAsia="de-DE"/>
              </w:rPr>
              <w:br/>
              <w:t>EU-South Asia Capacity building for Disaster Risk Management</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Africa</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3 200 000,00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4 243 200,00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transport</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Transport policy and administrative management</w:t>
            </w:r>
            <w:r>
              <w:rPr>
                <w:rFonts w:eastAsia="Times New Roman"/>
                <w:noProof/>
                <w:sz w:val="12"/>
                <w:szCs w:val="12"/>
                <w:lang w:val="en-GB" w:eastAsia="de-DE"/>
              </w:rPr>
              <w:br/>
              <w:t>EU-Africa Partnership on Infrastructure Support to Africa Transport Policy Programme (SSATP) - Development Plan 2014-2018 (SSATP DP3)</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Africa</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8 000 000,00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10 608 000,00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Energy policy and administrative management</w:t>
            </w:r>
            <w:r>
              <w:rPr>
                <w:rFonts w:eastAsia="Times New Roman"/>
                <w:noProof/>
                <w:sz w:val="12"/>
                <w:szCs w:val="12"/>
                <w:lang w:val="en-GB" w:eastAsia="de-DE"/>
              </w:rPr>
              <w:br/>
              <w:t>Global Public Goods And Challenges 2014-2020 – Sustainable Energy - Building Partnerships</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Nicaragua </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3 200 000,00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4 243 200,00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Multisector aid</w:t>
            </w:r>
            <w:r>
              <w:rPr>
                <w:rFonts w:eastAsia="Times New Roman"/>
                <w:noProof/>
                <w:sz w:val="12"/>
                <w:szCs w:val="12"/>
                <w:lang w:eastAsia="de-DE"/>
              </w:rPr>
              <w:br/>
              <w:t>Nicaragua Technical Assistance Support (NITA-SUPPORT)</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Bilateral, non allocated</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6 330 000,00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8 393 580,00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Multisector aid</w:t>
            </w:r>
            <w:r>
              <w:rPr>
                <w:rFonts w:eastAsia="Times New Roman"/>
                <w:noProof/>
                <w:sz w:val="12"/>
                <w:szCs w:val="12"/>
                <w:lang w:val="en-GB" w:eastAsia="de-DE"/>
              </w:rPr>
              <w:br/>
              <w:t>Global Climate Change Alliance+ Support Facility</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Cambodia </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6 000 000,00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7 956 000,00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Environmental policy and administrative management</w:t>
            </w:r>
            <w:r>
              <w:rPr>
                <w:rFonts w:eastAsia="Times New Roman"/>
                <w:noProof/>
                <w:sz w:val="12"/>
                <w:szCs w:val="12"/>
                <w:lang w:eastAsia="de-DE"/>
              </w:rPr>
              <w:br/>
              <w:t>Cambodia Climate Change Alliance (CCCA)</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Bilateral, non allocated</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2 652 000,00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Population policy and administrative management</w:t>
            </w:r>
            <w:r>
              <w:rPr>
                <w:rFonts w:eastAsia="Times New Roman"/>
                <w:noProof/>
                <w:sz w:val="12"/>
                <w:szCs w:val="12"/>
                <w:lang w:val="en-GB" w:eastAsia="de-DE"/>
              </w:rPr>
              <w:br/>
              <w:t>Migrants in Countries in Crisis: Supporting an evidence based approach for effective and cooperative state action</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Peru </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5 000 000,00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6 630 000,00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Environmental policy and administrative management</w:t>
            </w:r>
            <w:r>
              <w:rPr>
                <w:rFonts w:eastAsia="Times New Roman"/>
                <w:noProof/>
                <w:sz w:val="12"/>
                <w:szCs w:val="12"/>
                <w:lang w:val="en-GB" w:eastAsia="de-DE"/>
              </w:rPr>
              <w:br/>
              <w:t>Strengthening climate governance – support for COP 20 Lima</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Africa - South Sahara, regional</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2 652 000,00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forestry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Bio-diversity</w:t>
            </w:r>
            <w:r>
              <w:rPr>
                <w:rFonts w:eastAsia="Times New Roman"/>
                <w:noProof/>
                <w:sz w:val="12"/>
                <w:szCs w:val="12"/>
                <w:lang w:val="en-GB" w:eastAsia="de-DE"/>
              </w:rPr>
              <w:br/>
              <w:t>Central Africa World Heritage Forest Initiative - CAWHFI (phase II)</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Rwanda </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1 600 000,00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2 121 600,00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Environmental policy and administrative management</w:t>
            </w:r>
            <w:r>
              <w:rPr>
                <w:rFonts w:eastAsia="Times New Roman"/>
                <w:noProof/>
                <w:sz w:val="12"/>
                <w:szCs w:val="12"/>
                <w:lang w:val="en-GB" w:eastAsia="de-DE"/>
              </w:rPr>
              <w:br/>
              <w:t>Sector Reform Contract (SRC) to promote climate-proof investments by farmers through improved land administration and land use monitoring capacities at central and local government level</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Guinea-Bissau</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1 600 000,00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2 121 600,00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agriculture</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fr-FR" w:eastAsia="de-DE"/>
              </w:rPr>
            </w:pPr>
            <w:r>
              <w:rPr>
                <w:rFonts w:eastAsia="Times New Roman"/>
                <w:noProof/>
                <w:sz w:val="12"/>
                <w:szCs w:val="12"/>
                <w:lang w:val="fr-FR" w:eastAsia="de-DE"/>
              </w:rPr>
              <w:t>Rural development</w:t>
            </w:r>
            <w:r>
              <w:rPr>
                <w:rFonts w:eastAsia="Times New Roman"/>
                <w:noProof/>
                <w:sz w:val="12"/>
                <w:szCs w:val="12"/>
                <w:lang w:val="fr-FR" w:eastAsia="de-DE"/>
              </w:rPr>
              <w:br/>
              <w:t>Actions Collectives et Territoriales Intégrées pour la Valorisation de l'Agriculture</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Europe</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4 000 000,00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5 304 000,00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Disaster prevention and preparedness</w:t>
            </w:r>
            <w:r>
              <w:rPr>
                <w:rFonts w:eastAsia="Times New Roman"/>
                <w:noProof/>
                <w:sz w:val="12"/>
                <w:szCs w:val="12"/>
                <w:lang w:val="en-GB" w:eastAsia="de-DE"/>
              </w:rPr>
              <w:br/>
              <w:t>Special measure for flood recovery and flood risk management - Multi-country part</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Uganda</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1 200 000,00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1 591 200,00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forestry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Forestry development</w:t>
            </w:r>
            <w:r>
              <w:rPr>
                <w:rFonts w:eastAsia="Times New Roman"/>
                <w:noProof/>
                <w:sz w:val="12"/>
                <w:szCs w:val="12"/>
                <w:lang w:val="en-GB" w:eastAsia="de-DE"/>
              </w:rPr>
              <w:br/>
              <w:t>Sawlog Production Grant Scheme III</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Bilateral, non allocated</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800 000,00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1 060 800,00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Environmental policy and administrative management</w:t>
            </w:r>
            <w:r>
              <w:rPr>
                <w:rFonts w:eastAsia="Times New Roman"/>
                <w:noProof/>
                <w:sz w:val="12"/>
                <w:szCs w:val="12"/>
                <w:lang w:val="en-GB" w:eastAsia="de-DE"/>
              </w:rPr>
              <w:br/>
              <w:t>Technical assistance for the mainstreaming of environmental sustainability, climate change, biodiversity and disaster risk reduction</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Oceania</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1 900 000,00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2 519 400,00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Environmental policy and administrative management</w:t>
            </w:r>
            <w:r>
              <w:rPr>
                <w:rFonts w:eastAsia="Times New Roman"/>
                <w:noProof/>
                <w:sz w:val="12"/>
                <w:szCs w:val="12"/>
                <w:lang w:val="en-GB" w:eastAsia="de-DE"/>
              </w:rPr>
              <w:br/>
              <w:t>EU Support to the Global Climate Change Alliance (GCCA) through capacity building, community engagement and applied research in the Pacific - Phase II</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Republic of South Sudan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609 300,00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807 931,80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agriculture</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Agricultural development</w:t>
            </w:r>
            <w:r>
              <w:rPr>
                <w:rFonts w:eastAsia="Times New Roman"/>
                <w:noProof/>
                <w:sz w:val="12"/>
                <w:szCs w:val="12"/>
                <w:lang w:val="en-GB" w:eastAsia="de-DE"/>
              </w:rPr>
              <w:br/>
              <w:t>South Sudan Rural Development Programme (SORUDEV)</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America</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420 000,00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556 920,00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Multisector aid</w:t>
            </w:r>
            <w:r>
              <w:rPr>
                <w:rFonts w:eastAsia="Times New Roman"/>
                <w:noProof/>
                <w:sz w:val="12"/>
                <w:szCs w:val="12"/>
                <w:lang w:val="en-GB" w:eastAsia="de-DE"/>
              </w:rPr>
              <w:br/>
              <w:t>Latin America Investment Facility 2009 - LAIF</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Tonga </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400 000,00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530 400,00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 xml:space="preserve">Power generation/renewable sources </w:t>
            </w:r>
            <w:r>
              <w:rPr>
                <w:rFonts w:eastAsia="Times New Roman"/>
                <w:noProof/>
                <w:sz w:val="12"/>
                <w:szCs w:val="12"/>
                <w:lang w:val="en-GB" w:eastAsia="de-DE"/>
              </w:rPr>
              <w:br/>
              <w:t>Sector Reform Contract Energy</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Bilateral, non allocated</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205 592,00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272 614,99</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Environmental policy and administrative management</w:t>
            </w:r>
            <w:r>
              <w:rPr>
                <w:rFonts w:eastAsia="Times New Roman"/>
                <w:noProof/>
                <w:sz w:val="12"/>
                <w:szCs w:val="12"/>
                <w:lang w:val="en-GB" w:eastAsia="de-DE"/>
              </w:rPr>
              <w:br/>
              <w:t>Support measures under GPGC environment and climate change</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Mali </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270 000,00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358 020,00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Environmental policy and administrative management</w:t>
            </w:r>
            <w:r>
              <w:rPr>
                <w:rFonts w:eastAsia="Times New Roman"/>
                <w:noProof/>
                <w:sz w:val="12"/>
                <w:szCs w:val="12"/>
                <w:lang w:eastAsia="de-DE"/>
              </w:rPr>
              <w:br/>
              <w:t>Global Climate Change Alliance - Mali</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Africa</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2 652 000,00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DG CLIMA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MRV project in 2-3 African countries (countries not identified yet)</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UNFCCC</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3 000 000,00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3 978 000,00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DG CLIMA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Supporting participation of developing countries at UNFCCC</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Peru</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5 000 000,00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6 630 000,00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DG CLIMA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UNDP trust fund to help government of Peru organise the Lima COP</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UNEP</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2 652 000,00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DG CLIMA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Development of the climate and clean air coalition working towards the global phase-down of HFCs</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UNIDO</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1 550 000,00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2 055 300,00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DG CLIMA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water and sanitation</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Emission reductions in the municipal drinking water and sanitation sectors</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OECD</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450 000,00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596 700,00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DG CLIMA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Grant</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OECD climate development research focusing on developing countries</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India / EIB</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60 000 000,00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79 560 000,00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Framework Loan to fund small and medium-scale capital investments in renewable energy and energy efficiency in India</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India / EIB</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20 000 000,00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26 520 000,00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Framework Loan to fund small and medium-scale capital investments in renewable energy and energy efficiency in India</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India / EIB</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60 000 000,00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79 560 000,00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Framework Loan to fund small and medium-scale capital investments in renewable energy and energy efficiency in India</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India / EIB</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60 000 000,00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79 560 000,00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Framework Loan to fund small and medium-scale capital investments in renewable energy and energy efficiency in India</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Kenya / EIB</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50 000 000,00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66 300 000,00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oof</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non-concessional loan</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Construction and operation of a 310 MW wind power plant near Lake Turkana, Kenya</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Kenya / EIB</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100 000 000,00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132 600 000,00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oof</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non-concessional loan</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Construction and operation of a 310 MW wind power plant near Lake Turkana, Kenya</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Kenya / EIB</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50 000 000,00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66 300 000,00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concessional loan</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Construction and operation of a 310 MW wind power plant near Lake Turkana, Kenya</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Kenya / EIB</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25 000 000,00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33 150 000,00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concessional loan</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Construction and operation of a 310 MW wind power plant near Lake Turkana, Kenya</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India / EIB</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200 000 000,00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265 200 000,00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Framework loan to support renewable energy and energy efficiency investment projects that contribute to climate change mitigation.</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Ukraine / EIB</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55 000 000,00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72 930 000,00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transport</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Construction of a new 1.8km double-track tunnel on the pan-European corridor V in South-West Ukraine.</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Turkey / EIB</w:t>
            </w:r>
          </w:p>
        </w:tc>
        <w:tc>
          <w:tcPr>
            <w:tcW w:w="507"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200 000 000,00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265 200 000,00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transport</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The Project involves the additional financing of the Bosphorus Tunnel Project which consists of a rail tunnel crossing underneath the Bosphorus Strait to link the existing commuter lines on the European and Asian side of Istanbul, a city of 13 m inhabitants. It also includes the upgrading of these existing lines and the procurement of new rolling stock. Once completed, this flagship investment will constitue the first  seamless mass transit system in Istanbul to cross the Bosphorus and link the two sides of the city along 76 kms of its southern shores. It will also enable high-speed intercity trains to cross the Bosphorus and reach the heart of the city.</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Turkey / EIB</w:t>
            </w:r>
          </w:p>
        </w:tc>
        <w:tc>
          <w:tcPr>
            <w:tcW w:w="507"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5 000 000,00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6 630 000,00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The proposed framework loan would be dedicated to earthquake safety improvements in residential buildings as defined in the Turkish Law on Urban Transformation, and related energy efficiency projects aimed at improving the energy and environmental performance of those buildings.”</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Turkey / EIB</w:t>
            </w:r>
          </w:p>
        </w:tc>
        <w:tc>
          <w:tcPr>
            <w:tcW w:w="507"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5 000 000,00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6 630 000,00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The proposed framework loan would be dedicated to earthquake safety improvements in residential buildings as defined in the Turkish Law on Urban Transformation, and related energy efficiency projects aimed at improving the energy and environmental performance of those buildings.”</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South Africa / EIB</w:t>
            </w:r>
          </w:p>
        </w:tc>
        <w:tc>
          <w:tcPr>
            <w:tcW w:w="507"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75 000 000,00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99 450 000,00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Implementation and operation of a 100 MW power plant based on an innovative Concentrated Solar thermal Power (CSP) technology.</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South Africa / EIB</w:t>
            </w:r>
          </w:p>
        </w:tc>
        <w:tc>
          <w:tcPr>
            <w:tcW w:w="507"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100 000 000,00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132 600 000,00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concessional loan</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310" w:type="pct"/>
            <w:tcBorders>
              <w:top w:val="nil"/>
              <w:left w:val="nil"/>
              <w:bottom w:val="single" w:sz="4" w:space="0" w:color="auto"/>
              <w:right w:val="single" w:sz="4" w:space="0" w:color="auto"/>
            </w:tcBorders>
            <w:shd w:val="clear" w:color="auto" w:fill="auto"/>
            <w:vAlign w:val="center"/>
            <w:hideMark/>
          </w:tcPr>
          <w:p>
            <w:pPr>
              <w:spacing w:after="240" w:line="240" w:lineRule="auto"/>
              <w:jc w:val="left"/>
              <w:rPr>
                <w:rFonts w:eastAsia="Times New Roman"/>
                <w:noProof/>
                <w:sz w:val="12"/>
                <w:szCs w:val="12"/>
                <w:lang w:val="en-GB" w:eastAsia="de-DE"/>
              </w:rPr>
            </w:pPr>
            <w:r>
              <w:rPr>
                <w:rFonts w:eastAsia="Times New Roman"/>
                <w:noProof/>
                <w:sz w:val="12"/>
                <w:szCs w:val="12"/>
                <w:lang w:val="en-GB" w:eastAsia="de-DE"/>
              </w:rPr>
              <w:t>The project concerns the construction and operation of a greenfield concentrated solar power (CSP) plant with 100 MW of installed power generating capacity.</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India / EIB</w:t>
            </w:r>
          </w:p>
        </w:tc>
        <w:tc>
          <w:tcPr>
            <w:tcW w:w="507"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16 500 000,00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21 879 000,00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A dedicated EIB loan to finance investments promoted by SMEs and Mid-Caps in India contributing to private sector development and other priorities under the Mandate such as social and economic infrastructure, and climate change mitigation and adaptation.</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Bangladesh / EIB</w:t>
            </w:r>
          </w:p>
        </w:tc>
        <w:tc>
          <w:tcPr>
            <w:tcW w:w="507"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13 500 000,00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17 901 000,00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water and sanitation</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The project will develop a new sustainable surface water resource that will contribute to meeting an increasing water demand in Dhaka and enable a reduction in extraction from over-exploited groundwater resources. The project will increase the security of water supply and improve the resilience to adverse impacts from climate change.</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Bangladesh / EIB</w:t>
            </w:r>
          </w:p>
        </w:tc>
        <w:tc>
          <w:tcPr>
            <w:tcW w:w="507"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1 500 000,00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1 989 000,00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water and sanitation</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The project will develop a new sustainable surface water resource that will contribute to meeting an increasing water demand in Dhaka and enable a reduction in extraction from over-exploited groundwater resources. The project will increase the security of water supply and improve the resilience to adverse impacts from climate change.</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Chile / EIB</w:t>
            </w:r>
          </w:p>
        </w:tc>
        <w:tc>
          <w:tcPr>
            <w:tcW w:w="507"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150 000 000,00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198 900 000,00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oda</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concessional loan</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The Framework Loan will support renewable energy projects in Chile.</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Bosnia and Herzegovina / EIB</w:t>
            </w:r>
          </w:p>
        </w:tc>
        <w:tc>
          <w:tcPr>
            <w:tcW w:w="507"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37 500 000,00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49 725 000,00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Construction of a 20 MW hydro power plant</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Moldova, Republic of / EIB</w:t>
            </w:r>
          </w:p>
        </w:tc>
        <w:tc>
          <w:tcPr>
            <w:tcW w:w="507"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48 000 000,00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63 648 000,00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agriculture</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Loan to the Republic of Moldova for the upgrading of the horticultural sector.</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Burkina Faso / EIB</w:t>
            </w:r>
          </w:p>
        </w:tc>
        <w:tc>
          <w:tcPr>
            <w:tcW w:w="507"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23 000 000,00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30 498 000,00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SONABEL, Burkina's public electricity company wants to install a 30MW solar plant to supply the interconnected network to increase the share of renewable energy in national electricity production and reduce the country's dependence on electricity imports by neighbouring countries</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Turkey / EIB</w:t>
            </w:r>
          </w:p>
        </w:tc>
        <w:tc>
          <w:tcPr>
            <w:tcW w:w="507"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35 000 000,00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46 410 000,00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agriculture</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The proposed loan aims to co-finance investments in the Turkish agricultural and agribusiness sectors carried out by micro-enterprises, SMEs, Mid-Caps and eligible promoters of any size. The project follows a request of DG AGRI to the Bank to contribute to the implementation of the Instrument for Pre-Accession Instrument for Rural Development (IPARD) in Turkey.</w:t>
            </w:r>
            <w:r>
              <w:rPr>
                <w:rFonts w:eastAsia="Times New Roman"/>
                <w:noProof/>
                <w:sz w:val="12"/>
                <w:szCs w:val="12"/>
                <w:lang w:val="en-GB" w:eastAsia="de-DE"/>
              </w:rPr>
              <w:br/>
              <w:t>The project will be intermediated by Ziraat Bank, a state owned financial intermediary specialized in the agriculture and agribusiness sectors. The project is expected to raise access to credit in rural regions and will complement the absorption of IPARD funds.</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Ukraine / EIB</w:t>
            </w:r>
          </w:p>
        </w:tc>
        <w:tc>
          <w:tcPr>
            <w:tcW w:w="507"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3 000 000,00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3 978 000,00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agriculture</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val="en-GB" w:eastAsia="de-DE"/>
              </w:rPr>
              <w:t xml:space="preserve">The proposed investment programme comprises the construction and operation of eight grain elevators, one of which one is integrated to a soya bean crushing and oil extraction plant of 700 t/d of soybeans. The integrated elevator crushing plant and the self standing grain elevators are located on eight different locations in Poltava, Vynnitsia and Khmelnitskiy regions in Ukraine. </w:t>
            </w:r>
            <w:r>
              <w:rPr>
                <w:rFonts w:eastAsia="Times New Roman"/>
                <w:noProof/>
                <w:sz w:val="12"/>
                <w:szCs w:val="12"/>
                <w:lang w:eastAsia="de-DE"/>
              </w:rPr>
              <w:t>The total grain storage capacity built is 514,000 t.</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Ukraine / EIB</w:t>
            </w:r>
          </w:p>
        </w:tc>
        <w:tc>
          <w:tcPr>
            <w:tcW w:w="507"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12 000 000,00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15 912 000,00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agriculture</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val="en-GB" w:eastAsia="de-DE"/>
              </w:rPr>
              <w:t xml:space="preserve">The proposed investment programme comprises the construction and operation of eight grain elevators, one of which one is integrated to a soya bean crushing and oil extraction plant of 700 t/d of soybeans. The integrated elevator crushing plant and the self standing grain elevators are located on eight different locations in Poltava, Vynnitsia and Khmelnitskiy regions in Ukraine. </w:t>
            </w:r>
            <w:r>
              <w:rPr>
                <w:rFonts w:eastAsia="Times New Roman"/>
                <w:noProof/>
                <w:sz w:val="12"/>
                <w:szCs w:val="12"/>
                <w:lang w:eastAsia="de-DE"/>
              </w:rPr>
              <w:t>The total grain storage capacity built is 514,000 t.</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Ukraine / EIB</w:t>
            </w:r>
          </w:p>
        </w:tc>
        <w:tc>
          <w:tcPr>
            <w:tcW w:w="507"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2 652 000,00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agriculture</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val="en-GB" w:eastAsia="de-DE"/>
              </w:rPr>
              <w:t xml:space="preserve">The proposed investment programme comprises the construction and operation of eight grain elevators, one of which one is integrated to a soya bean crushing and oil extraction plant of 700 t/d of soybeans. The integrated elevator crushing plant and the self standing grain elevators are located on eight different locations in Poltava, Vynnitsia and Khmelnitskiy regions in Ukraine. </w:t>
            </w:r>
            <w:r>
              <w:rPr>
                <w:rFonts w:eastAsia="Times New Roman"/>
                <w:noProof/>
                <w:sz w:val="12"/>
                <w:szCs w:val="12"/>
                <w:lang w:eastAsia="de-DE"/>
              </w:rPr>
              <w:t>The total grain storage capacity built is 514,000 t.</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Ukraine / EIB</w:t>
            </w:r>
          </w:p>
        </w:tc>
        <w:tc>
          <w:tcPr>
            <w:tcW w:w="507"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8 000 000,00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10 608 000,00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agriculture</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val="en-GB" w:eastAsia="de-DE"/>
              </w:rPr>
              <w:t xml:space="preserve">The proposed investment programme comprises the construction and operation of eight grain elevators, one of which one is integrated to a soya bean crushing and oil extraction plant of 700 t/d of soybeans. The integrated elevator crushing plant and the self standing grain elevators are located on eight different locations in Poltava, Vynnitsia and Khmelnitskiy regions in Ukraine. </w:t>
            </w:r>
            <w:r>
              <w:rPr>
                <w:rFonts w:eastAsia="Times New Roman"/>
                <w:noProof/>
                <w:sz w:val="12"/>
                <w:szCs w:val="12"/>
                <w:lang w:eastAsia="de-DE"/>
              </w:rPr>
              <w:t>The total grain storage capacity built is 514,000 t.</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Brazil / EIB</w:t>
            </w:r>
          </w:p>
        </w:tc>
        <w:tc>
          <w:tcPr>
            <w:tcW w:w="507"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200 000 000,00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265 200 000,00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transport</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The project consists of the acquisition of 73 passenger train sets (EMUs) of eight cars each to increase the performance and capacity of São Paulo’s commuter railway lines operated by  CPTM (Companhia Paulista de Trens Metropolitanos).</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Turkey / EIB</w:t>
            </w:r>
          </w:p>
        </w:tc>
        <w:tc>
          <w:tcPr>
            <w:tcW w:w="507"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32 450 000,00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43 028 700,00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oof</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non-concessional loan</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transport</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The project concerns a selection of the promoter’s RDI  investments aiming at the improvement of fuel efficiency and safety characteristics of motor vehicles, including the development of a new B-plus segment passenger car platform, the development of technology and components for an electric vehicle and of an onboard storage system for gas fuelled vehicles, for longer-term applications.</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Turkey / EIB</w:t>
            </w:r>
          </w:p>
        </w:tc>
        <w:tc>
          <w:tcPr>
            <w:tcW w:w="507"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21 675 000,00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28 741 050,00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The loan will finance small to medium sized investments in Turkey in the fields of Renewable Energy, Energy Efficiency and projects that substantially increase the environmental performance of industrial processes.</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Tukey / EIB</w:t>
            </w:r>
          </w:p>
        </w:tc>
        <w:tc>
          <w:tcPr>
            <w:tcW w:w="507"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50 575 000,00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67 062 450,00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The loan will finance small to medium sized investments in Turkey in the fields of Renewable Energy, Energy Efficiency and projects that substantially increase the environmental performance of industrial processes.</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Turkey / EIB</w:t>
            </w:r>
          </w:p>
        </w:tc>
        <w:tc>
          <w:tcPr>
            <w:tcW w:w="507"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12 750 000,00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16 906 500,00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The loan will finance small to medium sized investments in Turkey in the fields of Renewable Energy, Energy Efficiency and projects that substantially increase the environmental performance of industrial processes.</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India / EIB</w:t>
            </w:r>
          </w:p>
        </w:tc>
        <w:tc>
          <w:tcPr>
            <w:tcW w:w="507"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13 500 000,00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17 901 000,00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cross-cutting</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A dedicated EIB loan to finance investments promoted by SMEs and Mid-Caps in India contributing to private sector development and other priorities under the Mandate such as social and economic infrastructure, and climate change mitigation and adaptation.</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Ukraine / EIB</w:t>
            </w:r>
          </w:p>
        </w:tc>
        <w:tc>
          <w:tcPr>
            <w:tcW w:w="507"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5 500 000,00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7 293 000,00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agriculture</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The project involves the construction and operation of an integrated chicken fodder production complex with an annual output capacity of 1300000 t/year. The project will integrate oil seed crushing and grain and sunflower storage with the fodder production. The total capacity of the new grain elevators will be 400,000 m3.</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Ukraine / EIB</w:t>
            </w:r>
          </w:p>
        </w:tc>
        <w:tc>
          <w:tcPr>
            <w:tcW w:w="507"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3 000 000,00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3 978 000,00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Adaptation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agriculture</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The project involves the construction and operation of an integrated chicken fodder production complex with an annual output capacity of 1300000 t/year. The project will integrate oil seed crushing and grain and sunflower storage with the fodder production. The total capacity of the new grain elevators will be 400,000 m3.</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Guinea / EIB</w:t>
            </w:r>
          </w:p>
        </w:tc>
        <w:tc>
          <w:tcPr>
            <w:tcW w:w="507"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9 600 000,00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12 729 600,00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The project scope subject to the Bank’s financing is a programme of investments comprising rehabilitation of four  hydropower plants (in total 122 MW currently operating at maximum of 75 MW), and rehabilitation and extension of the distribution network in Conakry.</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Guinea / EIB</w:t>
            </w:r>
          </w:p>
        </w:tc>
        <w:tc>
          <w:tcPr>
            <w:tcW w:w="507"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14 400 000,00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19 094 400,00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The project scope subject to the Bank’s financing is a programme of investments comprising rehabilitation of four  hydropower plants (in total 122 MW currently operating at maximum of 75 MW), and rehabilitation and extension of the distribution network in Conakry.</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Turkey / EIB</w:t>
            </w:r>
          </w:p>
        </w:tc>
        <w:tc>
          <w:tcPr>
            <w:tcW w:w="507"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10 000 000,00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13 260 000,00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The loan will finance small to medium sized investments in Turkey in the fields of Renewable Energy, Energy Efficiency and projects that substantially increase the environmental performance of industrial processes.</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Turkey / EIB</w:t>
            </w:r>
          </w:p>
        </w:tc>
        <w:tc>
          <w:tcPr>
            <w:tcW w:w="507"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25 500 000,00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33 813 000,00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The loan will finance small to medium sized investments in Turkey in the fields of Renewable Energy, Energy Efficiency and projects that substantially increase the environmental performance of industrial processes.</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Turkey / EIB</w:t>
            </w:r>
          </w:p>
        </w:tc>
        <w:tc>
          <w:tcPr>
            <w:tcW w:w="507"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59 500 000,00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78 897 000,00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The loan will finance small to medium sized investments in Turkey in the fields of Renewable Energy, Energy Efficiency and projects that substantially increase the environmental performance of industrial processes.</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Turkey / EIB</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5 000 000,00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6 630 000,00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The loan will finance small to medium sized investments in Turkey in the fields of Renewable Energy, Energy Efficiency and projects that substantially increase the environmental performance of industrial processes.</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Burundi  / EIB</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56 700 000,00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75 184 200,00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The Jiji and Mulembwe Hydropower Project consists of the construction of two run-of-the-river hydropower plants Jiji (31.5 MW) and Mulembwe (16.5 MW) in southern Burundi as well as an 80 km 110 kV transmission line to evacuate the power to the capital, Bujumbura, which is interconnected at a national and regional level.  The project will increase the supply of clean and affordable electricity to the national grid. The project also includes the electrification of rural communities in the vicinity of the power plants.</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Burundi  / EIB</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13 300 000,00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17 635 800,00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The Jiji and Mulembwe Hydropower Project consists of the construction of two run-of-the-river hydropower plants Jiji (31.5 MW) and Mulembwe (16.5 MW) in southern Burundi as well as an 80 km 110 kV transmission line to evacuate the power to the capital, Bujumbura, which is interconnected at a national and regional level.  The project will increase the supply of clean and affordable electricity to the national grid. The project also includes the electrification of rural communities in the vicinity of the power plants.</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Morocco / EIB</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50 000 000,00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66 300 000,00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Construction and operation of a 150 MW CSP Tower plant under the third phase of the Ouarzazate solar power complex.</w:t>
            </w:r>
          </w:p>
        </w:tc>
      </w:tr>
      <w:tr>
        <w:trPr>
          <w:trHeight w:val="20"/>
        </w:trPr>
        <w:tc>
          <w:tcPr>
            <w:tcW w:w="813" w:type="pct"/>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Morocco / EIB</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100 000 000,00</w:t>
            </w:r>
          </w:p>
        </w:tc>
        <w:tc>
          <w:tcPr>
            <w:tcW w:w="48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132 600 000,00</w:t>
            </w:r>
          </w:p>
        </w:tc>
        <w:tc>
          <w:tcPr>
            <w:tcW w:w="38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Committed</w:t>
            </w:r>
          </w:p>
        </w:tc>
        <w:tc>
          <w:tcPr>
            <w:tcW w:w="233"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30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other</w:t>
            </w:r>
          </w:p>
        </w:tc>
        <w:tc>
          <w:tcPr>
            <w:tcW w:w="455"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Mitigation</w:t>
            </w:r>
          </w:p>
        </w:tc>
        <w:tc>
          <w:tcPr>
            <w:tcW w:w="507" w:type="pct"/>
            <w:tcBorders>
              <w:top w:val="nil"/>
              <w:left w:val="nil"/>
              <w:bottom w:val="single" w:sz="4" w:space="0" w:color="auto"/>
              <w:right w:val="single" w:sz="4" w:space="0" w:color="auto"/>
            </w:tcBorders>
            <w:shd w:val="clear" w:color="FFFFFF" w:fill="FFFFFF"/>
            <w:vAlign w:val="center"/>
            <w:hideMark/>
          </w:tcPr>
          <w:p>
            <w:pPr>
              <w:spacing w:after="0" w:line="240" w:lineRule="auto"/>
              <w:jc w:val="left"/>
              <w:rPr>
                <w:rFonts w:eastAsia="Times New Roman"/>
                <w:noProof/>
                <w:sz w:val="12"/>
                <w:szCs w:val="12"/>
                <w:lang w:eastAsia="de-DE"/>
              </w:rPr>
            </w:pPr>
            <w:r>
              <w:rPr>
                <w:rFonts w:eastAsia="Times New Roman"/>
                <w:noProof/>
                <w:sz w:val="12"/>
                <w:szCs w:val="12"/>
                <w:lang w:eastAsia="de-DE"/>
              </w:rPr>
              <w:t>energy</w:t>
            </w:r>
          </w:p>
        </w:tc>
        <w:tc>
          <w:tcPr>
            <w:tcW w:w="1310" w:type="pct"/>
            <w:tcBorders>
              <w:top w:val="nil"/>
              <w:left w:val="nil"/>
              <w:bottom w:val="single" w:sz="4" w:space="0" w:color="auto"/>
              <w:right w:val="single" w:sz="4" w:space="0" w:color="auto"/>
            </w:tcBorders>
            <w:shd w:val="clear" w:color="auto" w:fill="auto"/>
            <w:vAlign w:val="center"/>
            <w:hideMark/>
          </w:tcPr>
          <w:p>
            <w:pPr>
              <w:spacing w:after="0" w:line="240" w:lineRule="auto"/>
              <w:jc w:val="left"/>
              <w:rPr>
                <w:rFonts w:eastAsia="Times New Roman"/>
                <w:noProof/>
                <w:sz w:val="12"/>
                <w:szCs w:val="12"/>
                <w:lang w:val="en-GB" w:eastAsia="de-DE"/>
              </w:rPr>
            </w:pPr>
            <w:r>
              <w:rPr>
                <w:rFonts w:eastAsia="Times New Roman"/>
                <w:noProof/>
                <w:sz w:val="12"/>
                <w:szCs w:val="12"/>
                <w:lang w:val="en-GB" w:eastAsia="de-DE"/>
              </w:rPr>
              <w:t>Construction and operation of a 200 MW CSP Parabolic trough plant under the second phase of the Ouarzazate solar power complex.</w:t>
            </w:r>
          </w:p>
        </w:tc>
      </w:tr>
    </w:tbl>
    <w:p>
      <w:pPr>
        <w:pStyle w:val="Heading1"/>
        <w:rPr>
          <w:noProof/>
          <w:lang w:val="en-GB"/>
        </w:rPr>
      </w:pPr>
      <w:bookmarkStart w:id="38" w:name="_Toc434423718"/>
      <w:bookmarkStart w:id="39" w:name="_Toc434423960"/>
      <w:bookmarkStart w:id="40" w:name="_Toc434424011"/>
      <w:bookmarkStart w:id="41" w:name="_Toc434231458"/>
      <w:r>
        <w:rPr>
          <w:noProof/>
          <w:lang w:val="en-GB"/>
        </w:rPr>
        <w:t>CTF table 8: Provision of technology development and transfer support</w:t>
      </w:r>
      <w:bookmarkEnd w:id="38"/>
      <w:bookmarkEnd w:id="39"/>
      <w:bookmarkEnd w:id="40"/>
      <w:r>
        <w:rPr>
          <w:noProof/>
          <w:lang w:val="en-GB"/>
        </w:rPr>
        <w:t xml:space="preserve"> </w:t>
      </w:r>
      <w:bookmarkEnd w:id="41"/>
    </w:p>
    <w:tbl>
      <w:tblPr>
        <w:tblW w:w="5158" w:type="pct"/>
        <w:tblCellMar>
          <w:left w:w="70" w:type="dxa"/>
          <w:right w:w="70" w:type="dxa"/>
        </w:tblCellMar>
        <w:tblLook w:val="04A0" w:firstRow="1" w:lastRow="0" w:firstColumn="1" w:lastColumn="0" w:noHBand="0" w:noVBand="1"/>
      </w:tblPr>
      <w:tblGrid>
        <w:gridCol w:w="1659"/>
        <w:gridCol w:w="1087"/>
        <w:gridCol w:w="975"/>
        <w:gridCol w:w="848"/>
        <w:gridCol w:w="1460"/>
        <w:gridCol w:w="1093"/>
        <w:gridCol w:w="972"/>
        <w:gridCol w:w="6681"/>
      </w:tblGrid>
      <w:tr>
        <w:trPr>
          <w:trHeight w:val="20"/>
          <w:tblHeader/>
        </w:trPr>
        <w:tc>
          <w:tcPr>
            <w:tcW w:w="561" w:type="pct"/>
            <w:tcBorders>
              <w:top w:val="single" w:sz="4" w:space="0" w:color="A8A8A8"/>
              <w:left w:val="single" w:sz="4" w:space="0" w:color="A8A8A8"/>
              <w:bottom w:val="single" w:sz="4" w:space="0" w:color="A8A8A8"/>
              <w:right w:val="single" w:sz="4" w:space="0" w:color="A8A8A8"/>
            </w:tcBorders>
            <w:shd w:val="clear" w:color="000000" w:fill="E6E6E6"/>
            <w:vAlign w:val="center"/>
            <w:hideMark/>
          </w:tcPr>
          <w:p>
            <w:pPr>
              <w:spacing w:after="0" w:line="240" w:lineRule="auto"/>
              <w:jc w:val="center"/>
              <w:rPr>
                <w:rFonts w:eastAsia="Times New Roman"/>
                <w:b/>
                <w:noProof/>
                <w:color w:val="000000"/>
                <w:sz w:val="12"/>
                <w:szCs w:val="12"/>
                <w:lang w:val="en-GB" w:eastAsia="de-DE"/>
              </w:rPr>
            </w:pPr>
            <w:r>
              <w:rPr>
                <w:rFonts w:eastAsia="Times New Roman"/>
                <w:b/>
                <w:noProof/>
                <w:color w:val="000000"/>
                <w:sz w:val="12"/>
                <w:szCs w:val="12"/>
                <w:lang w:val="en-GB" w:eastAsia="de-DE"/>
              </w:rPr>
              <w:t>Measures and activities related to technology transfer</w:t>
            </w:r>
          </w:p>
        </w:tc>
        <w:tc>
          <w:tcPr>
            <w:tcW w:w="368" w:type="pct"/>
            <w:tcBorders>
              <w:top w:val="single" w:sz="4" w:space="0" w:color="A8A8A8"/>
              <w:left w:val="nil"/>
              <w:bottom w:val="single" w:sz="4" w:space="0" w:color="A8A8A8"/>
              <w:right w:val="single" w:sz="4" w:space="0" w:color="A8A8A8"/>
            </w:tcBorders>
            <w:shd w:val="clear" w:color="000000" w:fill="E6E6E6"/>
            <w:vAlign w:val="center"/>
            <w:hideMark/>
          </w:tcPr>
          <w:p>
            <w:pPr>
              <w:spacing w:after="0" w:line="240" w:lineRule="auto"/>
              <w:jc w:val="center"/>
              <w:rPr>
                <w:rFonts w:eastAsia="Times New Roman"/>
                <w:b/>
                <w:noProof/>
                <w:color w:val="000000"/>
                <w:sz w:val="12"/>
                <w:szCs w:val="12"/>
                <w:lang w:val="en-GB" w:eastAsia="de-DE"/>
              </w:rPr>
            </w:pPr>
            <w:r>
              <w:rPr>
                <w:rFonts w:eastAsia="Times New Roman"/>
                <w:b/>
                <w:noProof/>
                <w:color w:val="000000"/>
                <w:sz w:val="12"/>
                <w:szCs w:val="12"/>
                <w:lang w:val="en-GB" w:eastAsia="de-DE"/>
              </w:rPr>
              <w:t>Recipient country and/or region</w:t>
            </w:r>
          </w:p>
        </w:tc>
        <w:tc>
          <w:tcPr>
            <w:tcW w:w="330" w:type="pct"/>
            <w:tcBorders>
              <w:top w:val="single" w:sz="4" w:space="0" w:color="A8A8A8"/>
              <w:left w:val="nil"/>
              <w:bottom w:val="single" w:sz="4" w:space="0" w:color="A8A8A8"/>
              <w:right w:val="single" w:sz="4" w:space="0" w:color="A8A8A8"/>
            </w:tcBorders>
            <w:shd w:val="clear" w:color="000000" w:fill="E6E6E6"/>
            <w:vAlign w:val="center"/>
            <w:hideMark/>
          </w:tcPr>
          <w:p>
            <w:pPr>
              <w:spacing w:after="0" w:line="240" w:lineRule="auto"/>
              <w:jc w:val="center"/>
              <w:rPr>
                <w:rFonts w:eastAsia="Times New Roman"/>
                <w:b/>
                <w:noProof/>
                <w:color w:val="000000"/>
                <w:sz w:val="12"/>
                <w:szCs w:val="12"/>
                <w:lang w:eastAsia="de-DE"/>
              </w:rPr>
            </w:pPr>
            <w:r>
              <w:rPr>
                <w:rFonts w:eastAsia="Times New Roman"/>
                <w:b/>
                <w:noProof/>
                <w:color w:val="000000"/>
                <w:sz w:val="12"/>
                <w:szCs w:val="12"/>
                <w:lang w:eastAsia="de-DE"/>
              </w:rPr>
              <w:t>Targeted area</w:t>
            </w:r>
          </w:p>
        </w:tc>
        <w:tc>
          <w:tcPr>
            <w:tcW w:w="287" w:type="pct"/>
            <w:tcBorders>
              <w:top w:val="single" w:sz="4" w:space="0" w:color="A8A8A8"/>
              <w:left w:val="nil"/>
              <w:bottom w:val="single" w:sz="4" w:space="0" w:color="A8A8A8"/>
              <w:right w:val="single" w:sz="4" w:space="0" w:color="A8A8A8"/>
            </w:tcBorders>
            <w:shd w:val="clear" w:color="000000" w:fill="E6E6E6"/>
            <w:vAlign w:val="center"/>
            <w:hideMark/>
          </w:tcPr>
          <w:p>
            <w:pPr>
              <w:spacing w:after="0" w:line="240" w:lineRule="auto"/>
              <w:jc w:val="center"/>
              <w:rPr>
                <w:rFonts w:eastAsia="Times New Roman"/>
                <w:b/>
                <w:noProof/>
                <w:color w:val="000000"/>
                <w:sz w:val="12"/>
                <w:szCs w:val="12"/>
                <w:lang w:eastAsia="de-DE"/>
              </w:rPr>
            </w:pPr>
            <w:r>
              <w:rPr>
                <w:rFonts w:eastAsia="Times New Roman"/>
                <w:b/>
                <w:noProof/>
                <w:color w:val="000000"/>
                <w:sz w:val="12"/>
                <w:szCs w:val="12"/>
                <w:lang w:eastAsia="de-DE"/>
              </w:rPr>
              <w:t>Sector</w:t>
            </w:r>
          </w:p>
        </w:tc>
        <w:tc>
          <w:tcPr>
            <w:tcW w:w="494" w:type="pct"/>
            <w:tcBorders>
              <w:top w:val="single" w:sz="4" w:space="0" w:color="A8A8A8"/>
              <w:left w:val="nil"/>
              <w:bottom w:val="single" w:sz="4" w:space="0" w:color="A8A8A8"/>
              <w:right w:val="single" w:sz="4" w:space="0" w:color="A8A8A8"/>
            </w:tcBorders>
            <w:shd w:val="clear" w:color="000000" w:fill="E6E6E6"/>
            <w:vAlign w:val="center"/>
            <w:hideMark/>
          </w:tcPr>
          <w:p>
            <w:pPr>
              <w:spacing w:after="0" w:line="240" w:lineRule="auto"/>
              <w:jc w:val="center"/>
              <w:rPr>
                <w:rFonts w:eastAsia="Times New Roman"/>
                <w:b/>
                <w:noProof/>
                <w:color w:val="000000"/>
                <w:sz w:val="12"/>
                <w:szCs w:val="12"/>
                <w:lang w:val="en-GB" w:eastAsia="de-DE"/>
              </w:rPr>
            </w:pPr>
            <w:r>
              <w:rPr>
                <w:rFonts w:eastAsia="Times New Roman"/>
                <w:b/>
                <w:noProof/>
                <w:color w:val="000000"/>
                <w:sz w:val="12"/>
                <w:szCs w:val="12"/>
                <w:lang w:val="en-GB" w:eastAsia="de-DE"/>
              </w:rPr>
              <w:t>Source of the funding for technology transfer</w:t>
            </w:r>
          </w:p>
        </w:tc>
        <w:tc>
          <w:tcPr>
            <w:tcW w:w="370" w:type="pct"/>
            <w:tcBorders>
              <w:top w:val="single" w:sz="4" w:space="0" w:color="A8A8A8"/>
              <w:left w:val="nil"/>
              <w:bottom w:val="single" w:sz="4" w:space="0" w:color="A8A8A8"/>
              <w:right w:val="single" w:sz="4" w:space="0" w:color="A8A8A8"/>
            </w:tcBorders>
            <w:shd w:val="clear" w:color="000000" w:fill="E6E6E6"/>
            <w:vAlign w:val="center"/>
            <w:hideMark/>
          </w:tcPr>
          <w:p>
            <w:pPr>
              <w:spacing w:after="0" w:line="240" w:lineRule="auto"/>
              <w:jc w:val="center"/>
              <w:rPr>
                <w:rFonts w:eastAsia="Times New Roman"/>
                <w:b/>
                <w:noProof/>
                <w:color w:val="000000"/>
                <w:sz w:val="12"/>
                <w:szCs w:val="12"/>
                <w:lang w:eastAsia="de-DE"/>
              </w:rPr>
            </w:pPr>
            <w:r>
              <w:rPr>
                <w:rFonts w:eastAsia="Times New Roman"/>
                <w:b/>
                <w:noProof/>
                <w:color w:val="000000"/>
                <w:sz w:val="12"/>
                <w:szCs w:val="12"/>
                <w:lang w:eastAsia="de-DE"/>
              </w:rPr>
              <w:t>Activities undertaken by</w:t>
            </w:r>
          </w:p>
        </w:tc>
        <w:tc>
          <w:tcPr>
            <w:tcW w:w="329" w:type="pct"/>
            <w:tcBorders>
              <w:top w:val="single" w:sz="4" w:space="0" w:color="A8A8A8"/>
              <w:left w:val="nil"/>
              <w:bottom w:val="single" w:sz="4" w:space="0" w:color="A8A8A8"/>
              <w:right w:val="single" w:sz="4" w:space="0" w:color="A8A8A8"/>
            </w:tcBorders>
            <w:shd w:val="clear" w:color="000000" w:fill="E6E6E6"/>
            <w:vAlign w:val="center"/>
            <w:hideMark/>
          </w:tcPr>
          <w:p>
            <w:pPr>
              <w:spacing w:after="0" w:line="240" w:lineRule="auto"/>
              <w:jc w:val="center"/>
              <w:rPr>
                <w:rFonts w:eastAsia="Times New Roman"/>
                <w:b/>
                <w:noProof/>
                <w:color w:val="000000"/>
                <w:sz w:val="12"/>
                <w:szCs w:val="12"/>
                <w:lang w:eastAsia="de-DE"/>
              </w:rPr>
            </w:pPr>
            <w:r>
              <w:rPr>
                <w:rFonts w:eastAsia="Times New Roman"/>
                <w:b/>
                <w:noProof/>
                <w:color w:val="000000"/>
                <w:sz w:val="12"/>
                <w:szCs w:val="12"/>
                <w:lang w:eastAsia="de-DE"/>
              </w:rPr>
              <w:t>Status</w:t>
            </w:r>
          </w:p>
        </w:tc>
        <w:tc>
          <w:tcPr>
            <w:tcW w:w="2262" w:type="pct"/>
            <w:tcBorders>
              <w:top w:val="single" w:sz="4" w:space="0" w:color="A8A8A8"/>
              <w:left w:val="nil"/>
              <w:bottom w:val="single" w:sz="4" w:space="0" w:color="A8A8A8"/>
              <w:right w:val="single" w:sz="4" w:space="0" w:color="A8A8A8"/>
            </w:tcBorders>
            <w:shd w:val="clear" w:color="000000" w:fill="E6E6E6"/>
            <w:vAlign w:val="center"/>
            <w:hideMark/>
          </w:tcPr>
          <w:p>
            <w:pPr>
              <w:spacing w:after="0" w:line="240" w:lineRule="auto"/>
              <w:jc w:val="center"/>
              <w:rPr>
                <w:rFonts w:eastAsia="Times New Roman"/>
                <w:b/>
                <w:noProof/>
                <w:color w:val="000000"/>
                <w:sz w:val="12"/>
                <w:szCs w:val="12"/>
                <w:lang w:eastAsia="de-DE"/>
              </w:rPr>
            </w:pPr>
            <w:r>
              <w:rPr>
                <w:rFonts w:eastAsia="Times New Roman"/>
                <w:b/>
                <w:noProof/>
                <w:color w:val="000000"/>
                <w:sz w:val="12"/>
                <w:szCs w:val="12"/>
                <w:lang w:eastAsia="de-DE"/>
              </w:rPr>
              <w:t>Additional information</w:t>
            </w:r>
          </w:p>
        </w:tc>
      </w:tr>
      <w:tr>
        <w:trPr>
          <w:trHeight w:val="20"/>
        </w:trPr>
        <w:tc>
          <w:tcPr>
            <w:tcW w:w="561" w:type="pct"/>
            <w:tcBorders>
              <w:top w:val="nil"/>
              <w:left w:val="single" w:sz="4" w:space="0" w:color="A8A8A8"/>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REELCOOP - REnewable ELectricity COOPeration</w:t>
            </w:r>
          </w:p>
        </w:tc>
        <w:tc>
          <w:tcPr>
            <w:tcW w:w="368"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Mediterranean Countries</w:t>
            </w:r>
          </w:p>
        </w:tc>
        <w:tc>
          <w:tcPr>
            <w:tcW w:w="33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Mitigation</w:t>
            </w:r>
          </w:p>
        </w:tc>
        <w:tc>
          <w:tcPr>
            <w:tcW w:w="287"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Energy</w:t>
            </w:r>
          </w:p>
        </w:tc>
        <w:tc>
          <w:tcPr>
            <w:tcW w:w="494"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Public</w:t>
            </w:r>
          </w:p>
        </w:tc>
        <w:tc>
          <w:tcPr>
            <w:tcW w:w="37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Private and Public</w:t>
            </w:r>
          </w:p>
        </w:tc>
        <w:tc>
          <w:tcPr>
            <w:tcW w:w="329"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Implemented</w:t>
            </w:r>
          </w:p>
        </w:tc>
        <w:tc>
          <w:tcPr>
            <w:tcW w:w="2262" w:type="pct"/>
            <w:tcBorders>
              <w:top w:val="nil"/>
              <w:left w:val="nil"/>
              <w:bottom w:val="single" w:sz="4" w:space="0" w:color="A8A8A8"/>
              <w:right w:val="single" w:sz="4" w:space="0" w:color="A8A8A8"/>
            </w:tcBorders>
            <w:shd w:val="clear" w:color="auto" w:fill="auto"/>
            <w:hideMark/>
          </w:tcPr>
          <w:p>
            <w:pPr>
              <w:spacing w:after="240" w:line="240" w:lineRule="auto"/>
              <w:jc w:val="left"/>
              <w:rPr>
                <w:rFonts w:eastAsia="Times New Roman"/>
                <w:noProof/>
                <w:color w:val="000000"/>
                <w:sz w:val="12"/>
                <w:szCs w:val="12"/>
                <w:lang w:val="en-GB" w:eastAsia="de-DE"/>
              </w:rPr>
            </w:pPr>
            <w:r>
              <w:rPr>
                <w:rFonts w:eastAsia="Times New Roman"/>
                <w:noProof/>
                <w:sz w:val="12"/>
                <w:szCs w:val="12"/>
                <w:lang w:val="en-GB" w:eastAsia="de-DE"/>
              </w:rPr>
              <w:t xml:space="preserve">REELCOOP (REnewable ELectricity COOPeration) is a EU/FP7 funded project aiming to develop renewable electricity generation technologies and promoting cooperation between EU Partner Countries and Mediterranean Partner Countries, which started in 1 September 2013, with a duration of 4 years. </w:t>
            </w:r>
            <w:r>
              <w:rPr>
                <w:rFonts w:eastAsia="Times New Roman"/>
                <w:noProof/>
                <w:sz w:val="12"/>
                <w:szCs w:val="12"/>
                <w:lang w:val="en-GB" w:eastAsia="de-DE"/>
              </w:rPr>
              <w:br/>
              <w:t>What is REELCOOP (in a nutshell)</w:t>
            </w:r>
            <w:r>
              <w:rPr>
                <w:rFonts w:eastAsia="Times New Roman"/>
                <w:noProof/>
                <w:sz w:val="12"/>
                <w:szCs w:val="12"/>
                <w:lang w:val="en-GB" w:eastAsia="de-DE"/>
              </w:rPr>
              <w:br/>
              <w:t>- Development, construction, testing and demonstration of 3 different renewable electricity systems: a building integrated PV system (ventilated façade), a hybrid (solar/biomass) micro-cogeneration ORC system, and a hybrid concentrating solar / biomass mini-power plant</w:t>
            </w:r>
            <w:r>
              <w:rPr>
                <w:rFonts w:eastAsia="Times New Roman"/>
                <w:noProof/>
                <w:sz w:val="12"/>
                <w:szCs w:val="12"/>
                <w:lang w:val="en-GB" w:eastAsia="de-DE"/>
              </w:rPr>
              <w:br/>
              <w:t>- Organisation of Workshops on Renewable Electricity technologies, open to junior researchers and outside public</w:t>
            </w:r>
            <w:r>
              <w:rPr>
                <w:rFonts w:eastAsia="Times New Roman"/>
                <w:noProof/>
                <w:sz w:val="12"/>
                <w:szCs w:val="12"/>
                <w:lang w:val="en-GB" w:eastAsia="de-DE"/>
              </w:rPr>
              <w:br/>
              <w:t>- Technology transfer and dissemination regarding the developed technologies</w:t>
            </w:r>
          </w:p>
        </w:tc>
      </w:tr>
      <w:tr>
        <w:trPr>
          <w:trHeight w:val="20"/>
        </w:trPr>
        <w:tc>
          <w:tcPr>
            <w:tcW w:w="561" w:type="pct"/>
            <w:tcBorders>
              <w:top w:val="nil"/>
              <w:left w:val="single" w:sz="4" w:space="0" w:color="A8A8A8"/>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val="en-GB" w:eastAsia="de-DE"/>
              </w:rPr>
            </w:pPr>
            <w:r>
              <w:rPr>
                <w:rFonts w:eastAsia="Times New Roman"/>
                <w:noProof/>
                <w:sz w:val="12"/>
                <w:szCs w:val="12"/>
                <w:lang w:val="en-GB" w:eastAsia="de-DE"/>
              </w:rPr>
              <w:t>EUROSUNMED - EURO-MEDITERRANEAN COOPERATION ON RESEARCH &amp; TRAINING IN SUN BASED RENEWABLE ENERGIES</w:t>
            </w:r>
          </w:p>
        </w:tc>
        <w:tc>
          <w:tcPr>
            <w:tcW w:w="368"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Egypt and Morroco</w:t>
            </w:r>
          </w:p>
        </w:tc>
        <w:tc>
          <w:tcPr>
            <w:tcW w:w="33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Mitigation</w:t>
            </w:r>
          </w:p>
        </w:tc>
        <w:tc>
          <w:tcPr>
            <w:tcW w:w="287"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Energy</w:t>
            </w:r>
          </w:p>
        </w:tc>
        <w:tc>
          <w:tcPr>
            <w:tcW w:w="494"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Public</w:t>
            </w:r>
          </w:p>
        </w:tc>
        <w:tc>
          <w:tcPr>
            <w:tcW w:w="37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Private and Public</w:t>
            </w:r>
          </w:p>
        </w:tc>
        <w:tc>
          <w:tcPr>
            <w:tcW w:w="329"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Implemented</w:t>
            </w:r>
          </w:p>
        </w:tc>
        <w:tc>
          <w:tcPr>
            <w:tcW w:w="2262"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val="en-GB" w:eastAsia="de-DE"/>
              </w:rPr>
            </w:pPr>
            <w:r>
              <w:rPr>
                <w:rFonts w:eastAsia="Times New Roman"/>
                <w:noProof/>
                <w:sz w:val="12"/>
                <w:szCs w:val="12"/>
                <w:lang w:val="en-GB" w:eastAsia="de-DE"/>
              </w:rPr>
              <w:t>EUROSUNMED is a 4-year collaborative project supported by the FP7 Programme of the European Commission. This innovative project is targeting the following objectives:</w:t>
            </w:r>
            <w:r>
              <w:rPr>
                <w:rFonts w:eastAsia="Times New Roman"/>
                <w:noProof/>
                <w:sz w:val="12"/>
                <w:szCs w:val="12"/>
                <w:lang w:val="en-GB" w:eastAsia="de-DE"/>
              </w:rPr>
              <w:br/>
              <w:t xml:space="preserve">    - Developing new technologies in 3 energy field areas, namely photovoltaics, concentrated solar power and grid integration, at the EU research centres, national agencies and SMEs in strong collaboration with MPC universities, research organizations and SMEs from Morocco and Egypt.</w:t>
            </w:r>
            <w:r>
              <w:rPr>
                <w:rFonts w:eastAsia="Times New Roman"/>
                <w:noProof/>
                <w:sz w:val="12"/>
                <w:szCs w:val="12"/>
                <w:lang w:val="en-GB" w:eastAsia="de-DE"/>
              </w:rPr>
              <w:br/>
              <w:t xml:space="preserve">    - Testing innovative components (PV cells/modules, heliostats…) under specific conditions of MPCs (irradiation, hot climate, dust…).</w:t>
            </w:r>
            <w:r>
              <w:rPr>
                <w:rFonts w:eastAsia="Times New Roman"/>
                <w:noProof/>
                <w:sz w:val="12"/>
                <w:szCs w:val="12"/>
                <w:lang w:val="en-GB" w:eastAsia="de-DE"/>
              </w:rPr>
              <w:br/>
              <w:t xml:space="preserve">   -  Establishing a strong network between EU and MPCs through exchange of students, senior researchers/engineers for transferring knowledge and technologies.</w:t>
            </w:r>
            <w:r>
              <w:rPr>
                <w:rFonts w:eastAsia="Times New Roman"/>
                <w:noProof/>
                <w:sz w:val="12"/>
                <w:szCs w:val="12"/>
                <w:lang w:val="en-GB" w:eastAsia="de-DE"/>
              </w:rPr>
              <w:br/>
              <w:t xml:space="preserve">   -  Disseminating the results of the project through the organization of scientific events open to a large public from universities, engineering schools and stakeholders. </w:t>
            </w:r>
          </w:p>
        </w:tc>
      </w:tr>
      <w:tr>
        <w:trPr>
          <w:trHeight w:val="20"/>
        </w:trPr>
        <w:tc>
          <w:tcPr>
            <w:tcW w:w="561" w:type="pct"/>
            <w:tcBorders>
              <w:top w:val="nil"/>
              <w:left w:val="single" w:sz="4" w:space="0" w:color="A8A8A8"/>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val="en-GB" w:eastAsia="de-DE"/>
              </w:rPr>
            </w:pPr>
            <w:r>
              <w:rPr>
                <w:rFonts w:eastAsia="Times New Roman"/>
                <w:noProof/>
                <w:sz w:val="12"/>
                <w:szCs w:val="12"/>
                <w:lang w:val="en-GB" w:eastAsia="de-DE"/>
              </w:rPr>
              <w:t xml:space="preserve">CLUVA - CLimate change and Urban Vulnerability in Africa </w:t>
            </w:r>
          </w:p>
        </w:tc>
        <w:tc>
          <w:tcPr>
            <w:tcW w:w="368"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Africa</w:t>
            </w:r>
          </w:p>
        </w:tc>
        <w:tc>
          <w:tcPr>
            <w:tcW w:w="33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Adaptation</w:t>
            </w:r>
          </w:p>
        </w:tc>
        <w:tc>
          <w:tcPr>
            <w:tcW w:w="287"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Other (Cross Cutting)</w:t>
            </w:r>
          </w:p>
        </w:tc>
        <w:tc>
          <w:tcPr>
            <w:tcW w:w="494"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Public</w:t>
            </w:r>
          </w:p>
        </w:tc>
        <w:tc>
          <w:tcPr>
            <w:tcW w:w="37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Private and Public</w:t>
            </w:r>
          </w:p>
        </w:tc>
        <w:tc>
          <w:tcPr>
            <w:tcW w:w="329"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Implemented</w:t>
            </w:r>
          </w:p>
        </w:tc>
        <w:tc>
          <w:tcPr>
            <w:tcW w:w="2262"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val="en-GB" w:eastAsia="de-DE"/>
              </w:rPr>
            </w:pPr>
            <w:r>
              <w:rPr>
                <w:rFonts w:eastAsia="Times New Roman"/>
                <w:noProof/>
                <w:sz w:val="12"/>
                <w:szCs w:val="12"/>
                <w:lang w:val="en-GB" w:eastAsia="de-DE"/>
              </w:rPr>
              <w:t>The overall objective of the project is to develop methods and knowledge to be applied to African cities to manage climate risks, to reduce vulnerabilities and to improve their coping capacity and resilience towards climate changes. The project will explore the issues of climate change vulnerability, resilience, risk management and adaptation in  selected cities in Africa with local case study partners.</w:t>
            </w:r>
            <w:r>
              <w:rPr>
                <w:rFonts w:eastAsia="Times New Roman"/>
                <w:noProof/>
                <w:sz w:val="12"/>
                <w:szCs w:val="12"/>
                <w:lang w:val="en-GB" w:eastAsia="de-DE"/>
              </w:rPr>
              <w:br/>
              <w:t>Activities include:</w:t>
            </w:r>
            <w:r>
              <w:rPr>
                <w:rFonts w:eastAsia="Times New Roman"/>
                <w:noProof/>
                <w:sz w:val="12"/>
                <w:szCs w:val="12"/>
                <w:lang w:val="en-GB" w:eastAsia="de-DE"/>
              </w:rPr>
              <w:br/>
              <w:t>– New downscaled models of climate change</w:t>
            </w:r>
            <w:r>
              <w:rPr>
                <w:rFonts w:eastAsia="Times New Roman"/>
                <w:noProof/>
                <w:sz w:val="12"/>
                <w:szCs w:val="12"/>
                <w:lang w:val="en-GB" w:eastAsia="de-DE"/>
              </w:rPr>
              <w:br/>
              <w:t>– Hazards as a cascade effect of climate changes</w:t>
            </w:r>
            <w:r>
              <w:rPr>
                <w:rFonts w:eastAsia="Times New Roman"/>
                <w:noProof/>
                <w:sz w:val="12"/>
                <w:szCs w:val="12"/>
                <w:lang w:val="en-GB" w:eastAsia="de-DE"/>
              </w:rPr>
              <w:br/>
              <w:t>– Innovative approach to vulnerability assessment and disaster reduction</w:t>
            </w:r>
            <w:r>
              <w:rPr>
                <w:rFonts w:eastAsia="Times New Roman"/>
                <w:noProof/>
                <w:sz w:val="12"/>
                <w:szCs w:val="12"/>
                <w:lang w:val="en-GB" w:eastAsia="de-DE"/>
              </w:rPr>
              <w:br/>
              <w:t>– Innovative multi-risk modelling</w:t>
            </w:r>
            <w:r>
              <w:rPr>
                <w:rFonts w:eastAsia="Times New Roman"/>
                <w:noProof/>
                <w:sz w:val="12"/>
                <w:szCs w:val="12"/>
                <w:lang w:val="en-GB" w:eastAsia="de-DE"/>
              </w:rPr>
              <w:br/>
              <w:t>– Urban planning and governance</w:t>
            </w:r>
            <w:r>
              <w:rPr>
                <w:rFonts w:eastAsia="Times New Roman"/>
                <w:noProof/>
                <w:sz w:val="12"/>
                <w:szCs w:val="12"/>
                <w:lang w:val="en-GB" w:eastAsia="de-DE"/>
              </w:rPr>
              <w:br/>
              <w:t>– Knowledge transfer and capacity building</w:t>
            </w:r>
            <w:r>
              <w:rPr>
                <w:rFonts w:eastAsia="Times New Roman"/>
                <w:noProof/>
                <w:sz w:val="12"/>
                <w:szCs w:val="12"/>
                <w:lang w:val="en-GB" w:eastAsia="de-DE"/>
              </w:rPr>
              <w:br/>
              <w:t>– Merging different approaches</w:t>
            </w:r>
          </w:p>
        </w:tc>
      </w:tr>
      <w:tr>
        <w:trPr>
          <w:trHeight w:val="20"/>
        </w:trPr>
        <w:tc>
          <w:tcPr>
            <w:tcW w:w="561" w:type="pct"/>
            <w:tcBorders>
              <w:top w:val="nil"/>
              <w:left w:val="single" w:sz="4" w:space="0" w:color="A8A8A8"/>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val="en-GB" w:eastAsia="de-DE"/>
              </w:rPr>
            </w:pPr>
            <w:r>
              <w:rPr>
                <w:rFonts w:eastAsia="Times New Roman"/>
                <w:noProof/>
                <w:sz w:val="12"/>
                <w:szCs w:val="12"/>
                <w:lang w:val="en-GB" w:eastAsia="de-DE"/>
              </w:rPr>
              <w:t>WAHARA -  Water Harvesting for Rainfed Africa</w:t>
            </w:r>
          </w:p>
        </w:tc>
        <w:tc>
          <w:tcPr>
            <w:tcW w:w="368"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Africa</w:t>
            </w:r>
          </w:p>
        </w:tc>
        <w:tc>
          <w:tcPr>
            <w:tcW w:w="33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Adaptation</w:t>
            </w:r>
          </w:p>
        </w:tc>
        <w:tc>
          <w:tcPr>
            <w:tcW w:w="287"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Water and sanitation</w:t>
            </w:r>
          </w:p>
        </w:tc>
        <w:tc>
          <w:tcPr>
            <w:tcW w:w="494"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Public</w:t>
            </w:r>
          </w:p>
        </w:tc>
        <w:tc>
          <w:tcPr>
            <w:tcW w:w="37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Private</w:t>
            </w:r>
          </w:p>
        </w:tc>
        <w:tc>
          <w:tcPr>
            <w:tcW w:w="329"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Implemented</w:t>
            </w:r>
          </w:p>
        </w:tc>
        <w:tc>
          <w:tcPr>
            <w:tcW w:w="2262"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val="en-GB" w:eastAsia="de-DE"/>
              </w:rPr>
            </w:pPr>
            <w:r>
              <w:rPr>
                <w:rFonts w:eastAsia="Times New Roman"/>
                <w:noProof/>
                <w:sz w:val="12"/>
                <w:szCs w:val="12"/>
                <w:lang w:val="en-GB" w:eastAsia="de-DE"/>
              </w:rPr>
              <w:t>The main objective of the project is to develop innovative appropriate water harvesting  technologies for different geographical regions of rainfed Africa. At least 10 designs of WH technologies adapted to local conditions will be tested. Guidelines will be developed to facilitate stakeholder learning and action about WH technologies in different (biophysical and socioeconomic) conditions.</w:t>
            </w:r>
          </w:p>
        </w:tc>
      </w:tr>
      <w:tr>
        <w:trPr>
          <w:trHeight w:val="20"/>
        </w:trPr>
        <w:tc>
          <w:tcPr>
            <w:tcW w:w="561" w:type="pct"/>
            <w:tcBorders>
              <w:top w:val="nil"/>
              <w:left w:val="single" w:sz="4" w:space="0" w:color="A8A8A8"/>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val="en-GB" w:eastAsia="de-DE"/>
              </w:rPr>
            </w:pPr>
            <w:r>
              <w:rPr>
                <w:rFonts w:eastAsia="Times New Roman"/>
                <w:noProof/>
                <w:sz w:val="12"/>
                <w:szCs w:val="12"/>
                <w:lang w:val="en-GB" w:eastAsia="de-DE"/>
              </w:rPr>
              <w:t>QWECI -  Quantifying Weather and Climate Impacts on Health in Developing Countries</w:t>
            </w:r>
          </w:p>
        </w:tc>
        <w:tc>
          <w:tcPr>
            <w:tcW w:w="368"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Senegal, Ghana and Malawi</w:t>
            </w:r>
          </w:p>
        </w:tc>
        <w:tc>
          <w:tcPr>
            <w:tcW w:w="33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Adaptation</w:t>
            </w:r>
          </w:p>
        </w:tc>
        <w:tc>
          <w:tcPr>
            <w:tcW w:w="287"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Other (Health)</w:t>
            </w:r>
          </w:p>
        </w:tc>
        <w:tc>
          <w:tcPr>
            <w:tcW w:w="494"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Public</w:t>
            </w:r>
          </w:p>
        </w:tc>
        <w:tc>
          <w:tcPr>
            <w:tcW w:w="37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Private</w:t>
            </w:r>
          </w:p>
        </w:tc>
        <w:tc>
          <w:tcPr>
            <w:tcW w:w="329"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Implemented</w:t>
            </w:r>
          </w:p>
        </w:tc>
        <w:tc>
          <w:tcPr>
            <w:tcW w:w="2262"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val="en-GB" w:eastAsia="de-DE"/>
              </w:rPr>
            </w:pPr>
            <w:r>
              <w:rPr>
                <w:rFonts w:eastAsia="Times New Roman"/>
                <w:noProof/>
                <w:sz w:val="12"/>
                <w:szCs w:val="12"/>
                <w:lang w:val="en-GB" w:eastAsia="de-DE"/>
              </w:rPr>
              <w:t>The research aims at giving decision makers the necessary time to deploy intervention methods to help prevent large scale spread of diseases such as Rift Valley Fever and malaria.</w:t>
            </w:r>
            <w:r>
              <w:rPr>
                <w:rFonts w:eastAsia="Times New Roman"/>
                <w:noProof/>
                <w:sz w:val="12"/>
                <w:szCs w:val="12"/>
                <w:lang w:val="en-GB" w:eastAsia="de-DE"/>
              </w:rPr>
              <w:br/>
              <w:t>QWeCI will develop and test the methods and technology required for an integrated decision support framework for health impacts of climate and weather.</w:t>
            </w:r>
          </w:p>
        </w:tc>
      </w:tr>
      <w:tr>
        <w:trPr>
          <w:trHeight w:val="20"/>
        </w:trPr>
        <w:tc>
          <w:tcPr>
            <w:tcW w:w="561" w:type="pct"/>
            <w:tcBorders>
              <w:top w:val="nil"/>
              <w:left w:val="single" w:sz="4" w:space="0" w:color="A8A8A8"/>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val="en-GB" w:eastAsia="de-DE"/>
              </w:rPr>
            </w:pPr>
            <w:r>
              <w:rPr>
                <w:rFonts w:eastAsia="Times New Roman"/>
                <w:noProof/>
                <w:sz w:val="12"/>
                <w:szCs w:val="12"/>
                <w:lang w:val="en-GB" w:eastAsia="de-DE"/>
              </w:rPr>
              <w:t>GPGC – Delivering access to modern, affordable and sustainable energy/renewable energy to 6 million people</w:t>
            </w:r>
          </w:p>
        </w:tc>
        <w:tc>
          <w:tcPr>
            <w:tcW w:w="368"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Global</w:t>
            </w:r>
          </w:p>
        </w:tc>
        <w:tc>
          <w:tcPr>
            <w:tcW w:w="33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Mitigation</w:t>
            </w:r>
          </w:p>
        </w:tc>
        <w:tc>
          <w:tcPr>
            <w:tcW w:w="287"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Energy</w:t>
            </w:r>
          </w:p>
        </w:tc>
        <w:tc>
          <w:tcPr>
            <w:tcW w:w="494"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Public</w:t>
            </w:r>
          </w:p>
        </w:tc>
        <w:tc>
          <w:tcPr>
            <w:tcW w:w="37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Private</w:t>
            </w:r>
          </w:p>
        </w:tc>
        <w:tc>
          <w:tcPr>
            <w:tcW w:w="329"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Implemented</w:t>
            </w:r>
          </w:p>
        </w:tc>
        <w:tc>
          <w:tcPr>
            <w:tcW w:w="2262"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val="en-GB" w:eastAsia="de-DE"/>
              </w:rPr>
            </w:pPr>
            <w:r>
              <w:rPr>
                <w:rFonts w:eastAsia="Times New Roman"/>
                <w:noProof/>
                <w:sz w:val="12"/>
                <w:szCs w:val="12"/>
                <w:lang w:val="en-GB" w:eastAsia="de-DE"/>
              </w:rPr>
              <w:t>All activities financed under this initiative (such as Building/Improving access by installing distribution networks (including mini-/micro-grids);  A3. Hybridisation of existing fossil fuel-based generation systems with Renewable Energy Systems and A5. Incorporating Renewable Energy Systems into production methods) will be accompanied by capacity building/training activities (when applicable) to ensure the transfer of know-how to the local business sector and enhance the element of ownership</w:t>
            </w:r>
          </w:p>
        </w:tc>
      </w:tr>
      <w:tr>
        <w:trPr>
          <w:trHeight w:val="20"/>
        </w:trPr>
        <w:tc>
          <w:tcPr>
            <w:tcW w:w="561" w:type="pct"/>
            <w:tcBorders>
              <w:top w:val="nil"/>
              <w:left w:val="single" w:sz="4" w:space="0" w:color="A8A8A8"/>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val="en-GB" w:eastAsia="de-DE"/>
              </w:rPr>
            </w:pPr>
            <w:r>
              <w:rPr>
                <w:rFonts w:eastAsia="Times New Roman"/>
                <w:noProof/>
                <w:sz w:val="12"/>
                <w:szCs w:val="12"/>
                <w:lang w:val="en-GB" w:eastAsia="de-DE"/>
              </w:rPr>
              <w:t>ClimAfrica - CLIMATE CHANGE PREDICTIONS IN SUB-SAHARAN AFRICA: IMPACTS AND ADAPTATIONS</w:t>
            </w:r>
          </w:p>
        </w:tc>
        <w:tc>
          <w:tcPr>
            <w:tcW w:w="368"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Africa</w:t>
            </w:r>
          </w:p>
        </w:tc>
        <w:tc>
          <w:tcPr>
            <w:tcW w:w="33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Adaptation</w:t>
            </w:r>
          </w:p>
        </w:tc>
        <w:tc>
          <w:tcPr>
            <w:tcW w:w="287"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Other (Cross Cutting)</w:t>
            </w:r>
          </w:p>
        </w:tc>
        <w:tc>
          <w:tcPr>
            <w:tcW w:w="494"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Public</w:t>
            </w:r>
          </w:p>
        </w:tc>
        <w:tc>
          <w:tcPr>
            <w:tcW w:w="37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Private</w:t>
            </w:r>
          </w:p>
        </w:tc>
        <w:tc>
          <w:tcPr>
            <w:tcW w:w="329"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Implemented</w:t>
            </w:r>
          </w:p>
        </w:tc>
        <w:tc>
          <w:tcPr>
            <w:tcW w:w="2262"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val="en-GB" w:eastAsia="de-DE"/>
              </w:rPr>
            </w:pPr>
            <w:r>
              <w:rPr>
                <w:rFonts w:eastAsia="Times New Roman"/>
                <w:noProof/>
                <w:sz w:val="12"/>
                <w:szCs w:val="12"/>
                <w:lang w:val="en-GB" w:eastAsia="de-DE"/>
              </w:rPr>
              <w:t>ClimAfrica is an international project funded (3.5 M€ ) by European Commission under the 7th Framework Programme for the period 2010-2014. The ClimAfrica consortium is formed by 18 institutions, 9 from Europe, 8 from Africa, and the Food and Agriculture Organization of United Nations (FAO). Project coordinator is the Euro-Mediterranean Centre for Climate Change (Italy).</w:t>
            </w:r>
            <w:r>
              <w:rPr>
                <w:rFonts w:eastAsia="Times New Roman"/>
                <w:noProof/>
                <w:sz w:val="12"/>
                <w:szCs w:val="12"/>
                <w:lang w:val="en-GB" w:eastAsia="de-DE"/>
              </w:rPr>
              <w:br/>
              <w:t>The project's focus is, among others, on the following specific objectives:</w:t>
            </w:r>
            <w:r>
              <w:rPr>
                <w:rFonts w:eastAsia="Times New Roman"/>
                <w:noProof/>
                <w:sz w:val="12"/>
                <w:szCs w:val="12"/>
                <w:lang w:val="en-GB" w:eastAsia="de-DE"/>
              </w:rPr>
              <w:br/>
              <w:t>- Develop improved climate predictions on seasonal to decadal climatic scales, especially relevant to SSA;</w:t>
            </w:r>
            <w:r>
              <w:rPr>
                <w:rFonts w:eastAsia="Times New Roman"/>
                <w:noProof/>
                <w:sz w:val="12"/>
                <w:szCs w:val="12"/>
                <w:lang w:val="en-GB" w:eastAsia="de-DE"/>
              </w:rPr>
              <w:br/>
              <w:t>- Develop a new concept of 10 years monitoring and forecasting warning system, useful for food security, risk management and civil protection in SSA;</w:t>
            </w:r>
          </w:p>
        </w:tc>
      </w:tr>
      <w:tr>
        <w:trPr>
          <w:trHeight w:val="20"/>
        </w:trPr>
        <w:tc>
          <w:tcPr>
            <w:tcW w:w="561" w:type="pct"/>
            <w:tcBorders>
              <w:top w:val="nil"/>
              <w:left w:val="single" w:sz="4" w:space="0" w:color="A8A8A8"/>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val="en-GB" w:eastAsia="de-DE"/>
              </w:rPr>
            </w:pPr>
            <w:r>
              <w:rPr>
                <w:rFonts w:eastAsia="Times New Roman"/>
                <w:noProof/>
                <w:sz w:val="12"/>
                <w:szCs w:val="12"/>
                <w:lang w:val="en-GB" w:eastAsia="de-DE"/>
              </w:rPr>
              <w:t>MENFRI - Mediterranean Network of Forestry Research and Innovation</w:t>
            </w:r>
          </w:p>
        </w:tc>
        <w:tc>
          <w:tcPr>
            <w:tcW w:w="368"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Mediterranean countries</w:t>
            </w:r>
          </w:p>
        </w:tc>
        <w:tc>
          <w:tcPr>
            <w:tcW w:w="33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Adaptation</w:t>
            </w:r>
          </w:p>
        </w:tc>
        <w:tc>
          <w:tcPr>
            <w:tcW w:w="287"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Other (Forestry)</w:t>
            </w:r>
          </w:p>
        </w:tc>
        <w:tc>
          <w:tcPr>
            <w:tcW w:w="494"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Public</w:t>
            </w:r>
          </w:p>
        </w:tc>
        <w:tc>
          <w:tcPr>
            <w:tcW w:w="37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Private</w:t>
            </w:r>
          </w:p>
        </w:tc>
        <w:tc>
          <w:tcPr>
            <w:tcW w:w="329"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Implemented</w:t>
            </w:r>
          </w:p>
        </w:tc>
        <w:tc>
          <w:tcPr>
            <w:tcW w:w="2262"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val="en-GB" w:eastAsia="de-DE"/>
              </w:rPr>
            </w:pPr>
            <w:r>
              <w:rPr>
                <w:rFonts w:eastAsia="Times New Roman"/>
                <w:noProof/>
                <w:sz w:val="12"/>
                <w:szCs w:val="12"/>
                <w:lang w:val="en-GB" w:eastAsia="de-DE"/>
              </w:rPr>
              <w:t>MENFRI is a discussion and action platform in forestry encouraging scientific and technological collaboration within the Mediterranean.</w:t>
            </w:r>
            <w:r>
              <w:rPr>
                <w:rFonts w:eastAsia="Times New Roman"/>
                <w:noProof/>
                <w:sz w:val="12"/>
                <w:szCs w:val="12"/>
                <w:lang w:val="en-GB" w:eastAsia="de-DE"/>
              </w:rPr>
              <w:br/>
              <w:t>To manage to create a favourable environment for the development of an organized, innovative and job creating business sector in this region while facing climate change, MENFRI will work on the base of three main pillars:</w:t>
            </w:r>
            <w:r>
              <w:rPr>
                <w:rFonts w:eastAsia="Times New Roman"/>
                <w:noProof/>
                <w:sz w:val="12"/>
                <w:szCs w:val="12"/>
                <w:lang w:val="en-GB" w:eastAsia="de-DE"/>
              </w:rPr>
              <w:br/>
              <w:t>- To gather a group of multisectorial stakeholders, experts on their respective domains, as a think tank with the objective of understanding the current situation of the Mediterranean forestry sector and the possibilities and existing barriers to innovation.</w:t>
            </w:r>
            <w:r>
              <w:rPr>
                <w:rFonts w:eastAsia="Times New Roman"/>
                <w:noProof/>
                <w:sz w:val="12"/>
                <w:szCs w:val="12"/>
                <w:lang w:val="en-GB" w:eastAsia="de-DE"/>
              </w:rPr>
              <w:br/>
              <w:t>- To favour the interchange of knowledge through the implementation of training activities on forest management (from traditional techniques to GIS), association, business creation and H2020 on both sides of the Mediterranean</w:t>
            </w:r>
            <w:r>
              <w:rPr>
                <w:rFonts w:eastAsia="Times New Roman"/>
                <w:noProof/>
                <w:sz w:val="12"/>
                <w:szCs w:val="12"/>
                <w:lang w:val="en-GB" w:eastAsia="de-DE"/>
              </w:rPr>
              <w:br/>
              <w:t>- To create a network of Mediterranean forestry related research centres, forest owners, NGOs, SMEs, investors and any other stakeholder in the needing of support, ideas or knowledge to carry out initiatives of sustainable development.</w:t>
            </w:r>
          </w:p>
        </w:tc>
      </w:tr>
    </w:tbl>
    <w:p>
      <w:pPr>
        <w:pStyle w:val="Standardtext"/>
        <w:rPr>
          <w:noProof/>
          <w:lang w:val="en-GB"/>
        </w:rPr>
      </w:pPr>
      <w:r>
        <w:rPr>
          <w:b/>
          <w:noProof/>
          <w:szCs w:val="24"/>
          <w:lang w:val="en-GB"/>
        </w:rPr>
        <w:t>Footnote</w:t>
      </w:r>
      <w:r>
        <w:rPr>
          <w:noProof/>
          <w:szCs w:val="24"/>
          <w:lang w:val="en-GB"/>
        </w:rPr>
        <w:t>: This table includes details of a non-exhaustive list of selected initiatives implemented in cooperation with developing country partners, with an important technology development and transfer component, which the EU believes are fairly representative of the overall technology development and transfer support provided by the EU</w:t>
      </w:r>
      <w:r>
        <w:rPr>
          <w:noProof/>
          <w:lang w:val="en-GB"/>
        </w:rPr>
        <w:t>.</w:t>
      </w:r>
      <w:bookmarkStart w:id="42" w:name="_Toc434231460"/>
    </w:p>
    <w:p>
      <w:pPr>
        <w:pStyle w:val="Heading1"/>
        <w:rPr>
          <w:noProof/>
          <w:lang w:val="en-GB"/>
        </w:rPr>
      </w:pPr>
      <w:bookmarkStart w:id="43" w:name="_Toc434423719"/>
      <w:bookmarkStart w:id="44" w:name="_Toc434423961"/>
      <w:bookmarkStart w:id="45" w:name="_Toc434424012"/>
      <w:r>
        <w:rPr>
          <w:noProof/>
          <w:lang w:val="en-GB"/>
        </w:rPr>
        <w:t>CTF table 9: Provision of capacity-building support</w:t>
      </w:r>
      <w:bookmarkEnd w:id="42"/>
      <w:bookmarkEnd w:id="43"/>
      <w:bookmarkEnd w:id="44"/>
      <w:bookmarkEnd w:id="45"/>
    </w:p>
    <w:tbl>
      <w:tblPr>
        <w:tblW w:w="5135" w:type="pct"/>
        <w:tblCellMar>
          <w:left w:w="70" w:type="dxa"/>
          <w:right w:w="70" w:type="dxa"/>
        </w:tblCellMar>
        <w:tblLook w:val="04A0" w:firstRow="1" w:lastRow="0" w:firstColumn="1" w:lastColumn="0" w:noHBand="0" w:noVBand="1"/>
      </w:tblPr>
      <w:tblGrid>
        <w:gridCol w:w="1972"/>
        <w:gridCol w:w="1441"/>
        <w:gridCol w:w="1059"/>
        <w:gridCol w:w="10237"/>
      </w:tblGrid>
      <w:tr>
        <w:trPr>
          <w:trHeight w:val="20"/>
          <w:tblHeader/>
        </w:trPr>
        <w:tc>
          <w:tcPr>
            <w:tcW w:w="670" w:type="pct"/>
            <w:tcBorders>
              <w:top w:val="single" w:sz="4" w:space="0" w:color="A8A8A8"/>
              <w:left w:val="single" w:sz="4" w:space="0" w:color="A8A8A8"/>
              <w:bottom w:val="single" w:sz="4" w:space="0" w:color="A8A8A8"/>
              <w:right w:val="single" w:sz="4" w:space="0" w:color="A8A8A8"/>
            </w:tcBorders>
            <w:shd w:val="clear" w:color="000000" w:fill="E6E6E6"/>
            <w:vAlign w:val="center"/>
            <w:hideMark/>
          </w:tcPr>
          <w:p>
            <w:pPr>
              <w:spacing w:after="0" w:line="240" w:lineRule="auto"/>
              <w:jc w:val="center"/>
              <w:rPr>
                <w:rFonts w:eastAsia="Times New Roman"/>
                <w:b/>
                <w:noProof/>
                <w:color w:val="000000"/>
                <w:sz w:val="12"/>
                <w:szCs w:val="12"/>
                <w:lang w:eastAsia="de-DE"/>
              </w:rPr>
            </w:pPr>
            <w:r>
              <w:rPr>
                <w:rFonts w:eastAsia="Times New Roman"/>
                <w:b/>
                <w:noProof/>
                <w:color w:val="000000"/>
                <w:sz w:val="12"/>
                <w:szCs w:val="12"/>
                <w:lang w:eastAsia="de-DE"/>
              </w:rPr>
              <w:t>Programme or project title</w:t>
            </w:r>
          </w:p>
        </w:tc>
        <w:tc>
          <w:tcPr>
            <w:tcW w:w="490" w:type="pct"/>
            <w:tcBorders>
              <w:top w:val="single" w:sz="4" w:space="0" w:color="A8A8A8"/>
              <w:left w:val="nil"/>
              <w:bottom w:val="single" w:sz="4" w:space="0" w:color="A8A8A8"/>
              <w:right w:val="single" w:sz="4" w:space="0" w:color="A8A8A8"/>
            </w:tcBorders>
            <w:shd w:val="clear" w:color="000000" w:fill="E6E6E6"/>
            <w:vAlign w:val="center"/>
            <w:hideMark/>
          </w:tcPr>
          <w:p>
            <w:pPr>
              <w:spacing w:after="0" w:line="240" w:lineRule="auto"/>
              <w:jc w:val="center"/>
              <w:rPr>
                <w:rFonts w:eastAsia="Times New Roman"/>
                <w:b/>
                <w:noProof/>
                <w:color w:val="000000"/>
                <w:sz w:val="12"/>
                <w:szCs w:val="12"/>
                <w:lang w:eastAsia="de-DE"/>
              </w:rPr>
            </w:pPr>
            <w:r>
              <w:rPr>
                <w:rFonts w:eastAsia="Times New Roman"/>
                <w:b/>
                <w:noProof/>
                <w:color w:val="000000"/>
                <w:sz w:val="12"/>
                <w:szCs w:val="12"/>
                <w:lang w:eastAsia="de-DE"/>
              </w:rPr>
              <w:t>Recipient country / region</w:t>
            </w:r>
          </w:p>
        </w:tc>
        <w:tc>
          <w:tcPr>
            <w:tcW w:w="360" w:type="pct"/>
            <w:tcBorders>
              <w:top w:val="single" w:sz="4" w:space="0" w:color="A8A8A8"/>
              <w:left w:val="nil"/>
              <w:bottom w:val="single" w:sz="4" w:space="0" w:color="A8A8A8"/>
              <w:right w:val="single" w:sz="4" w:space="0" w:color="A8A8A8"/>
            </w:tcBorders>
            <w:shd w:val="clear" w:color="000000" w:fill="E6E6E6"/>
            <w:vAlign w:val="center"/>
            <w:hideMark/>
          </w:tcPr>
          <w:p>
            <w:pPr>
              <w:spacing w:after="0" w:line="240" w:lineRule="auto"/>
              <w:jc w:val="center"/>
              <w:rPr>
                <w:rFonts w:eastAsia="Times New Roman"/>
                <w:b/>
                <w:noProof/>
                <w:color w:val="000000"/>
                <w:sz w:val="12"/>
                <w:szCs w:val="12"/>
                <w:lang w:eastAsia="de-DE"/>
              </w:rPr>
            </w:pPr>
            <w:r>
              <w:rPr>
                <w:rFonts w:eastAsia="Times New Roman"/>
                <w:b/>
                <w:noProof/>
                <w:color w:val="000000"/>
                <w:sz w:val="12"/>
                <w:szCs w:val="12"/>
                <w:lang w:eastAsia="de-DE"/>
              </w:rPr>
              <w:t>Targeted area</w:t>
            </w:r>
          </w:p>
        </w:tc>
        <w:tc>
          <w:tcPr>
            <w:tcW w:w="3480" w:type="pct"/>
            <w:tcBorders>
              <w:top w:val="single" w:sz="4" w:space="0" w:color="A8A8A8"/>
              <w:left w:val="nil"/>
              <w:bottom w:val="single" w:sz="4" w:space="0" w:color="A8A8A8"/>
              <w:right w:val="single" w:sz="4" w:space="0" w:color="A8A8A8"/>
            </w:tcBorders>
            <w:shd w:val="clear" w:color="000000" w:fill="E6E6E6"/>
            <w:vAlign w:val="center"/>
            <w:hideMark/>
          </w:tcPr>
          <w:p>
            <w:pPr>
              <w:spacing w:after="0" w:line="240" w:lineRule="auto"/>
              <w:jc w:val="center"/>
              <w:rPr>
                <w:rFonts w:eastAsia="Times New Roman"/>
                <w:b/>
                <w:noProof/>
                <w:color w:val="000000"/>
                <w:sz w:val="12"/>
                <w:szCs w:val="12"/>
                <w:lang w:val="en-GB" w:eastAsia="de-DE"/>
              </w:rPr>
            </w:pPr>
            <w:r>
              <w:rPr>
                <w:rFonts w:eastAsia="Times New Roman"/>
                <w:b/>
                <w:noProof/>
                <w:color w:val="000000"/>
                <w:sz w:val="12"/>
                <w:szCs w:val="12"/>
                <w:lang w:val="en-GB" w:eastAsia="de-DE"/>
              </w:rPr>
              <w:t>Description of programme or project</w:t>
            </w:r>
          </w:p>
        </w:tc>
      </w:tr>
      <w:tr>
        <w:trPr>
          <w:trHeight w:val="20"/>
        </w:trPr>
        <w:tc>
          <w:tcPr>
            <w:tcW w:w="670" w:type="pct"/>
            <w:tcBorders>
              <w:top w:val="nil"/>
              <w:left w:val="single" w:sz="4" w:space="0" w:color="A8A8A8"/>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val="en-GB" w:eastAsia="de-DE"/>
              </w:rPr>
            </w:pPr>
            <w:r>
              <w:rPr>
                <w:rFonts w:eastAsia="Times New Roman"/>
                <w:noProof/>
                <w:sz w:val="12"/>
                <w:szCs w:val="12"/>
                <w:lang w:val="en-GB" w:eastAsia="de-DE"/>
              </w:rPr>
              <w:t>Environmentally sound collection, management and destruction of ODS banks in developing countries</w:t>
            </w:r>
          </w:p>
        </w:tc>
        <w:tc>
          <w:tcPr>
            <w:tcW w:w="49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 xml:space="preserve">Asia-Pacific </w:t>
            </w:r>
          </w:p>
        </w:tc>
        <w:tc>
          <w:tcPr>
            <w:tcW w:w="36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Mitigation</w:t>
            </w:r>
          </w:p>
        </w:tc>
        <w:tc>
          <w:tcPr>
            <w:tcW w:w="348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val="en-GB" w:eastAsia="de-DE"/>
              </w:rPr>
            </w:pPr>
            <w:r>
              <w:rPr>
                <w:rFonts w:eastAsia="Times New Roman"/>
                <w:noProof/>
                <w:sz w:val="12"/>
                <w:szCs w:val="12"/>
                <w:lang w:val="en-GB" w:eastAsia="de-DE"/>
              </w:rPr>
              <w:t>This project will foster environmentally sustainable growth in developing countries by providing assistance to collect, transport and destroy ODS. The project will stimulate developing countries to undertake additional actions beyond the requirements of the Montreal Protocol that will achieve additional ozone protection benefits and significant climate change mitigation by collection and destruction of those high-GWP gases.</w:t>
            </w:r>
          </w:p>
        </w:tc>
      </w:tr>
      <w:tr>
        <w:trPr>
          <w:trHeight w:val="20"/>
        </w:trPr>
        <w:tc>
          <w:tcPr>
            <w:tcW w:w="670" w:type="pct"/>
            <w:tcBorders>
              <w:top w:val="nil"/>
              <w:left w:val="single" w:sz="4" w:space="0" w:color="A8A8A8"/>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val="en-GB" w:eastAsia="de-DE"/>
              </w:rPr>
            </w:pPr>
            <w:r>
              <w:rPr>
                <w:rFonts w:eastAsia="Times New Roman"/>
                <w:noProof/>
                <w:sz w:val="12"/>
                <w:szCs w:val="12"/>
                <w:lang w:val="en-GB" w:eastAsia="de-DE"/>
              </w:rPr>
              <w:t>Regional Project of Watershed and Coastal Management in the context of Climate Change in Latin America and Caribbean (WATERCLIMA-LAC)</w:t>
            </w:r>
          </w:p>
        </w:tc>
        <w:tc>
          <w:tcPr>
            <w:tcW w:w="49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 xml:space="preserve">Latin America and Caribbean </w:t>
            </w:r>
          </w:p>
        </w:tc>
        <w:tc>
          <w:tcPr>
            <w:tcW w:w="36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Adaptation</w:t>
            </w:r>
          </w:p>
        </w:tc>
        <w:tc>
          <w:tcPr>
            <w:tcW w:w="348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val="en-GB" w:eastAsia="de-DE"/>
              </w:rPr>
              <w:t>The specific objective of the project is to contribute to improving watersheds and coastal management,by boosting resilience to the consequences of climate change of LA and Caribbean countries. Training and capacity building activities include: Training and Capacity building:</w:t>
            </w:r>
            <w:r>
              <w:rPr>
                <w:rFonts w:eastAsia="Times New Roman"/>
                <w:noProof/>
                <w:sz w:val="12"/>
                <w:szCs w:val="12"/>
                <w:lang w:val="en-GB" w:eastAsia="de-DE"/>
              </w:rPr>
              <w:br/>
              <w:t>− Strengthen technical capacities to ensure beneficiaries’ greater ownership and the</w:t>
            </w:r>
            <w:r>
              <w:rPr>
                <w:rFonts w:eastAsia="Times New Roman"/>
                <w:noProof/>
                <w:sz w:val="12"/>
                <w:szCs w:val="12"/>
                <w:lang w:val="en-GB" w:eastAsia="de-DE"/>
              </w:rPr>
              <w:br/>
              <w:t>empowerment of national and regional expertise and skills</w:t>
            </w:r>
            <w:r>
              <w:rPr>
                <w:rFonts w:eastAsia="Times New Roman"/>
                <w:noProof/>
                <w:sz w:val="12"/>
                <w:szCs w:val="12"/>
                <w:lang w:val="en-GB" w:eastAsia="de-DE"/>
              </w:rPr>
              <w:br/>
              <w:t>− Identify stakeholders selected by national focal points for training.</w:t>
            </w:r>
            <w:r>
              <w:rPr>
                <w:rFonts w:eastAsia="Times New Roman"/>
                <w:noProof/>
                <w:sz w:val="12"/>
                <w:szCs w:val="12"/>
                <w:lang w:val="en-GB" w:eastAsia="de-DE"/>
              </w:rPr>
              <w:br/>
              <w:t>− Identify training programmes and capacity building needs and organise training</w:t>
            </w:r>
            <w:r>
              <w:rPr>
                <w:rFonts w:eastAsia="Times New Roman"/>
                <w:noProof/>
                <w:sz w:val="12"/>
                <w:szCs w:val="12"/>
                <w:lang w:val="en-GB" w:eastAsia="de-DE"/>
              </w:rPr>
              <w:br/>
              <w:t>programmes.</w:t>
            </w:r>
            <w:r>
              <w:rPr>
                <w:rFonts w:eastAsia="Times New Roman"/>
                <w:noProof/>
                <w:sz w:val="12"/>
                <w:szCs w:val="12"/>
                <w:lang w:val="en-GB" w:eastAsia="de-DE"/>
              </w:rPr>
              <w:br/>
            </w:r>
            <w:r>
              <w:rPr>
                <w:rFonts w:eastAsia="Times New Roman"/>
                <w:noProof/>
                <w:sz w:val="12"/>
                <w:szCs w:val="12"/>
                <w:lang w:eastAsia="de-DE"/>
              </w:rPr>
              <w:t>− Propose capacity building recommendations for water management organisations.</w:t>
            </w:r>
          </w:p>
        </w:tc>
      </w:tr>
      <w:tr>
        <w:trPr>
          <w:trHeight w:val="20"/>
        </w:trPr>
        <w:tc>
          <w:tcPr>
            <w:tcW w:w="670" w:type="pct"/>
            <w:tcBorders>
              <w:top w:val="nil"/>
              <w:left w:val="single" w:sz="4" w:space="0" w:color="A8A8A8"/>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val="en-GB" w:eastAsia="de-DE"/>
              </w:rPr>
            </w:pPr>
            <w:r>
              <w:rPr>
                <w:rFonts w:eastAsia="Times New Roman"/>
                <w:noProof/>
                <w:sz w:val="12"/>
                <w:szCs w:val="12"/>
                <w:lang w:val="en-GB" w:eastAsia="de-DE"/>
              </w:rPr>
              <w:t>Capacity building for CO2 mitigation from International Aviation</w:t>
            </w:r>
          </w:p>
        </w:tc>
        <w:tc>
          <w:tcPr>
            <w:tcW w:w="49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African and Caribbean Countries</w:t>
            </w:r>
          </w:p>
        </w:tc>
        <w:tc>
          <w:tcPr>
            <w:tcW w:w="36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Mitigation</w:t>
            </w:r>
          </w:p>
        </w:tc>
        <w:tc>
          <w:tcPr>
            <w:tcW w:w="348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val="en-GB" w:eastAsia="de-DE"/>
              </w:rPr>
            </w:pPr>
            <w:r>
              <w:rPr>
                <w:rFonts w:eastAsia="Times New Roman"/>
                <w:noProof/>
                <w:sz w:val="12"/>
                <w:szCs w:val="12"/>
                <w:lang w:val="en-GB" w:eastAsia="de-DE"/>
              </w:rPr>
              <w:t>This contribution would entail providing support to less developed States in the development of State action plans and assisting specific States to address aviation emissions by implementing capacity building activities that support the development of low carbon air transport.</w:t>
            </w:r>
            <w:r>
              <w:rPr>
                <w:rFonts w:eastAsia="Times New Roman"/>
                <w:noProof/>
                <w:sz w:val="12"/>
                <w:szCs w:val="12"/>
                <w:lang w:val="en-GB" w:eastAsia="de-DE"/>
              </w:rPr>
              <w:br/>
              <w:t xml:space="preserve">Overall objective: To assist selected States to address aviation emissions by implementing capacity building activities that will support the development of low carbon air transport. </w:t>
            </w:r>
            <w:r>
              <w:rPr>
                <w:rFonts w:eastAsia="Times New Roman"/>
                <w:noProof/>
                <w:sz w:val="12"/>
                <w:szCs w:val="12"/>
                <w:lang w:val="en-GB" w:eastAsia="de-DE"/>
              </w:rPr>
              <w:br/>
              <w:t>Specific objectives: To support less developed countries’ (see 2.5 Country Selection Criteria) ability to track, manage and reduce their aviation emissions. Through the support provided, partner countries will be able to develop and submit meaningful State action plans on CO2 emissions reduction activities, as invited by the 2010 ICAO Assembly, establish CO2 emissions inventories, and pilot the implementation of measures to reduce fuel consumption, toward reducing greenhouse gas emissions.</w:t>
            </w:r>
          </w:p>
        </w:tc>
      </w:tr>
      <w:tr>
        <w:trPr>
          <w:trHeight w:val="20"/>
        </w:trPr>
        <w:tc>
          <w:tcPr>
            <w:tcW w:w="670" w:type="pct"/>
            <w:tcBorders>
              <w:top w:val="nil"/>
              <w:left w:val="single" w:sz="4" w:space="0" w:color="A8A8A8"/>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val="en-GB" w:eastAsia="de-DE"/>
              </w:rPr>
            </w:pPr>
            <w:r>
              <w:rPr>
                <w:rFonts w:eastAsia="Times New Roman"/>
                <w:noProof/>
                <w:sz w:val="12"/>
                <w:szCs w:val="12"/>
                <w:lang w:val="en-GB" w:eastAsia="de-DE"/>
              </w:rPr>
              <w:t>Helix  - High-end Climate Impacts and Extremes</w:t>
            </w:r>
          </w:p>
        </w:tc>
        <w:tc>
          <w:tcPr>
            <w:tcW w:w="49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val="en-GB" w:eastAsia="de-DE"/>
              </w:rPr>
            </w:pPr>
            <w:r>
              <w:rPr>
                <w:rFonts w:eastAsia="Times New Roman"/>
                <w:noProof/>
                <w:sz w:val="12"/>
                <w:szCs w:val="12"/>
                <w:lang w:val="en-GB" w:eastAsia="de-DE"/>
              </w:rPr>
              <w:t>Kenya, Senegal, India and Bangladesh</w:t>
            </w:r>
          </w:p>
        </w:tc>
        <w:tc>
          <w:tcPr>
            <w:tcW w:w="36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Adaptation</w:t>
            </w:r>
          </w:p>
        </w:tc>
        <w:tc>
          <w:tcPr>
            <w:tcW w:w="348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val="en-GB" w:eastAsia="de-DE"/>
              </w:rPr>
            </w:pPr>
            <w:r>
              <w:rPr>
                <w:rFonts w:eastAsia="Times New Roman"/>
                <w:noProof/>
                <w:sz w:val="12"/>
                <w:szCs w:val="12"/>
                <w:lang w:val="en-GB" w:eastAsia="de-DE"/>
              </w:rPr>
              <w:t>HELIX aims at assisting decision-makers and the research community in making adaptation to our changing climate more understandable and manageable by providing a set of credible, coherent, global and regional views of different worlds at 2, 4 and 6°C, with further focus on delivering the knowledge needs of Northern Sub-Saharan Africa, South Asia and Europe.</w:t>
            </w:r>
          </w:p>
        </w:tc>
      </w:tr>
      <w:tr>
        <w:trPr>
          <w:trHeight w:val="20"/>
        </w:trPr>
        <w:tc>
          <w:tcPr>
            <w:tcW w:w="670" w:type="pct"/>
            <w:tcBorders>
              <w:top w:val="nil"/>
              <w:left w:val="single" w:sz="4" w:space="0" w:color="A8A8A8"/>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val="en-GB" w:eastAsia="de-DE"/>
              </w:rPr>
            </w:pPr>
            <w:r>
              <w:rPr>
                <w:rFonts w:eastAsia="Times New Roman"/>
                <w:noProof/>
                <w:sz w:val="12"/>
                <w:szCs w:val="12"/>
                <w:lang w:val="en-GB" w:eastAsia="de-DE"/>
              </w:rPr>
              <w:t>Capacity-Building in Wind Energy and Concentrating Solar Power in Jordan - WECSP Project</w:t>
            </w:r>
          </w:p>
        </w:tc>
        <w:tc>
          <w:tcPr>
            <w:tcW w:w="49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Jordan</w:t>
            </w:r>
          </w:p>
        </w:tc>
        <w:tc>
          <w:tcPr>
            <w:tcW w:w="36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Mitigation</w:t>
            </w:r>
          </w:p>
        </w:tc>
        <w:tc>
          <w:tcPr>
            <w:tcW w:w="348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val="en-GB" w:eastAsia="de-DE"/>
              </w:rPr>
            </w:pPr>
            <w:r>
              <w:rPr>
                <w:rFonts w:eastAsia="Times New Roman"/>
                <w:noProof/>
                <w:sz w:val="12"/>
                <w:szCs w:val="12"/>
                <w:lang w:val="en-GB" w:eastAsia="de-DE"/>
              </w:rPr>
              <w:t>The overall objective of this project is to support the rational and sustainable use of alternative energy resources in Jordan.</w:t>
            </w:r>
            <w:r>
              <w:rPr>
                <w:rFonts w:eastAsia="Times New Roman"/>
                <w:noProof/>
                <w:sz w:val="12"/>
                <w:szCs w:val="12"/>
                <w:lang w:val="en-GB" w:eastAsia="de-DE"/>
              </w:rPr>
              <w:br/>
              <w:t>The specific objective of the project is to support the National Energy Research Centre (NERC) to steer and facilitate the implementation of the Jordanian Government Renewable Energy Strategy 2007-2020 by installing and testing a wind testing facility and a Concentrating Solar Power (CSP) pilot plant and by helping the country build up local and regional expertise in the field.</w:t>
            </w:r>
          </w:p>
        </w:tc>
      </w:tr>
      <w:tr>
        <w:trPr>
          <w:trHeight w:val="20"/>
        </w:trPr>
        <w:tc>
          <w:tcPr>
            <w:tcW w:w="670" w:type="pct"/>
            <w:tcBorders>
              <w:top w:val="nil"/>
              <w:left w:val="single" w:sz="4" w:space="0" w:color="A8A8A8"/>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val="en-GB" w:eastAsia="de-DE"/>
              </w:rPr>
            </w:pPr>
            <w:r>
              <w:rPr>
                <w:rFonts w:eastAsia="Times New Roman"/>
                <w:noProof/>
                <w:sz w:val="12"/>
                <w:szCs w:val="12"/>
                <w:lang w:val="en-GB" w:eastAsia="de-DE"/>
              </w:rPr>
              <w:t>Maximising the climate benefits of HCFC phaseout</w:t>
            </w:r>
          </w:p>
        </w:tc>
        <w:tc>
          <w:tcPr>
            <w:tcW w:w="49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val="en-GB" w:eastAsia="de-DE"/>
              </w:rPr>
            </w:pPr>
            <w:r>
              <w:rPr>
                <w:rFonts w:eastAsia="Times New Roman"/>
                <w:noProof/>
                <w:sz w:val="12"/>
                <w:szCs w:val="12"/>
                <w:lang w:val="en-GB" w:eastAsia="de-DE"/>
              </w:rPr>
              <w:t xml:space="preserve">West Africa and Pacific Island Countries </w:t>
            </w:r>
          </w:p>
        </w:tc>
        <w:tc>
          <w:tcPr>
            <w:tcW w:w="36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Mitigation</w:t>
            </w:r>
          </w:p>
        </w:tc>
        <w:tc>
          <w:tcPr>
            <w:tcW w:w="348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val="en-GB" w:eastAsia="de-DE"/>
              </w:rPr>
            </w:pPr>
            <w:r>
              <w:rPr>
                <w:rFonts w:eastAsia="Times New Roman"/>
                <w:noProof/>
                <w:sz w:val="12"/>
                <w:szCs w:val="12"/>
                <w:lang w:val="en-GB" w:eastAsia="de-DE"/>
              </w:rPr>
              <w:t>The project will assist eight selected developing countries in two sub-regions: West Africa and Pacific Island Countries to assess technology needs, through national surveys and ‘technology gap’ assessments. This will facilitate obtaining quantifiable emission reductions through technology transfer demonstrations in local refrigeration and air-conditioning enterprises. The project will also provide technical training on the available climate friendly alternative technologies. Country-specific roadmaps to adopt low GWP and non-ozone depleting alternatives will be developed to provide a powerful decision support tool for the participating countries.</w:t>
            </w:r>
          </w:p>
        </w:tc>
      </w:tr>
      <w:tr>
        <w:trPr>
          <w:trHeight w:val="20"/>
        </w:trPr>
        <w:tc>
          <w:tcPr>
            <w:tcW w:w="670" w:type="pct"/>
            <w:tcBorders>
              <w:top w:val="nil"/>
              <w:left w:val="single" w:sz="4" w:space="0" w:color="A8A8A8"/>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val="en-GB" w:eastAsia="de-DE"/>
              </w:rPr>
            </w:pPr>
            <w:r>
              <w:rPr>
                <w:rFonts w:eastAsia="Times New Roman"/>
                <w:noProof/>
                <w:sz w:val="12"/>
                <w:szCs w:val="12"/>
                <w:lang w:val="en-GB" w:eastAsia="de-DE"/>
              </w:rPr>
              <w:t>Access to Sustainable Energy Programme</w:t>
            </w:r>
          </w:p>
        </w:tc>
        <w:tc>
          <w:tcPr>
            <w:tcW w:w="49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Philippines</w:t>
            </w:r>
          </w:p>
        </w:tc>
        <w:tc>
          <w:tcPr>
            <w:tcW w:w="36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Mitigation</w:t>
            </w:r>
          </w:p>
        </w:tc>
        <w:tc>
          <w:tcPr>
            <w:tcW w:w="348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val="en-GB" w:eastAsia="de-DE"/>
              </w:rPr>
            </w:pPr>
            <w:r>
              <w:rPr>
                <w:rFonts w:eastAsia="Times New Roman"/>
                <w:noProof/>
                <w:sz w:val="12"/>
                <w:szCs w:val="12"/>
                <w:lang w:val="en-GB" w:eastAsia="de-DE"/>
              </w:rPr>
              <w:t xml:space="preserve">The specific objective is to generate more electricity from renewable energy, increase efficiency of energy use, and increase access for the poor to affordable, disaster resilient energy. </w:t>
            </w:r>
            <w:r>
              <w:rPr>
                <w:rFonts w:eastAsia="Times New Roman"/>
                <w:noProof/>
                <w:sz w:val="12"/>
                <w:szCs w:val="12"/>
                <w:lang w:val="en-GB" w:eastAsia="de-DE"/>
              </w:rPr>
              <w:br/>
              <w:t>The Programme has a Technical assistance component that will provide:</w:t>
            </w:r>
            <w:r>
              <w:rPr>
                <w:rFonts w:eastAsia="Times New Roman"/>
                <w:noProof/>
                <w:sz w:val="12"/>
                <w:szCs w:val="12"/>
                <w:lang w:val="en-GB" w:eastAsia="de-DE"/>
              </w:rPr>
              <w:br/>
              <w:t>a. Policy advice and administrative streamlining to make the rural electrification more effective.</w:t>
            </w:r>
            <w:r>
              <w:rPr>
                <w:rFonts w:eastAsia="Times New Roman"/>
                <w:noProof/>
                <w:sz w:val="12"/>
                <w:szCs w:val="12"/>
                <w:lang w:val="en-GB" w:eastAsia="de-DE"/>
              </w:rPr>
              <w:br/>
              <w:t>b. Studies and project development support for remote areas, new technologies and business models.</w:t>
            </w:r>
            <w:r>
              <w:rPr>
                <w:rFonts w:eastAsia="Times New Roman"/>
                <w:noProof/>
                <w:sz w:val="12"/>
                <w:szCs w:val="12"/>
                <w:lang w:val="en-GB" w:eastAsia="de-DE"/>
              </w:rPr>
              <w:br/>
              <w:t>c. Capacity building of stakeholders for pro poor electrification through renewable energy.</w:t>
            </w:r>
          </w:p>
        </w:tc>
      </w:tr>
      <w:tr>
        <w:trPr>
          <w:trHeight w:val="20"/>
        </w:trPr>
        <w:tc>
          <w:tcPr>
            <w:tcW w:w="670" w:type="pct"/>
            <w:tcBorders>
              <w:top w:val="nil"/>
              <w:left w:val="single" w:sz="4" w:space="0" w:color="A8A8A8"/>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val="en-GB" w:eastAsia="de-DE"/>
              </w:rPr>
            </w:pPr>
            <w:r>
              <w:rPr>
                <w:rFonts w:eastAsia="Times New Roman"/>
                <w:noProof/>
                <w:sz w:val="12"/>
                <w:szCs w:val="12"/>
                <w:lang w:val="en-GB" w:eastAsia="de-DE"/>
              </w:rPr>
              <w:t>Impact2C - Objected Impacts under 2C Warming</w:t>
            </w:r>
          </w:p>
        </w:tc>
        <w:tc>
          <w:tcPr>
            <w:tcW w:w="49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Maldives, Bangladesh, Sri Lanka, Niger</w:t>
            </w:r>
          </w:p>
        </w:tc>
        <w:tc>
          <w:tcPr>
            <w:tcW w:w="36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Adaptation</w:t>
            </w:r>
          </w:p>
        </w:tc>
        <w:tc>
          <w:tcPr>
            <w:tcW w:w="348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val="en-GB" w:eastAsia="de-DE"/>
              </w:rPr>
            </w:pPr>
            <w:r>
              <w:rPr>
                <w:rFonts w:eastAsia="Times New Roman"/>
                <w:noProof/>
                <w:sz w:val="12"/>
                <w:szCs w:val="12"/>
                <w:lang w:val="en-GB" w:eastAsia="de-DE"/>
              </w:rPr>
              <w:t xml:space="preserve">IMPACT2C enhances knowledge, quantifies climate change impacts, and adopts a clear and logical structure, with climate and impacts modelling, vulnerabilities, risks and economic costs, as well as potential responses, within a pan-European sector based analysis. The project also assesses climate change impacts in some of the world’s most vulnerable regions: Bangladesh, Africa (Nile and Niger basins), and the Maldives. </w:t>
            </w:r>
            <w:r>
              <w:rPr>
                <w:rFonts w:eastAsia="Times New Roman"/>
                <w:noProof/>
                <w:sz w:val="12"/>
                <w:szCs w:val="12"/>
                <w:lang w:val="en-GB" w:eastAsia="de-DE"/>
              </w:rPr>
              <w:br/>
              <w:t>IMPACT2C integrates the expertise of top climate scientists, sectoral impact specialists with both physical and economical backgrounds, and local specialists from the regions addressed. The team is made up of 17 nationalities, who have the shared ambition to achieve maximum support to the development of sectoral and cross-sectoral, pan-European strategies aimed at coping with a 2°C global warming, and to support the coping strategies for the three particularly vulnerable world regions.</w:t>
            </w:r>
          </w:p>
        </w:tc>
      </w:tr>
      <w:tr>
        <w:trPr>
          <w:trHeight w:val="20"/>
        </w:trPr>
        <w:tc>
          <w:tcPr>
            <w:tcW w:w="670" w:type="pct"/>
            <w:tcBorders>
              <w:top w:val="nil"/>
              <w:left w:val="single" w:sz="4" w:space="0" w:color="A8A8A8"/>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AU-EU Africa Cluster</w:t>
            </w:r>
          </w:p>
        </w:tc>
        <w:tc>
          <w:tcPr>
            <w:tcW w:w="49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Africa</w:t>
            </w:r>
          </w:p>
        </w:tc>
        <w:tc>
          <w:tcPr>
            <w:tcW w:w="36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Adaptation</w:t>
            </w:r>
          </w:p>
        </w:tc>
        <w:tc>
          <w:tcPr>
            <w:tcW w:w="348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val="en-GB" w:eastAsia="de-DE"/>
              </w:rPr>
            </w:pPr>
            <w:r>
              <w:rPr>
                <w:rFonts w:eastAsia="Times New Roman"/>
                <w:noProof/>
                <w:sz w:val="12"/>
                <w:szCs w:val="12"/>
                <w:lang w:val="en-GB" w:eastAsia="de-DE"/>
              </w:rPr>
              <w:t>The objective of this cluster are to facilitate exchange of information and knowledge between African and European scientists, stimulate synergies and increase the impact of the projects through coordinated dissemination actions.</w:t>
            </w:r>
            <w:r>
              <w:rPr>
                <w:rFonts w:eastAsia="Times New Roman"/>
                <w:noProof/>
                <w:sz w:val="12"/>
                <w:szCs w:val="12"/>
                <w:lang w:val="en-GB" w:eastAsia="de-DE"/>
              </w:rPr>
              <w:br/>
              <w:t>The water related issues addressed in this cluster are:</w:t>
            </w:r>
            <w:r>
              <w:rPr>
                <w:rFonts w:eastAsia="Times New Roman"/>
                <w:noProof/>
                <w:sz w:val="12"/>
                <w:szCs w:val="12"/>
                <w:lang w:val="en-GB" w:eastAsia="de-DE"/>
              </w:rPr>
              <w:br/>
              <w:t>- Water and irrigated farming systems</w:t>
            </w:r>
            <w:r>
              <w:rPr>
                <w:rFonts w:eastAsia="Times New Roman"/>
                <w:noProof/>
                <w:sz w:val="12"/>
                <w:szCs w:val="12"/>
                <w:lang w:val="en-GB" w:eastAsia="de-DE"/>
              </w:rPr>
              <w:br/>
              <w:t>- Water harvesting</w:t>
            </w:r>
            <w:r>
              <w:rPr>
                <w:rFonts w:eastAsia="Times New Roman"/>
                <w:noProof/>
                <w:sz w:val="12"/>
                <w:szCs w:val="12"/>
                <w:lang w:val="en-GB" w:eastAsia="de-DE"/>
              </w:rPr>
              <w:br/>
              <w:t>- Natural resource management</w:t>
            </w:r>
            <w:r>
              <w:rPr>
                <w:rFonts w:eastAsia="Times New Roman"/>
                <w:noProof/>
                <w:sz w:val="12"/>
                <w:szCs w:val="12"/>
                <w:lang w:val="en-GB" w:eastAsia="de-DE"/>
              </w:rPr>
              <w:br/>
              <w:t>- Drought monitoring, forecasting and adaptation</w:t>
            </w:r>
            <w:r>
              <w:rPr>
                <w:rFonts w:eastAsia="Times New Roman"/>
                <w:noProof/>
                <w:sz w:val="12"/>
                <w:szCs w:val="12"/>
                <w:lang w:val="en-GB" w:eastAsia="de-DE"/>
              </w:rPr>
              <w:br/>
              <w:t>- Waste water treatment by means of biotechnology</w:t>
            </w:r>
            <w:r>
              <w:rPr>
                <w:rFonts w:eastAsia="Times New Roman"/>
                <w:noProof/>
                <w:sz w:val="12"/>
                <w:szCs w:val="12"/>
                <w:lang w:val="en-GB" w:eastAsia="de-DE"/>
              </w:rPr>
              <w:br/>
              <w:t>- Water-related vector-borne diseases</w:t>
            </w:r>
          </w:p>
        </w:tc>
      </w:tr>
      <w:tr>
        <w:trPr>
          <w:trHeight w:val="20"/>
        </w:trPr>
        <w:tc>
          <w:tcPr>
            <w:tcW w:w="670" w:type="pct"/>
            <w:tcBorders>
              <w:top w:val="nil"/>
              <w:left w:val="single" w:sz="4" w:space="0" w:color="A8A8A8"/>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val="en-GB" w:eastAsia="de-DE"/>
              </w:rPr>
            </w:pPr>
            <w:r>
              <w:rPr>
                <w:rFonts w:eastAsia="Times New Roman"/>
                <w:noProof/>
                <w:sz w:val="12"/>
                <w:szCs w:val="12"/>
                <w:lang w:val="en-GB" w:eastAsia="de-DE"/>
              </w:rPr>
              <w:t>Supporting more ambitious Low-Emission Development pathways in key developing countries by promoting international cooperative initiatives to reduce greenhouse gas emissions through improvements in energy efficiency policies and reforming energy subsidies</w:t>
            </w:r>
          </w:p>
        </w:tc>
        <w:tc>
          <w:tcPr>
            <w:tcW w:w="49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val="en-GB" w:eastAsia="de-DE"/>
              </w:rPr>
            </w:pPr>
            <w:r>
              <w:rPr>
                <w:rFonts w:eastAsia="Times New Roman"/>
                <w:noProof/>
                <w:sz w:val="12"/>
                <w:szCs w:val="12"/>
                <w:lang w:val="en-GB" w:eastAsia="de-DE"/>
              </w:rPr>
              <w:t xml:space="preserve">Emerging economies and middle income countries </w:t>
            </w:r>
          </w:p>
        </w:tc>
        <w:tc>
          <w:tcPr>
            <w:tcW w:w="36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Mitigation</w:t>
            </w:r>
          </w:p>
        </w:tc>
        <w:tc>
          <w:tcPr>
            <w:tcW w:w="348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val="en-GB" w:eastAsia="de-DE"/>
              </w:rPr>
              <w:t>The specific objective of the project is to contribute to improving watersheds and coastal management,by boosting resilience to the consequences of climate change of LA and Caribbean countries. Training and capacity building activities include: Training and Capacity building:</w:t>
            </w:r>
            <w:r>
              <w:rPr>
                <w:rFonts w:eastAsia="Times New Roman"/>
                <w:noProof/>
                <w:sz w:val="12"/>
                <w:szCs w:val="12"/>
                <w:lang w:val="en-GB" w:eastAsia="de-DE"/>
              </w:rPr>
              <w:br/>
              <w:t>− Strengthen technical capacities to ensure beneficiaries’ greater ownership and the</w:t>
            </w:r>
            <w:r>
              <w:rPr>
                <w:rFonts w:eastAsia="Times New Roman"/>
                <w:noProof/>
                <w:sz w:val="12"/>
                <w:szCs w:val="12"/>
                <w:lang w:val="en-GB" w:eastAsia="de-DE"/>
              </w:rPr>
              <w:br/>
              <w:t>empowerment of national and regional expertise and skills</w:t>
            </w:r>
            <w:r>
              <w:rPr>
                <w:rFonts w:eastAsia="Times New Roman"/>
                <w:noProof/>
                <w:sz w:val="12"/>
                <w:szCs w:val="12"/>
                <w:lang w:val="en-GB" w:eastAsia="de-DE"/>
              </w:rPr>
              <w:br/>
              <w:t>− Identify stakeholders selected by national focal points for training.</w:t>
            </w:r>
            <w:r>
              <w:rPr>
                <w:rFonts w:eastAsia="Times New Roman"/>
                <w:noProof/>
                <w:sz w:val="12"/>
                <w:szCs w:val="12"/>
                <w:lang w:val="en-GB" w:eastAsia="de-DE"/>
              </w:rPr>
              <w:br/>
              <w:t>− Identify training programmes and capacity building needs and organise training</w:t>
            </w:r>
            <w:r>
              <w:rPr>
                <w:rFonts w:eastAsia="Times New Roman"/>
                <w:noProof/>
                <w:sz w:val="12"/>
                <w:szCs w:val="12"/>
                <w:lang w:val="en-GB" w:eastAsia="de-DE"/>
              </w:rPr>
              <w:br/>
              <w:t>programmes.</w:t>
            </w:r>
            <w:r>
              <w:rPr>
                <w:rFonts w:eastAsia="Times New Roman"/>
                <w:noProof/>
                <w:sz w:val="12"/>
                <w:szCs w:val="12"/>
                <w:lang w:val="en-GB" w:eastAsia="de-DE"/>
              </w:rPr>
              <w:br/>
            </w:r>
            <w:r>
              <w:rPr>
                <w:rFonts w:eastAsia="Times New Roman"/>
                <w:noProof/>
                <w:sz w:val="12"/>
                <w:szCs w:val="12"/>
                <w:lang w:eastAsia="de-DE"/>
              </w:rPr>
              <w:t>− Propose capacity building recommendations for water management organisations.</w:t>
            </w:r>
          </w:p>
        </w:tc>
      </w:tr>
      <w:tr>
        <w:trPr>
          <w:trHeight w:val="20"/>
        </w:trPr>
        <w:tc>
          <w:tcPr>
            <w:tcW w:w="670" w:type="pct"/>
            <w:tcBorders>
              <w:top w:val="nil"/>
              <w:left w:val="single" w:sz="4" w:space="0" w:color="A8A8A8"/>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val="en-GB" w:eastAsia="de-DE"/>
              </w:rPr>
            </w:pPr>
            <w:r>
              <w:rPr>
                <w:rFonts w:eastAsia="Times New Roman"/>
                <w:noProof/>
                <w:sz w:val="12"/>
                <w:szCs w:val="12"/>
                <w:lang w:val="en-GB" w:eastAsia="de-DE"/>
              </w:rPr>
              <w:t>Sustainable Electricity for the Mediterranean</w:t>
            </w:r>
          </w:p>
        </w:tc>
        <w:tc>
          <w:tcPr>
            <w:tcW w:w="49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Magrebe Countries</w:t>
            </w:r>
          </w:p>
        </w:tc>
        <w:tc>
          <w:tcPr>
            <w:tcW w:w="36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Mitigation</w:t>
            </w:r>
          </w:p>
        </w:tc>
        <w:tc>
          <w:tcPr>
            <w:tcW w:w="348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val="en-GB" w:eastAsia="de-DE"/>
              </w:rPr>
            </w:pPr>
            <w:r>
              <w:rPr>
                <w:rFonts w:eastAsia="Times New Roman"/>
                <w:noProof/>
                <w:sz w:val="12"/>
                <w:szCs w:val="12"/>
                <w:lang w:val="en-GB" w:eastAsia="de-DE"/>
              </w:rPr>
              <w:t>The purpose of the project is to facilitate smooth progress on the Mediterranean Solar Plan in the region, by providing regional support to partner countries that do not benefit from bilateral support to implement the Mediterranean Solar Master Plan</w:t>
            </w:r>
          </w:p>
        </w:tc>
      </w:tr>
      <w:tr>
        <w:trPr>
          <w:trHeight w:val="20"/>
        </w:trPr>
        <w:tc>
          <w:tcPr>
            <w:tcW w:w="670" w:type="pct"/>
            <w:tcBorders>
              <w:top w:val="nil"/>
              <w:left w:val="single" w:sz="4" w:space="0" w:color="A8A8A8"/>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val="en-GB" w:eastAsia="de-DE"/>
              </w:rPr>
            </w:pPr>
            <w:r>
              <w:rPr>
                <w:rFonts w:eastAsia="Times New Roman"/>
                <w:noProof/>
                <w:sz w:val="12"/>
                <w:szCs w:val="12"/>
                <w:lang w:val="en-GB" w:eastAsia="de-DE"/>
              </w:rPr>
              <w:t xml:space="preserve">EU-South Asia Capacity building for Disaster Risk Management </w:t>
            </w:r>
          </w:p>
        </w:tc>
        <w:tc>
          <w:tcPr>
            <w:tcW w:w="49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South Asia</w:t>
            </w:r>
          </w:p>
        </w:tc>
        <w:tc>
          <w:tcPr>
            <w:tcW w:w="36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eastAsia="de-DE"/>
              </w:rPr>
            </w:pPr>
            <w:r>
              <w:rPr>
                <w:rFonts w:eastAsia="Times New Roman"/>
                <w:noProof/>
                <w:sz w:val="12"/>
                <w:szCs w:val="12"/>
                <w:lang w:eastAsia="de-DE"/>
              </w:rPr>
              <w:t>Adaptation</w:t>
            </w:r>
          </w:p>
        </w:tc>
        <w:tc>
          <w:tcPr>
            <w:tcW w:w="3480" w:type="pct"/>
            <w:tcBorders>
              <w:top w:val="nil"/>
              <w:left w:val="nil"/>
              <w:bottom w:val="single" w:sz="4" w:space="0" w:color="A8A8A8"/>
              <w:right w:val="single" w:sz="4" w:space="0" w:color="A8A8A8"/>
            </w:tcBorders>
            <w:shd w:val="clear" w:color="auto" w:fill="auto"/>
            <w:hideMark/>
          </w:tcPr>
          <w:p>
            <w:pPr>
              <w:spacing w:after="0" w:line="240" w:lineRule="auto"/>
              <w:jc w:val="left"/>
              <w:rPr>
                <w:rFonts w:eastAsia="Times New Roman"/>
                <w:noProof/>
                <w:color w:val="000000"/>
                <w:sz w:val="12"/>
                <w:szCs w:val="12"/>
                <w:lang w:val="en-GB" w:eastAsia="de-DE"/>
              </w:rPr>
            </w:pPr>
            <w:r>
              <w:rPr>
                <w:rFonts w:eastAsia="Times New Roman"/>
                <w:noProof/>
                <w:sz w:val="12"/>
                <w:szCs w:val="12"/>
                <w:lang w:val="en-GB" w:eastAsia="de-DE"/>
              </w:rPr>
              <w:t xml:space="preserve">The main objective of this initiative is to help build resilience of South Asia to risks from hydrological climate-related disasters and to strengthen Disaster Risk Management capacities mainly at regional and national level. </w:t>
            </w:r>
            <w:r>
              <w:rPr>
                <w:rFonts w:eastAsia="Times New Roman"/>
                <w:noProof/>
                <w:sz w:val="12"/>
                <w:szCs w:val="12"/>
                <w:lang w:val="en-GB" w:eastAsia="de-DE"/>
              </w:rPr>
              <w:br/>
              <w:t xml:space="preserve">1) Regional and national disaster risk management institutional capacity development </w:t>
            </w:r>
            <w:r>
              <w:rPr>
                <w:rFonts w:eastAsia="Times New Roman"/>
                <w:noProof/>
                <w:sz w:val="12"/>
                <w:szCs w:val="12"/>
                <w:lang w:val="en-GB" w:eastAsia="de-DE"/>
              </w:rPr>
              <w:br/>
              <w:t xml:space="preserve">Capacity-building will be provided to organisations with a regional mandate, in particular SAARC Disaster Management Centre (SDMC). Capacity building for collaboration and coordination between the SDMC and national agencies will also be provided. This component will also build the capacity of national disaster risk management agencies to enhance their preparedness, contingency planning, and service delivery. In addition this component will, where possible, support the integration of DRR into broader policy and development planning activities, with the potential to leverage larger investments in DRR. </w:t>
            </w:r>
            <w:r>
              <w:rPr>
                <w:rFonts w:eastAsia="Times New Roman"/>
                <w:noProof/>
                <w:sz w:val="12"/>
                <w:szCs w:val="12"/>
                <w:lang w:val="en-GB" w:eastAsia="de-DE"/>
              </w:rPr>
              <w:br/>
              <w:t xml:space="preserve">2) Regional and national hydromet institutional capacity development </w:t>
            </w:r>
            <w:r>
              <w:rPr>
                <w:rFonts w:eastAsia="Times New Roman"/>
                <w:noProof/>
                <w:sz w:val="12"/>
                <w:szCs w:val="12"/>
                <w:lang w:val="en-GB" w:eastAsia="de-DE"/>
              </w:rPr>
              <w:br/>
              <w:t>The main objective of this component is to strengthen capacity of (i) regional and national level institutions for weather/flood forecasting/climate prediction and (ii) scale up existing cooperation between national hydrological and meteorological services of the South Asia countries with respect to management of hydro-meteorological risks. Specifically, activities carried out under this component will strengthen the capacity of participating countries and institutions to respond to cross-border water related hazards and climate risks through improved regional cooperation and understanding of actions needed to modernize hydrometeorological monitoring, improve accuracy and lead time for weather and flood forecasting and enhance links with disaster risk management agencies and early warning systems.</w:t>
            </w:r>
          </w:p>
        </w:tc>
      </w:tr>
    </w:tbl>
    <w:p>
      <w:pPr>
        <w:pStyle w:val="Standardtext"/>
        <w:rPr>
          <w:noProof/>
          <w:lang w:val="en-US"/>
        </w:rPr>
      </w:pPr>
      <w:r>
        <w:rPr>
          <w:b/>
          <w:noProof/>
          <w:szCs w:val="24"/>
          <w:lang w:val="en-US"/>
        </w:rPr>
        <w:t>Footnote</w:t>
      </w:r>
      <w:r>
        <w:rPr>
          <w:noProof/>
          <w:szCs w:val="24"/>
          <w:lang w:val="en-US"/>
        </w:rPr>
        <w:t>: This table includes details of a non-exhaustive list of selected support initiatives with an important capacity building component, which the EU believes are fairly representative of the overall capacity building support provided by the EU</w:t>
      </w:r>
      <w:r>
        <w:rPr>
          <w:noProof/>
          <w:lang w:val="en-US"/>
        </w:rPr>
        <w:t>.</w:t>
      </w:r>
    </w:p>
    <w:sectPr>
      <w:headerReference w:type="even" r:id="rId62"/>
      <w:headerReference w:type="default" r:id="rId63"/>
      <w:footerReference w:type="even" r:id="rId64"/>
      <w:footerReference w:type="default" r:id="rId65"/>
      <w:headerReference w:type="first" r:id="rId66"/>
      <w:footerReference w:type="first" r:id="rId67"/>
      <w:pgSz w:w="16839" w:h="11907" w:orient="landscape" w:code="9"/>
      <w:pgMar w:top="720" w:right="1239" w:bottom="1200" w:left="1418" w:header="709" w:footer="4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p/>
    <w:p/>
    <w:p/>
  </w:endnote>
  <w:endnote w:type="continuationSeparator" w:id="0">
    <w:p>
      <w:r>
        <w:continuationSeparator/>
      </w:r>
    </w:p>
    <w:p/>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ヒラギノ角ゴ Pro W3">
    <w:charset w:val="4E"/>
    <w:family w:val="auto"/>
    <w:pitch w:val="variable"/>
    <w:sig w:usb0="E00002FF" w:usb1="7AC7FFFF" w:usb2="00000012" w:usb3="00000000" w:csb0="0002000D" w:csb1="00000000"/>
  </w:font>
  <w:font w:name="Tms Rmn">
    <w:panose1 w:val="020206030405050203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351034"/>
      <w:docPartObj>
        <w:docPartGallery w:val="Page Numbers (Bottom of Page)"/>
        <w:docPartUnique/>
      </w:docPartObj>
    </w:sdtPr>
    <w:sdtContent>
      <w:p>
        <w:pPr>
          <w:pStyle w:val="Footer"/>
        </w:pPr>
        <w:r>
          <w:fldChar w:fldCharType="begin"/>
        </w:r>
        <w:r>
          <w:instrText>PAGE   \* MERGEFORMAT</w:instrText>
        </w:r>
        <w:r>
          <w:fldChar w:fldCharType="separate"/>
        </w:r>
        <w:r>
          <w:rPr>
            <w:noProof/>
          </w:rPr>
          <w:t>2</w:t>
        </w:r>
        <w: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749299"/>
      <w:docPartObj>
        <w:docPartGallery w:val="Page Numbers (Bottom of Page)"/>
        <w:docPartUnique/>
      </w:docPartObj>
    </w:sdtPr>
    <w:sdtContent>
      <w:p>
        <w:pPr>
          <w:pStyle w:val="Footer"/>
          <w:jc w:val="right"/>
        </w:pPr>
        <w:r>
          <w:fldChar w:fldCharType="begin"/>
        </w:r>
        <w:r>
          <w:instrText>PAGE   \* MERGEFORMAT</w:instrText>
        </w:r>
        <w:r>
          <w:fldChar w:fldCharType="separate"/>
        </w:r>
        <w:r>
          <w:rPr>
            <w:noProof/>
          </w:rPr>
          <w:t>10</w:t>
        </w:r>
        <w: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580635"/>
      <w:docPartObj>
        <w:docPartGallery w:val="Page Numbers (Bottom of Page)"/>
        <w:docPartUnique/>
      </w:docPartObj>
    </w:sdtPr>
    <w:sdtContent>
      <w:p>
        <w:pPr>
          <w:pStyle w:val="Footer"/>
        </w:pPr>
        <w:r>
          <w:fldChar w:fldCharType="begin"/>
        </w:r>
        <w:r>
          <w:instrText>PAGE   \* MERGEFORMAT</w:instrText>
        </w:r>
        <w:r>
          <w:fldChar w:fldCharType="separate"/>
        </w:r>
        <w:r>
          <w:rPr>
            <w:noProof/>
          </w:rPr>
          <w:t>2</w:t>
        </w:r>
        <w: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27018"/>
      <w:docPartObj>
        <w:docPartGallery w:val="Page Numbers (Bottom of Page)"/>
        <w:docPartUnique/>
      </w:docPartObj>
    </w:sdtPr>
    <w:sdtContent>
      <w:p>
        <w:pPr>
          <w:pStyle w:val="Footer"/>
          <w:jc w:val="right"/>
        </w:pPr>
        <w:r>
          <w:fldChar w:fldCharType="begin"/>
        </w:r>
        <w:r>
          <w:instrText>PAGE   \* MERGEFORMAT</w:instrText>
        </w:r>
        <w:r>
          <w:fldChar w:fldCharType="separate"/>
        </w:r>
        <w:r>
          <w:rPr>
            <w:noProof/>
          </w:rPr>
          <w:t>26</w:t>
        </w:r>
        <w: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522351"/>
      <w:docPartObj>
        <w:docPartGallery w:val="Page Numbers (Bottom of Page)"/>
        <w:docPartUnique/>
      </w:docPartObj>
    </w:sdtPr>
    <w:sdtContent>
      <w:p>
        <w:pPr>
          <w:pStyle w:val="Footer"/>
        </w:pPr>
        <w:r>
          <w:fldChar w:fldCharType="begin"/>
        </w:r>
        <w:r>
          <w:instrText>PAGE   \* MERGEFORMAT</w:instrText>
        </w:r>
        <w:r>
          <w:fldChar w:fldCharType="separate"/>
        </w:r>
        <w:r>
          <w:rPr>
            <w:noProof/>
          </w:rPr>
          <w:t>2</w:t>
        </w:r>
        <w:r>
          <w:fldChar w:fldCharType="end"/>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47203"/>
      <w:docPartObj>
        <w:docPartGallery w:val="Page Numbers (Bottom of Page)"/>
        <w:docPartUnique/>
      </w:docPartObj>
    </w:sdtPr>
    <w:sdtContent>
      <w:p>
        <w:pPr>
          <w:pStyle w:val="Footer"/>
          <w:jc w:val="right"/>
        </w:pPr>
        <w:r>
          <w:fldChar w:fldCharType="begin"/>
        </w:r>
        <w:r>
          <w:instrText>PAGE   \* MERGEFORMAT</w:instrText>
        </w:r>
        <w:r>
          <w:fldChar w:fldCharType="separate"/>
        </w:r>
        <w:r>
          <w:rPr>
            <w:noProof/>
          </w:rPr>
          <w:t>28</w:t>
        </w:r>
        <w:r>
          <w:fldChar w:fldCharType="end"/>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5732"/>
      <w:docPartObj>
        <w:docPartGallery w:val="Page Numbers (Bottom of Page)"/>
        <w:docPartUnique/>
      </w:docPartObj>
    </w:sdtPr>
    <w:sdtContent>
      <w:p>
        <w:pPr>
          <w:pStyle w:val="Footer"/>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536315"/>
      <w:docPartObj>
        <w:docPartGallery w:val="Page Numbers (Bottom of Page)"/>
        <w:docPartUnique/>
      </w:docPartObj>
    </w:sdtPr>
    <w:sdtContent>
      <w:p>
        <w:pPr>
          <w:pStyle w:val="Footer"/>
          <w:jc w:val="right"/>
        </w:pPr>
        <w:r>
          <w:fldChar w:fldCharType="begin"/>
        </w:r>
        <w:r>
          <w:instrText>PAGE   \* MERGEFORMAT</w:instrText>
        </w:r>
        <w:r>
          <w:fldChar w:fldCharType="separate"/>
        </w:r>
        <w:r>
          <w:rPr>
            <w:noProof/>
          </w:rPr>
          <w:t>29</w:t>
        </w:r>
        <w:r>
          <w:fldChar w:fldCharType="end"/>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562526"/>
      <w:docPartObj>
        <w:docPartGallery w:val="Page Numbers (Bottom of Page)"/>
        <w:docPartUnique/>
      </w:docPartObj>
    </w:sdtPr>
    <w:sdtContent>
      <w:p>
        <w:pPr>
          <w:pStyle w:val="Footer"/>
        </w:pPr>
        <w:r>
          <w:fldChar w:fldCharType="begin"/>
        </w:r>
        <w:r>
          <w:instrText>PAGE   \* MERGEFORMAT</w:instrText>
        </w:r>
        <w:r>
          <w:fldChar w:fldCharType="separate"/>
        </w:r>
        <w:r>
          <w:rPr>
            <w:noProof/>
          </w:rPr>
          <w:t>2</w:t>
        </w:r>
        <w:r>
          <w:fldChar w:fldCharType="end"/>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481948"/>
      <w:docPartObj>
        <w:docPartGallery w:val="Page Numbers (Bottom of Page)"/>
        <w:docPartUnique/>
      </w:docPartObj>
    </w:sdtPr>
    <w:sdtContent>
      <w:p>
        <w:pPr>
          <w:pStyle w:val="Footer"/>
          <w:jc w:val="right"/>
        </w:pPr>
        <w:r>
          <w:fldChar w:fldCharType="begin"/>
        </w:r>
        <w:r>
          <w:instrText>PAGE   \* MERGEFORMAT</w:instrText>
        </w:r>
        <w:r>
          <w:fldChar w:fldCharType="separate"/>
        </w:r>
        <w:r>
          <w:rPr>
            <w:noProof/>
          </w:rPr>
          <w:t>46</w:t>
        </w:r>
        <w:r>
          <w:fldChar w:fldCharType="end"/>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033461"/>
      <w:docPartObj>
        <w:docPartGallery w:val="Page Numbers (Bottom of Page)"/>
        <w:docPartUnique/>
      </w:docPartObj>
    </w:sdtPr>
    <w:sdtContent>
      <w:p>
        <w:pPr>
          <w:pStyle w:val="Footer"/>
        </w:pPr>
        <w:r>
          <w:fldChar w:fldCharType="begin"/>
        </w:r>
        <w:r>
          <w:instrText>PAGE   \* MERGEFORMAT</w:instrText>
        </w:r>
        <w:r>
          <w:fldChar w:fldCharType="separate"/>
        </w:r>
        <w:r>
          <w:rPr>
            <w:noProof/>
          </w:rP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273789"/>
      <w:docPartObj>
        <w:docPartGallery w:val="Page Numbers (Bottom of Page)"/>
        <w:docPartUnique/>
      </w:docPartObj>
    </w:sdtPr>
    <w:sdtContent>
      <w:p>
        <w:pPr>
          <w:pStyle w:val="Footer"/>
          <w:jc w:val="right"/>
        </w:pPr>
        <w:r>
          <w:fldChar w:fldCharType="begin"/>
        </w:r>
        <w:r>
          <w:instrText>PAGE   \* MERGEFORMAT</w:instrText>
        </w:r>
        <w:r>
          <w:fldChar w:fldCharType="separate"/>
        </w:r>
        <w:r>
          <w:rPr>
            <w:noProof/>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782243"/>
      <w:docPartObj>
        <w:docPartGallery w:val="Page Numbers (Bottom of Page)"/>
        <w:docPartUnique/>
      </w:docPartObj>
    </w:sdtPr>
    <w:sdtContent>
      <w:p>
        <w:pPr>
          <w:pStyle w:val="Footer"/>
        </w:pPr>
        <w:r>
          <w:fldChar w:fldCharType="begin"/>
        </w:r>
        <w:r>
          <w:instrText>PAGE   \* MERGEFORMAT</w:instrText>
        </w:r>
        <w:r>
          <w:fldChar w:fldCharType="separate"/>
        </w:r>
        <w:r>
          <w:rPr>
            <w:noProof/>
          </w:rPr>
          <w:t>2</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799478"/>
      <w:docPartObj>
        <w:docPartGallery w:val="Page Numbers (Bottom of Page)"/>
        <w:docPartUnique/>
      </w:docPartObj>
    </w:sdtPr>
    <w:sdtContent>
      <w:p>
        <w:pPr>
          <w:pStyle w:val="Footer"/>
          <w:jc w:val="right"/>
        </w:pPr>
        <w:r>
          <w:fldChar w:fldCharType="begin"/>
        </w:r>
        <w:r>
          <w:instrText>PAGE   \* MERGEFORMAT</w:instrText>
        </w:r>
        <w:r>
          <w:fldChar w:fldCharType="separate"/>
        </w:r>
        <w:r>
          <w:rPr>
            <w:noProof/>
          </w:rPr>
          <w:t>7</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er"/>
      </w:pPr>
      <w:r>
        <w:separator/>
      </w:r>
    </w:p>
  </w:footnote>
  <w:footnote w:type="continuationSeparator" w:id="0">
    <w:p>
      <w:pPr>
        <w:spacing w:after="0" w:line="240" w:lineRule="auto"/>
        <w:rPr>
          <w:sz w:val="18"/>
        </w:rPr>
      </w:pPr>
      <w:r>
        <w:continuationSeparator/>
      </w:r>
    </w:p>
  </w:footnote>
  <w:footnote w:id="1">
    <w:p>
      <w:pPr>
        <w:pStyle w:val="FootnoteText"/>
        <w:rPr>
          <w:lang w:val="de-AT"/>
        </w:rPr>
      </w:pPr>
      <w:r>
        <w:rPr>
          <w:rStyle w:val="FootnoteReference"/>
        </w:rPr>
        <w:footnoteRef/>
      </w:r>
      <w:r>
        <w:t xml:space="preserve"> </w:t>
      </w:r>
      <w:hyperlink r:id="rId1" w:history="1">
        <w:r>
          <w:rPr>
            <w:rStyle w:val="Hyperlink"/>
          </w:rPr>
          <w:t>http://unfccc.int/national_reports/annex_i_ghg_inventories/national_inventories_submissions/items/8812.php</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031" w:type="pct"/>
      <w:tblInd w:w="142"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22"/>
      <w:gridCol w:w="2263"/>
    </w:tblGrid>
    <w:tr>
      <w:tc>
        <w:tcPr>
          <w:tcW w:w="1930" w:type="pct"/>
          <w:vAlign w:val="bottom"/>
        </w:tcPr>
        <w:p>
          <w:pPr>
            <w:pStyle w:val="Header"/>
          </w:pPr>
          <w:r>
            <w:rPr>
              <w:noProof/>
              <w:lang w:val="en-US"/>
            </w:rPr>
            <w:drawing>
              <wp:inline distT="0" distB="0" distL="0" distR="0">
                <wp:extent cx="896400" cy="122400"/>
                <wp:effectExtent l="0" t="0" r="0" b="0"/>
                <wp:docPr id="17"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KO_sublogo_4c_50_0_100_0.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896400" cy="12240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tc>
      <w:tc>
        <w:tcPr>
          <w:tcW w:w="3070" w:type="pct"/>
          <w:vAlign w:val="bottom"/>
        </w:tcPr>
        <w:p>
          <w:pPr>
            <w:pStyle w:val="Header"/>
            <w:ind w:right="567"/>
            <w:jc w:val="right"/>
            <w:rPr>
              <w:lang w:val="en-GB"/>
            </w:rPr>
          </w:pPr>
          <w:r>
            <w:rPr>
              <w:lang w:val="en-GB"/>
            </w:rPr>
            <w:t>Preparation of the 2nd EU biennial report</w:t>
          </w:r>
        </w:p>
      </w:tc>
    </w:tr>
  </w:tbl>
  <w:p>
    <w:pPr>
      <w:pStyle w:val="Header"/>
      <w:rPr>
        <w:lang w:val="en-GB"/>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031" w:type="pct"/>
      <w:tblInd w:w="142"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7"/>
      <w:gridCol w:w="3446"/>
    </w:tblGrid>
    <w:tr>
      <w:tc>
        <w:tcPr>
          <w:tcW w:w="1930" w:type="pct"/>
          <w:vAlign w:val="bottom"/>
        </w:tcPr>
        <w:p>
          <w:pPr>
            <w:pStyle w:val="Header"/>
          </w:pPr>
          <w:r>
            <w:rPr>
              <w:noProof/>
              <w:lang w:val="en-US"/>
            </w:rPr>
            <w:drawing>
              <wp:inline distT="0" distB="0" distL="0" distR="0">
                <wp:extent cx="896400" cy="122400"/>
                <wp:effectExtent l="0" t="0" r="0" b="0"/>
                <wp:docPr id="19"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KO_sublogo_4c_50_0_100_0.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896400" cy="12240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tc>
      <w:tc>
        <w:tcPr>
          <w:tcW w:w="3070" w:type="pct"/>
          <w:vAlign w:val="bottom"/>
        </w:tcPr>
        <w:p>
          <w:pPr>
            <w:pStyle w:val="Header"/>
            <w:ind w:right="567"/>
            <w:jc w:val="right"/>
            <w:rPr>
              <w:lang w:val="en-GB"/>
            </w:rPr>
          </w:pPr>
          <w:r>
            <w:rPr>
              <w:lang w:val="en-GB"/>
            </w:rPr>
            <w:t>Preparation of the 2nd EU biennial report</w:t>
          </w:r>
        </w:p>
      </w:tc>
    </w:tr>
  </w:tbl>
  <w:p>
    <w:pPr>
      <w:pStyle w:val="Header"/>
      <w:rPr>
        <w:lang w:val="en-GB"/>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96"/>
      <w:gridCol w:w="11807"/>
    </w:tblGrid>
    <w:tr>
      <w:tc>
        <w:tcPr>
          <w:tcW w:w="784" w:type="pct"/>
        </w:tcPr>
        <w:p>
          <w:pPr>
            <w:pStyle w:val="Header"/>
          </w:pPr>
          <w:r>
            <w:rPr>
              <w:noProof/>
              <w:lang w:val="en-US"/>
            </w:rPr>
            <w:drawing>
              <wp:inline distT="0" distB="0" distL="0" distR="0">
                <wp:extent cx="900000" cy="10327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KO_sublogo_4c_50_0_100_0.emf"/>
                        <pic:cNvPicPr/>
                      </pic:nvPicPr>
                      <pic:blipFill>
                        <a:blip r:embed="rId1">
                          <a:extLst>
                            <a:ext uri="{28A0092B-C50C-407E-A947-70E740481C1C}">
                              <a14:useLocalDpi xmlns:a14="http://schemas.microsoft.com/office/drawing/2010/main" val="0"/>
                            </a:ext>
                          </a:extLst>
                        </a:blip>
                        <a:stretch>
                          <a:fillRect/>
                        </a:stretch>
                      </pic:blipFill>
                      <pic:spPr>
                        <a:xfrm>
                          <a:off x="0" y="0"/>
                          <a:ext cx="900000" cy="103279"/>
                        </a:xfrm>
                        <a:prstGeom prst="rect">
                          <a:avLst/>
                        </a:prstGeom>
                      </pic:spPr>
                    </pic:pic>
                  </a:graphicData>
                </a:graphic>
              </wp:inline>
            </w:drawing>
          </w:r>
          <w:r>
            <w:t xml:space="preserve"> </w:t>
          </w:r>
        </w:p>
      </w:tc>
      <w:tc>
        <w:tcPr>
          <w:tcW w:w="4216" w:type="pct"/>
        </w:tcPr>
        <w:p>
          <w:pPr>
            <w:pStyle w:val="Header"/>
            <w:jc w:val="right"/>
            <w:rPr>
              <w:lang w:val="en-GB"/>
            </w:rPr>
          </w:pPr>
          <w:r>
            <w:rPr>
              <w:lang w:val="en-GB"/>
            </w:rPr>
            <w:t>Preparation of the 2nd EU biennial report</w:t>
          </w:r>
        </w:p>
      </w:tc>
    </w:tr>
  </w:tbl>
  <w:p>
    <w:pPr>
      <w:pStyle w:val="Header"/>
      <w:rPr>
        <w:lang w:val="en-GB"/>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11"/>
      <w:gridCol w:w="8128"/>
    </w:tblGrid>
    <w:tr>
      <w:tc>
        <w:tcPr>
          <w:tcW w:w="784" w:type="pct"/>
        </w:tcPr>
        <w:p>
          <w:pPr>
            <w:pStyle w:val="Header"/>
          </w:pPr>
          <w:r>
            <w:rPr>
              <w:noProof/>
              <w:lang w:val="en-US"/>
            </w:rPr>
            <w:drawing>
              <wp:inline distT="0" distB="0" distL="0" distR="0">
                <wp:extent cx="900000" cy="103279"/>
                <wp:effectExtent l="0" t="0" r="0" b="0"/>
                <wp:docPr id="2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KO_sublogo_4c_50_0_100_0.emf"/>
                        <pic:cNvPicPr/>
                      </pic:nvPicPr>
                      <pic:blipFill>
                        <a:blip r:embed="rId1">
                          <a:extLst>
                            <a:ext uri="{28A0092B-C50C-407E-A947-70E740481C1C}">
                              <a14:useLocalDpi xmlns:a14="http://schemas.microsoft.com/office/drawing/2010/main" val="0"/>
                            </a:ext>
                          </a:extLst>
                        </a:blip>
                        <a:stretch>
                          <a:fillRect/>
                        </a:stretch>
                      </pic:blipFill>
                      <pic:spPr>
                        <a:xfrm>
                          <a:off x="0" y="0"/>
                          <a:ext cx="900000" cy="103279"/>
                        </a:xfrm>
                        <a:prstGeom prst="rect">
                          <a:avLst/>
                        </a:prstGeom>
                      </pic:spPr>
                    </pic:pic>
                  </a:graphicData>
                </a:graphic>
              </wp:inline>
            </w:drawing>
          </w:r>
          <w:r>
            <w:t xml:space="preserve"> </w:t>
          </w:r>
        </w:p>
      </w:tc>
      <w:tc>
        <w:tcPr>
          <w:tcW w:w="4216" w:type="pct"/>
        </w:tcPr>
        <w:p>
          <w:pPr>
            <w:pStyle w:val="Header"/>
            <w:jc w:val="right"/>
            <w:rPr>
              <w:lang w:val="en-GB"/>
            </w:rPr>
          </w:pPr>
          <w:r>
            <w:rPr>
              <w:lang w:val="en-GB"/>
            </w:rPr>
            <w:t>Preparation of the 2nd EU biennial report</w:t>
          </w:r>
        </w:p>
      </w:tc>
    </w:tr>
  </w:tbl>
  <w:p>
    <w:pPr>
      <w:pStyle w:val="Header"/>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24"/>
      <w:gridCol w:w="11958"/>
    </w:tblGrid>
    <w:tr>
      <w:tc>
        <w:tcPr>
          <w:tcW w:w="784" w:type="pct"/>
        </w:tcPr>
        <w:p>
          <w:pPr>
            <w:pStyle w:val="Header"/>
          </w:pPr>
          <w:r>
            <w:rPr>
              <w:noProof/>
              <w:lang w:val="en-US"/>
            </w:rPr>
            <w:drawing>
              <wp:inline distT="0" distB="0" distL="0" distR="0">
                <wp:extent cx="900000" cy="103279"/>
                <wp:effectExtent l="0" t="0" r="0" b="0"/>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KO_sublogo_4c_50_0_100_0.emf"/>
                        <pic:cNvPicPr/>
                      </pic:nvPicPr>
                      <pic:blipFill>
                        <a:blip r:embed="rId1">
                          <a:extLst>
                            <a:ext uri="{28A0092B-C50C-407E-A947-70E740481C1C}">
                              <a14:useLocalDpi xmlns:a14="http://schemas.microsoft.com/office/drawing/2010/main" val="0"/>
                            </a:ext>
                          </a:extLst>
                        </a:blip>
                        <a:stretch>
                          <a:fillRect/>
                        </a:stretch>
                      </pic:blipFill>
                      <pic:spPr>
                        <a:xfrm>
                          <a:off x="0" y="0"/>
                          <a:ext cx="900000" cy="103279"/>
                        </a:xfrm>
                        <a:prstGeom prst="rect">
                          <a:avLst/>
                        </a:prstGeom>
                      </pic:spPr>
                    </pic:pic>
                  </a:graphicData>
                </a:graphic>
              </wp:inline>
            </w:drawing>
          </w:r>
          <w:r>
            <w:t xml:space="preserve"> </w:t>
          </w:r>
        </w:p>
      </w:tc>
      <w:tc>
        <w:tcPr>
          <w:tcW w:w="4216" w:type="pct"/>
        </w:tcPr>
        <w:p>
          <w:pPr>
            <w:pStyle w:val="Header"/>
            <w:jc w:val="right"/>
            <w:rPr>
              <w:lang w:val="en-GB"/>
            </w:rPr>
          </w:pPr>
          <w:r>
            <w:rPr>
              <w:lang w:val="en-GB"/>
            </w:rPr>
            <w:t>Preparation of the 2nd EU biennial report</w:t>
          </w:r>
        </w:p>
      </w:tc>
    </w:tr>
  </w:tbl>
  <w:p>
    <w:pPr>
      <w:pStyle w:val="Header"/>
      <w:rPr>
        <w:lang w:val="en-GB"/>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031" w:type="pct"/>
      <w:tblInd w:w="142"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11"/>
      <w:gridCol w:w="2044"/>
    </w:tblGrid>
    <w:tr>
      <w:tc>
        <w:tcPr>
          <w:tcW w:w="1930" w:type="pct"/>
          <w:vAlign w:val="bottom"/>
        </w:tcPr>
        <w:p>
          <w:pPr>
            <w:pStyle w:val="Header"/>
          </w:pPr>
          <w:r>
            <w:rPr>
              <w:noProof/>
              <w:lang w:val="en-US"/>
            </w:rPr>
            <w:drawing>
              <wp:inline distT="0" distB="0" distL="0" distR="0">
                <wp:extent cx="896400" cy="122400"/>
                <wp:effectExtent l="0" t="0" r="0" b="0"/>
                <wp:docPr id="13"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KO_sublogo_4c_50_0_100_0.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896400" cy="12240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tc>
      <w:tc>
        <w:tcPr>
          <w:tcW w:w="3070" w:type="pct"/>
          <w:vAlign w:val="bottom"/>
        </w:tcPr>
        <w:p>
          <w:pPr>
            <w:pStyle w:val="Header"/>
            <w:ind w:right="567"/>
            <w:jc w:val="right"/>
            <w:rPr>
              <w:lang w:val="en-GB"/>
            </w:rPr>
          </w:pPr>
          <w:r>
            <w:rPr>
              <w:lang w:val="en-GB"/>
            </w:rPr>
            <w:t>Preparation of the 2nd EU biennial report</w:t>
          </w:r>
        </w:p>
      </w:tc>
    </w:tr>
  </w:tbl>
  <w:p>
    <w:pPr>
      <w:pStyle w:val="Header"/>
      <w:rPr>
        <w:lang w:val="en-G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031" w:type="pct"/>
      <w:tblInd w:w="142"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62"/>
      <w:gridCol w:w="3917"/>
    </w:tblGrid>
    <w:tr>
      <w:tc>
        <w:tcPr>
          <w:tcW w:w="1930" w:type="pct"/>
          <w:vAlign w:val="bottom"/>
        </w:tcPr>
        <w:p>
          <w:pPr>
            <w:pStyle w:val="Header"/>
          </w:pPr>
          <w:r>
            <w:rPr>
              <w:noProof/>
              <w:lang w:val="en-US"/>
            </w:rPr>
            <w:drawing>
              <wp:inline distT="0" distB="0" distL="0" distR="0">
                <wp:extent cx="896400" cy="122400"/>
                <wp:effectExtent l="0" t="0" r="0" b="0"/>
                <wp:docPr id="15"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KO_sublogo_4c_50_0_100_0.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896400" cy="12240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tc>
      <w:tc>
        <w:tcPr>
          <w:tcW w:w="3070" w:type="pct"/>
          <w:vAlign w:val="bottom"/>
        </w:tcPr>
        <w:p>
          <w:pPr>
            <w:pStyle w:val="Header"/>
            <w:ind w:right="567"/>
            <w:jc w:val="right"/>
            <w:rPr>
              <w:lang w:val="en-GB"/>
            </w:rPr>
          </w:pPr>
          <w:r>
            <w:rPr>
              <w:lang w:val="en-GB"/>
            </w:rPr>
            <w:t>Preparation of the 2nd EU biennial report</w:t>
          </w:r>
        </w:p>
      </w:tc>
    </w:tr>
  </w:tbl>
  <w:p>
    <w:pPr>
      <w:pStyle w:val="Header"/>
      <w:rPr>
        <w:lang w:val="en-G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F0295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CEB0DA32"/>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CA300EF"/>
    <w:multiLevelType w:val="multilevel"/>
    <w:tmpl w:val="563ED9BE"/>
    <w:styleLink w:val="Aufzhlungerweitert"/>
    <w:lvl w:ilvl="0">
      <w:start w:val="1"/>
      <w:numFmt w:val="bullet"/>
      <w:pStyle w:val="Aufzhlung1I"/>
      <w:lvlText w:val=""/>
      <w:lvlJc w:val="left"/>
      <w:pPr>
        <w:ind w:left="227" w:hanging="227"/>
      </w:pPr>
      <w:rPr>
        <w:rFonts w:ascii="Symbol" w:hAnsi="Symbol" w:cs="Times New Roman" w:hint="default"/>
        <w:color w:val="006AA4" w:themeColor="accent1"/>
        <w:sz w:val="18"/>
        <w:szCs w:val="18"/>
      </w:rPr>
    </w:lvl>
    <w:lvl w:ilvl="1">
      <w:start w:val="1"/>
      <w:numFmt w:val="bullet"/>
      <w:pStyle w:val="Aufzhlung2I"/>
      <w:lvlText w:val="‒"/>
      <w:lvlJc w:val="left"/>
      <w:pPr>
        <w:ind w:left="454" w:hanging="227"/>
      </w:pPr>
      <w:rPr>
        <w:rFonts w:ascii="Arial" w:hAnsi="Arial" w:cs="Arial" w:hint="default"/>
        <w:color w:val="006AA4" w:themeColor="accent1"/>
        <w:sz w:val="22"/>
      </w:rPr>
    </w:lvl>
    <w:lvl w:ilvl="2">
      <w:start w:val="1"/>
      <w:numFmt w:val="bullet"/>
      <w:lvlText w:val=""/>
      <w:lvlJc w:val="left"/>
      <w:pPr>
        <w:ind w:left="681" w:hanging="227"/>
      </w:pPr>
      <w:rPr>
        <w:rFonts w:ascii="Symbol" w:hAnsi="Symbol" w:cs="Symbol" w:hint="default"/>
        <w:color w:val="006AA4" w:themeColor="accent1"/>
        <w:sz w:val="18"/>
        <w:szCs w:val="22"/>
      </w:rPr>
    </w:lvl>
    <w:lvl w:ilvl="3">
      <w:start w:val="1"/>
      <w:numFmt w:val="bullet"/>
      <w:lvlText w:val="‒"/>
      <w:lvlJc w:val="left"/>
      <w:pPr>
        <w:ind w:left="908" w:hanging="227"/>
      </w:pPr>
      <w:rPr>
        <w:rFonts w:ascii="Arial" w:hAnsi="Arial" w:cs="Arial" w:hint="default"/>
        <w:color w:val="006AA4" w:themeColor="accent1"/>
      </w:rPr>
    </w:lvl>
    <w:lvl w:ilvl="4">
      <w:start w:val="1"/>
      <w:numFmt w:val="bullet"/>
      <w:lvlText w:val=""/>
      <w:lvlJc w:val="left"/>
      <w:pPr>
        <w:ind w:left="1135" w:hanging="227"/>
      </w:pPr>
      <w:rPr>
        <w:rFonts w:ascii="Symbol" w:hAnsi="Symbol" w:cs="Times New Roman" w:hint="default"/>
        <w:color w:val="006AA4" w:themeColor="accent1"/>
        <w:sz w:val="18"/>
        <w:szCs w:val="18"/>
      </w:rPr>
    </w:lvl>
    <w:lvl w:ilvl="5">
      <w:start w:val="1"/>
      <w:numFmt w:val="bullet"/>
      <w:lvlText w:val="‒"/>
      <w:lvlJc w:val="left"/>
      <w:pPr>
        <w:ind w:left="1362" w:hanging="227"/>
      </w:pPr>
      <w:rPr>
        <w:rFonts w:ascii="Arial" w:hAnsi="Arial" w:cs="Arial" w:hint="default"/>
        <w:color w:val="006AA4" w:themeColor="accent1"/>
        <w:szCs w:val="22"/>
      </w:rPr>
    </w:lvl>
    <w:lvl w:ilvl="6">
      <w:start w:val="1"/>
      <w:numFmt w:val="bullet"/>
      <w:lvlText w:val=""/>
      <w:lvlJc w:val="left"/>
      <w:pPr>
        <w:ind w:left="1589" w:hanging="227"/>
      </w:pPr>
      <w:rPr>
        <w:rFonts w:ascii="Symbol" w:hAnsi="Symbol" w:hint="default"/>
        <w:color w:val="006AA4" w:themeColor="accent1"/>
        <w:sz w:val="18"/>
      </w:rPr>
    </w:lvl>
    <w:lvl w:ilvl="7">
      <w:start w:val="1"/>
      <w:numFmt w:val="bullet"/>
      <w:lvlText w:val="‒"/>
      <w:lvlJc w:val="left"/>
      <w:pPr>
        <w:ind w:left="1816" w:hanging="227"/>
      </w:pPr>
      <w:rPr>
        <w:rFonts w:ascii="Arial" w:hAnsi="Arial" w:cs="Courier New" w:hint="default"/>
        <w:color w:val="006AA4" w:themeColor="accent1"/>
      </w:rPr>
    </w:lvl>
    <w:lvl w:ilvl="8">
      <w:start w:val="1"/>
      <w:numFmt w:val="bullet"/>
      <w:lvlText w:val=""/>
      <w:lvlJc w:val="left"/>
      <w:pPr>
        <w:ind w:left="2043" w:hanging="227"/>
      </w:pPr>
      <w:rPr>
        <w:rFonts w:ascii="Symbol" w:hAnsi="Symbol" w:cs="Times New Roman" w:hint="default"/>
        <w:color w:val="006AA4" w:themeColor="accent1"/>
        <w:sz w:val="18"/>
        <w:szCs w:val="22"/>
      </w:rPr>
    </w:lvl>
  </w:abstractNum>
  <w:abstractNum w:abstractNumId="3">
    <w:nsid w:val="1178517B"/>
    <w:multiLevelType w:val="hybridMultilevel"/>
    <w:tmpl w:val="F3FA8166"/>
    <w:lvl w:ilvl="0" w:tplc="3E56EDDE">
      <w:start w:val="1"/>
      <w:numFmt w:val="upperRoman"/>
      <w:pStyle w:val="RmischI"/>
      <w:lvlText w:val="Anhang %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6DE019D"/>
    <w:multiLevelType w:val="multilevel"/>
    <w:tmpl w:val="71180E52"/>
    <w:styleLink w:val="Listeblauerweitert"/>
    <w:lvl w:ilvl="0">
      <w:start w:val="1"/>
      <w:numFmt w:val="decimal"/>
      <w:lvlText w:val="%1."/>
      <w:lvlJc w:val="left"/>
      <w:pPr>
        <w:ind w:left="360" w:hanging="360"/>
      </w:pPr>
      <w:rPr>
        <w:rFonts w:cs="Arial" w:hint="default"/>
        <w:color w:val="006AA4" w:themeColor="accent1"/>
      </w:rPr>
    </w:lvl>
    <w:lvl w:ilvl="1">
      <w:start w:val="1"/>
      <w:numFmt w:val="lowerLetter"/>
      <w:lvlText w:val="%2)"/>
      <w:lvlJc w:val="left"/>
      <w:pPr>
        <w:ind w:left="720" w:hanging="360"/>
      </w:pPr>
      <w:rPr>
        <w:rFonts w:cs="Arial" w:hint="default"/>
        <w:color w:val="006AA4" w:themeColor="accent1"/>
      </w:rPr>
    </w:lvl>
    <w:lvl w:ilvl="2">
      <w:start w:val="1"/>
      <w:numFmt w:val="bullet"/>
      <w:lvlText w:val=""/>
      <w:lvlJc w:val="left"/>
      <w:pPr>
        <w:ind w:left="1080" w:hanging="360"/>
      </w:pPr>
      <w:rPr>
        <w:rFonts w:ascii="Symbol" w:hAnsi="Symbol" w:cs="Symbol" w:hint="default"/>
        <w:color w:val="006AA4" w:themeColor="accent1"/>
        <w:sz w:val="20"/>
        <w:szCs w:val="18"/>
      </w:rPr>
    </w:lvl>
    <w:lvl w:ilvl="3">
      <w:start w:val="1"/>
      <w:numFmt w:val="bullet"/>
      <w:lvlText w:val="‒"/>
      <w:lvlJc w:val="left"/>
      <w:pPr>
        <w:ind w:left="1440" w:hanging="360"/>
      </w:pPr>
      <w:rPr>
        <w:rFonts w:ascii="Arial" w:hAnsi="Arial" w:cs="Arial" w:hint="default"/>
        <w:color w:val="006AA4" w:themeColor="accent1"/>
      </w:rPr>
    </w:lvl>
    <w:lvl w:ilvl="4">
      <w:start w:val="1"/>
      <w:numFmt w:val="bullet"/>
      <w:lvlText w:val=""/>
      <w:lvlJc w:val="left"/>
      <w:pPr>
        <w:ind w:left="1800" w:hanging="360"/>
      </w:pPr>
      <w:rPr>
        <w:rFonts w:ascii="Symbol" w:hAnsi="Symbol" w:cs="Symbol" w:hint="default"/>
        <w:color w:val="006AA4" w:themeColor="accent1"/>
        <w:sz w:val="20"/>
      </w:rPr>
    </w:lvl>
    <w:lvl w:ilvl="5">
      <w:start w:val="1"/>
      <w:numFmt w:val="bullet"/>
      <w:lvlText w:val="‒"/>
      <w:lvlJc w:val="left"/>
      <w:pPr>
        <w:ind w:left="2160" w:hanging="360"/>
      </w:pPr>
      <w:rPr>
        <w:rFonts w:ascii="Arial" w:hAnsi="Arial" w:cs="Arial" w:hint="default"/>
        <w:color w:val="006AA4" w:themeColor="accent1"/>
      </w:rPr>
    </w:lvl>
    <w:lvl w:ilvl="6">
      <w:start w:val="1"/>
      <w:numFmt w:val="bullet"/>
      <w:lvlText w:val=""/>
      <w:lvlJc w:val="left"/>
      <w:pPr>
        <w:ind w:left="2520" w:hanging="360"/>
      </w:pPr>
      <w:rPr>
        <w:rFonts w:ascii="Symbol" w:hAnsi="Symbol" w:cs="Symbol" w:hint="default"/>
        <w:color w:val="006AA4" w:themeColor="accent1"/>
        <w:sz w:val="20"/>
      </w:rPr>
    </w:lvl>
    <w:lvl w:ilvl="7">
      <w:start w:val="1"/>
      <w:numFmt w:val="bullet"/>
      <w:lvlText w:val="‒"/>
      <w:lvlJc w:val="left"/>
      <w:pPr>
        <w:ind w:left="2880" w:hanging="360"/>
      </w:pPr>
      <w:rPr>
        <w:rFonts w:ascii="Arial" w:hAnsi="Arial" w:cs="Arial" w:hint="default"/>
        <w:color w:val="006AA4" w:themeColor="accent1"/>
      </w:rPr>
    </w:lvl>
    <w:lvl w:ilvl="8">
      <w:start w:val="1"/>
      <w:numFmt w:val="bullet"/>
      <w:lvlText w:val=""/>
      <w:lvlJc w:val="left"/>
      <w:pPr>
        <w:ind w:left="3240" w:hanging="360"/>
      </w:pPr>
      <w:rPr>
        <w:rFonts w:ascii="Symbol" w:hAnsi="Symbol" w:cs="Symbol" w:hint="default"/>
        <w:color w:val="006AA4" w:themeColor="accent1"/>
        <w:sz w:val="20"/>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5E7D32"/>
    <w:multiLevelType w:val="multilevel"/>
    <w:tmpl w:val="563ED9BE"/>
    <w:numStyleLink w:val="Aufzhlungerweitert"/>
  </w:abstractNum>
  <w:abstractNum w:abstractNumId="8">
    <w:nsid w:val="299E502D"/>
    <w:multiLevelType w:val="multilevel"/>
    <w:tmpl w:val="50E266F0"/>
    <w:lvl w:ilvl="0">
      <w:start w:val="1"/>
      <w:numFmt w:val="lowerLetter"/>
      <w:pStyle w:val="ListeabcI"/>
      <w:lvlText w:val="%1)"/>
      <w:lvlJc w:val="left"/>
      <w:pPr>
        <w:ind w:left="454" w:hanging="454"/>
      </w:pPr>
      <w:rPr>
        <w:rFonts w:ascii="Arial" w:hAnsi="Arial" w:hint="default"/>
        <w:sz w:val="22"/>
      </w:rPr>
    </w:lvl>
    <w:lvl w:ilvl="1">
      <w:start w:val="1"/>
      <w:numFmt w:val="bullet"/>
      <w:lvlText w:val=""/>
      <w:lvlJc w:val="left"/>
      <w:pPr>
        <w:ind w:left="680" w:hanging="226"/>
      </w:pPr>
      <w:rPr>
        <w:rFonts w:ascii="Symbol" w:hAnsi="Symbol" w:cs="Times New Roman" w:hint="default"/>
        <w:color w:val="006AA4" w:themeColor="accent1"/>
        <w:sz w:val="18"/>
        <w:szCs w:val="18"/>
      </w:rPr>
    </w:lvl>
    <w:lvl w:ilvl="2">
      <w:start w:val="1"/>
      <w:numFmt w:val="bullet"/>
      <w:lvlText w:val="‒"/>
      <w:lvlJc w:val="left"/>
      <w:pPr>
        <w:ind w:left="907" w:hanging="227"/>
      </w:pPr>
      <w:rPr>
        <w:rFonts w:ascii="Arial" w:hAnsi="Arial" w:cs="Times New Roman" w:hint="default"/>
        <w:color w:val="006AA4" w:themeColor="accent1"/>
        <w:sz w:val="22"/>
        <w:szCs w:val="18"/>
      </w:rPr>
    </w:lvl>
    <w:lvl w:ilvl="3">
      <w:start w:val="1"/>
      <w:numFmt w:val="bullet"/>
      <w:lvlText w:val=""/>
      <w:lvlJc w:val="left"/>
      <w:pPr>
        <w:ind w:left="1134" w:hanging="227"/>
      </w:pPr>
      <w:rPr>
        <w:rFonts w:ascii="Symbol" w:hAnsi="Symbol" w:cs="Arial" w:hint="default"/>
        <w:color w:val="006AA4" w:themeColor="accent1"/>
        <w:sz w:val="18"/>
        <w:szCs w:val="18"/>
      </w:rPr>
    </w:lvl>
    <w:lvl w:ilvl="4">
      <w:start w:val="1"/>
      <w:numFmt w:val="bullet"/>
      <w:lvlText w:val="‒"/>
      <w:lvlJc w:val="left"/>
      <w:pPr>
        <w:ind w:left="1361" w:hanging="227"/>
      </w:pPr>
      <w:rPr>
        <w:rFonts w:ascii="Arial" w:hAnsi="Arial" w:cs="Arial" w:hint="default"/>
        <w:color w:val="006AA4" w:themeColor="accent1"/>
        <w:szCs w:val="22"/>
      </w:rPr>
    </w:lvl>
    <w:lvl w:ilvl="5">
      <w:start w:val="1"/>
      <w:numFmt w:val="bullet"/>
      <w:lvlText w:val=""/>
      <w:lvlJc w:val="left"/>
      <w:pPr>
        <w:ind w:left="1588" w:hanging="227"/>
      </w:pPr>
      <w:rPr>
        <w:rFonts w:ascii="Symbol" w:hAnsi="Symbol" w:cs="Symbol" w:hint="default"/>
        <w:color w:val="006AA4" w:themeColor="accent1"/>
        <w:sz w:val="18"/>
      </w:rPr>
    </w:lvl>
    <w:lvl w:ilvl="6">
      <w:start w:val="1"/>
      <w:numFmt w:val="bullet"/>
      <w:lvlText w:val="‒"/>
      <w:lvlJc w:val="left"/>
      <w:pPr>
        <w:ind w:left="1814" w:hanging="226"/>
      </w:pPr>
      <w:rPr>
        <w:rFonts w:ascii="Arial" w:hAnsi="Arial" w:cs="Arial" w:hint="default"/>
        <w:color w:val="006AA4" w:themeColor="accent1"/>
        <w:szCs w:val="22"/>
      </w:rPr>
    </w:lvl>
    <w:lvl w:ilvl="7">
      <w:start w:val="1"/>
      <w:numFmt w:val="bullet"/>
      <w:lvlText w:val=""/>
      <w:lvlJc w:val="left"/>
      <w:pPr>
        <w:ind w:left="2041" w:hanging="227"/>
      </w:pPr>
      <w:rPr>
        <w:rFonts w:ascii="Symbol" w:hAnsi="Symbol" w:cs="Symbol" w:hint="default"/>
        <w:color w:val="006AA4" w:themeColor="accent1"/>
        <w:sz w:val="18"/>
      </w:rPr>
    </w:lvl>
    <w:lvl w:ilvl="8">
      <w:start w:val="1"/>
      <w:numFmt w:val="bullet"/>
      <w:lvlText w:val="‒"/>
      <w:lvlJc w:val="left"/>
      <w:pPr>
        <w:ind w:left="2268" w:hanging="227"/>
      </w:pPr>
      <w:rPr>
        <w:rFonts w:ascii="Arial" w:hAnsi="Arial" w:cs="Arial" w:hint="default"/>
        <w:color w:val="006AA4" w:themeColor="accent1"/>
        <w:szCs w:val="22"/>
      </w:rPr>
    </w:lvl>
  </w:abstractNum>
  <w:abstractNum w:abstractNumId="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nsid w:val="2BC84CD3"/>
    <w:multiLevelType w:val="multilevel"/>
    <w:tmpl w:val="ADA040B4"/>
    <w:lvl w:ilvl="0">
      <w:start w:val="1"/>
      <w:numFmt w:val="decimal"/>
      <w:pStyle w:val="Heading1"/>
      <w:isLgl/>
      <w:lvlText w:val="%1."/>
      <w:lvlJc w:val="left"/>
      <w:pPr>
        <w:tabs>
          <w:tab w:val="num" w:pos="454"/>
        </w:tabs>
        <w:ind w:left="454" w:hanging="454"/>
      </w:pPr>
      <w:rPr>
        <w:rFonts w:ascii="Arial" w:hAnsi="Arial" w:hint="default"/>
      </w:rPr>
    </w:lvl>
    <w:lvl w:ilvl="1">
      <w:start w:val="1"/>
      <w:numFmt w:val="decimal"/>
      <w:pStyle w:val="Heading2"/>
      <w:lvlText w:val="%1.%2."/>
      <w:lvlJc w:val="left"/>
      <w:pPr>
        <w:tabs>
          <w:tab w:val="num" w:pos="737"/>
        </w:tabs>
        <w:ind w:left="737" w:hanging="737"/>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6" w:hanging="1136"/>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7C41897"/>
    <w:multiLevelType w:val="multilevel"/>
    <w:tmpl w:val="B89A7F12"/>
    <w:lvl w:ilvl="0">
      <w:start w:val="1"/>
      <w:numFmt w:val="decimal"/>
      <w:pStyle w:val="Listeblau123I"/>
      <w:lvlText w:val="%1."/>
      <w:lvlJc w:val="left"/>
      <w:pPr>
        <w:ind w:left="454" w:hanging="454"/>
      </w:pPr>
      <w:rPr>
        <w:rFonts w:cs="Arial" w:hint="default"/>
        <w:color w:val="006AA4" w:themeColor="accent1"/>
      </w:rPr>
    </w:lvl>
    <w:lvl w:ilvl="1">
      <w:start w:val="1"/>
      <w:numFmt w:val="lowerLetter"/>
      <w:lvlText w:val="%2)"/>
      <w:lvlJc w:val="left"/>
      <w:pPr>
        <w:ind w:left="907" w:hanging="453"/>
      </w:pPr>
      <w:rPr>
        <w:rFonts w:cs="Arial" w:hint="default"/>
        <w:color w:val="006AA4" w:themeColor="accent1"/>
      </w:rPr>
    </w:lvl>
    <w:lvl w:ilvl="2">
      <w:start w:val="1"/>
      <w:numFmt w:val="bullet"/>
      <w:lvlText w:val=""/>
      <w:lvlJc w:val="left"/>
      <w:pPr>
        <w:tabs>
          <w:tab w:val="num" w:pos="907"/>
        </w:tabs>
        <w:ind w:left="1134" w:hanging="227"/>
      </w:pPr>
      <w:rPr>
        <w:rFonts w:ascii="Symbol" w:hAnsi="Symbol" w:cs="Times New Roman" w:hint="default"/>
        <w:color w:val="006AA4" w:themeColor="accent1"/>
        <w:sz w:val="20"/>
        <w:szCs w:val="18"/>
      </w:rPr>
    </w:lvl>
    <w:lvl w:ilvl="3">
      <w:start w:val="1"/>
      <w:numFmt w:val="bullet"/>
      <w:lvlText w:val="‒"/>
      <w:lvlJc w:val="left"/>
      <w:pPr>
        <w:ind w:left="1361" w:hanging="227"/>
      </w:pPr>
      <w:rPr>
        <w:rFonts w:ascii="Arial" w:hAnsi="Arial" w:cs="Arial" w:hint="default"/>
        <w:color w:val="006AA4" w:themeColor="accent1"/>
      </w:rPr>
    </w:lvl>
    <w:lvl w:ilvl="4">
      <w:start w:val="1"/>
      <w:numFmt w:val="bullet"/>
      <w:lvlText w:val=""/>
      <w:lvlJc w:val="left"/>
      <w:pPr>
        <w:ind w:left="1588" w:hanging="227"/>
      </w:pPr>
      <w:rPr>
        <w:rFonts w:ascii="Symbol" w:hAnsi="Symbol" w:cs="Times New Roman" w:hint="default"/>
        <w:color w:val="006AA4" w:themeColor="accent1"/>
        <w:sz w:val="20"/>
        <w:szCs w:val="20"/>
      </w:rPr>
    </w:lvl>
    <w:lvl w:ilvl="5">
      <w:start w:val="1"/>
      <w:numFmt w:val="bullet"/>
      <w:lvlText w:val="‒"/>
      <w:lvlJc w:val="left"/>
      <w:pPr>
        <w:ind w:left="1928" w:hanging="227"/>
      </w:pPr>
      <w:rPr>
        <w:rFonts w:ascii="Arial" w:hAnsi="Arial" w:cs="Arial" w:hint="default"/>
        <w:color w:val="006AA4" w:themeColor="accent1"/>
      </w:rPr>
    </w:lvl>
    <w:lvl w:ilvl="6">
      <w:start w:val="1"/>
      <w:numFmt w:val="bullet"/>
      <w:lvlText w:val=""/>
      <w:lvlJc w:val="left"/>
      <w:pPr>
        <w:ind w:left="2155" w:hanging="227"/>
      </w:pPr>
      <w:rPr>
        <w:rFonts w:ascii="Symbol" w:hAnsi="Symbol" w:cs="Times New Roman" w:hint="default"/>
        <w:color w:val="006AA4" w:themeColor="accent1"/>
        <w:sz w:val="20"/>
        <w:szCs w:val="20"/>
      </w:rPr>
    </w:lvl>
    <w:lvl w:ilvl="7">
      <w:start w:val="1"/>
      <w:numFmt w:val="bullet"/>
      <w:lvlText w:val="‒"/>
      <w:lvlJc w:val="left"/>
      <w:pPr>
        <w:ind w:left="2381" w:hanging="226"/>
      </w:pPr>
      <w:rPr>
        <w:rFonts w:ascii="Arial" w:hAnsi="Arial" w:cs="Arial" w:hint="default"/>
        <w:color w:val="006AA4" w:themeColor="accent1"/>
      </w:rPr>
    </w:lvl>
    <w:lvl w:ilvl="8">
      <w:start w:val="1"/>
      <w:numFmt w:val="bullet"/>
      <w:lvlText w:val=""/>
      <w:lvlJc w:val="left"/>
      <w:pPr>
        <w:ind w:left="3240" w:hanging="360"/>
      </w:pPr>
      <w:rPr>
        <w:rFonts w:ascii="Symbol" w:hAnsi="Symbol" w:cs="Symbol" w:hint="default"/>
        <w:color w:val="006AA4" w:themeColor="accent1"/>
        <w:sz w:val="20"/>
      </w:rPr>
    </w:lvl>
  </w:abstractNum>
  <w:abstractNum w:abstractNumId="1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40DB4301"/>
    <w:multiLevelType w:val="multilevel"/>
    <w:tmpl w:val="C5C25188"/>
    <w:styleLink w:val="Listeaerweitert"/>
    <w:lvl w:ilvl="0">
      <w:start w:val="1"/>
      <w:numFmt w:val="lowerLetter"/>
      <w:lvlText w:val="%1)"/>
      <w:lvlJc w:val="left"/>
      <w:pPr>
        <w:ind w:left="454" w:hanging="454"/>
      </w:pPr>
      <w:rPr>
        <w:rFonts w:ascii="Arial" w:hAnsi="Arial" w:hint="default"/>
        <w:sz w:val="22"/>
      </w:rPr>
    </w:lvl>
    <w:lvl w:ilvl="1">
      <w:start w:val="1"/>
      <w:numFmt w:val="bullet"/>
      <w:lvlText w:val=""/>
      <w:lvlJc w:val="left"/>
      <w:pPr>
        <w:ind w:left="1440" w:hanging="360"/>
      </w:pPr>
      <w:rPr>
        <w:rFonts w:ascii="Symbol" w:hAnsi="Symbol" w:cs="Times New Roman" w:hint="default"/>
        <w:color w:val="006AA4" w:themeColor="accent1"/>
        <w:sz w:val="18"/>
        <w:szCs w:val="18"/>
      </w:rPr>
    </w:lvl>
    <w:lvl w:ilvl="2">
      <w:start w:val="1"/>
      <w:numFmt w:val="bullet"/>
      <w:lvlText w:val="‒"/>
      <w:lvlJc w:val="left"/>
      <w:pPr>
        <w:ind w:left="2160" w:hanging="180"/>
      </w:pPr>
      <w:rPr>
        <w:rFonts w:ascii="Arial" w:hAnsi="Arial" w:cs="Times New Roman" w:hint="default"/>
        <w:color w:val="006AA4" w:themeColor="accent1"/>
        <w:sz w:val="22"/>
        <w:szCs w:val="18"/>
      </w:rPr>
    </w:lvl>
    <w:lvl w:ilvl="3">
      <w:start w:val="1"/>
      <w:numFmt w:val="bullet"/>
      <w:lvlText w:val=""/>
      <w:lvlJc w:val="left"/>
      <w:pPr>
        <w:ind w:left="2880" w:hanging="360"/>
      </w:pPr>
      <w:rPr>
        <w:rFonts w:ascii="Symbol" w:hAnsi="Symbol" w:cs="Arial" w:hint="default"/>
        <w:color w:val="006AA4" w:themeColor="accent1"/>
        <w:sz w:val="18"/>
        <w:szCs w:val="18"/>
      </w:rPr>
    </w:lvl>
    <w:lvl w:ilvl="4">
      <w:start w:val="1"/>
      <w:numFmt w:val="bullet"/>
      <w:lvlText w:val="‒"/>
      <w:lvlJc w:val="left"/>
      <w:pPr>
        <w:ind w:left="3600" w:hanging="360"/>
      </w:pPr>
      <w:rPr>
        <w:rFonts w:ascii="Arial" w:hAnsi="Arial" w:cs="Times New Roman" w:hint="default"/>
        <w:color w:val="006AA4" w:themeColor="accent1"/>
        <w:szCs w:val="18"/>
      </w:rPr>
    </w:lvl>
    <w:lvl w:ilvl="5">
      <w:start w:val="1"/>
      <w:numFmt w:val="bullet"/>
      <w:lvlText w:val=""/>
      <w:lvlJc w:val="left"/>
      <w:pPr>
        <w:ind w:left="4320" w:hanging="180"/>
      </w:pPr>
      <w:rPr>
        <w:rFonts w:ascii="Symbol" w:hAnsi="Symbol" w:cs="Times New Roman" w:hint="default"/>
        <w:color w:val="006AA4" w:themeColor="accent1"/>
      </w:rPr>
    </w:lvl>
    <w:lvl w:ilvl="6">
      <w:start w:val="1"/>
      <w:numFmt w:val="bullet"/>
      <w:lvlText w:val="‒"/>
      <w:lvlJc w:val="left"/>
      <w:pPr>
        <w:ind w:left="5040" w:hanging="360"/>
      </w:pPr>
      <w:rPr>
        <w:rFonts w:ascii="Arial" w:hAnsi="Arial" w:cs="Times New Roman" w:hint="default"/>
        <w:color w:val="006AA4" w:themeColor="accent1"/>
        <w:szCs w:val="18"/>
      </w:rPr>
    </w:lvl>
    <w:lvl w:ilvl="7">
      <w:start w:val="1"/>
      <w:numFmt w:val="bullet"/>
      <w:lvlText w:val=""/>
      <w:lvlJc w:val="left"/>
      <w:pPr>
        <w:ind w:left="5760" w:hanging="360"/>
      </w:pPr>
      <w:rPr>
        <w:rFonts w:ascii="Symbol" w:hAnsi="Symbol" w:cs="Times New Roman" w:hint="default"/>
        <w:color w:val="006AA4" w:themeColor="accent1"/>
        <w:sz w:val="18"/>
      </w:rPr>
    </w:lvl>
    <w:lvl w:ilvl="8">
      <w:start w:val="1"/>
      <w:numFmt w:val="bullet"/>
      <w:lvlText w:val="‒"/>
      <w:lvlJc w:val="left"/>
      <w:pPr>
        <w:ind w:left="6480" w:hanging="180"/>
      </w:pPr>
      <w:rPr>
        <w:rFonts w:ascii="Arial" w:hAnsi="Arial" w:cs="Times New Roman" w:hint="default"/>
        <w:color w:val="006AA4" w:themeColor="accent1"/>
        <w:szCs w:val="18"/>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46C82B60"/>
    <w:multiLevelType w:val="multilevel"/>
    <w:tmpl w:val="4A4A73DA"/>
    <w:styleLink w:val="Liste1erweitert"/>
    <w:lvl w:ilvl="0">
      <w:start w:val="1"/>
      <w:numFmt w:val="decimal"/>
      <w:lvlText w:val="%1."/>
      <w:lvlJc w:val="left"/>
      <w:pPr>
        <w:ind w:left="360" w:hanging="360"/>
      </w:pPr>
      <w:rPr>
        <w:rFonts w:cs="Arial" w:hint="default"/>
      </w:rPr>
    </w:lvl>
    <w:lvl w:ilvl="1">
      <w:start w:val="1"/>
      <w:numFmt w:val="lowerLetter"/>
      <w:lvlText w:val="%2)"/>
      <w:lvlJc w:val="left"/>
      <w:pPr>
        <w:ind w:left="720" w:hanging="360"/>
      </w:pPr>
      <w:rPr>
        <w:rFonts w:cs="Arial" w:hint="default"/>
      </w:rPr>
    </w:lvl>
    <w:lvl w:ilvl="2">
      <w:start w:val="1"/>
      <w:numFmt w:val="bullet"/>
      <w:lvlText w:val=""/>
      <w:lvlJc w:val="left"/>
      <w:pPr>
        <w:ind w:left="1080" w:hanging="360"/>
      </w:pPr>
      <w:rPr>
        <w:rFonts w:ascii="Symbol" w:hAnsi="Symbol" w:cs="Symbol" w:hint="default"/>
        <w:color w:val="006AA4" w:themeColor="accent1"/>
        <w:sz w:val="18"/>
        <w:szCs w:val="18"/>
      </w:rPr>
    </w:lvl>
    <w:lvl w:ilvl="3">
      <w:start w:val="1"/>
      <w:numFmt w:val="bullet"/>
      <w:lvlText w:val="‒"/>
      <w:lvlJc w:val="left"/>
      <w:pPr>
        <w:ind w:left="1440" w:hanging="360"/>
      </w:pPr>
      <w:rPr>
        <w:rFonts w:ascii="Arial" w:hAnsi="Arial" w:cs="Arial" w:hint="default"/>
        <w:color w:val="006AA4" w:themeColor="accent1"/>
      </w:rPr>
    </w:lvl>
    <w:lvl w:ilvl="4">
      <w:start w:val="1"/>
      <w:numFmt w:val="bullet"/>
      <w:lvlText w:val=""/>
      <w:lvlJc w:val="left"/>
      <w:pPr>
        <w:ind w:left="1800" w:hanging="360"/>
      </w:pPr>
      <w:rPr>
        <w:rFonts w:ascii="Symbol" w:hAnsi="Symbol" w:cs="Symbol" w:hint="default"/>
        <w:color w:val="006AA4" w:themeColor="accent1"/>
        <w:sz w:val="18"/>
        <w:szCs w:val="18"/>
      </w:rPr>
    </w:lvl>
    <w:lvl w:ilvl="5">
      <w:start w:val="1"/>
      <w:numFmt w:val="bullet"/>
      <w:lvlText w:val="‒"/>
      <w:lvlJc w:val="left"/>
      <w:pPr>
        <w:ind w:left="2160" w:hanging="360"/>
      </w:pPr>
      <w:rPr>
        <w:rFonts w:ascii="Arial" w:hAnsi="Arial" w:cs="Times New Roman" w:hint="default"/>
        <w:color w:val="006AA4" w:themeColor="accent1"/>
      </w:rPr>
    </w:lvl>
    <w:lvl w:ilvl="6">
      <w:start w:val="1"/>
      <w:numFmt w:val="bullet"/>
      <w:lvlText w:val=""/>
      <w:lvlJc w:val="left"/>
      <w:pPr>
        <w:ind w:left="2520" w:hanging="360"/>
      </w:pPr>
      <w:rPr>
        <w:rFonts w:ascii="Symbol" w:hAnsi="Symbol" w:cs="Symbol" w:hint="default"/>
        <w:color w:val="006AA4" w:themeColor="accent1"/>
        <w:sz w:val="18"/>
        <w:szCs w:val="18"/>
      </w:rPr>
    </w:lvl>
    <w:lvl w:ilvl="7">
      <w:start w:val="1"/>
      <w:numFmt w:val="bullet"/>
      <w:lvlText w:val="‒"/>
      <w:lvlJc w:val="left"/>
      <w:pPr>
        <w:ind w:left="2880" w:hanging="360"/>
      </w:pPr>
      <w:rPr>
        <w:rFonts w:ascii="Arial" w:hAnsi="Arial" w:cs="Arial" w:hint="default"/>
        <w:color w:val="006AA4" w:themeColor="accent1"/>
        <w:szCs w:val="20"/>
      </w:rPr>
    </w:lvl>
    <w:lvl w:ilvl="8">
      <w:start w:val="1"/>
      <w:numFmt w:val="bullet"/>
      <w:lvlText w:val=""/>
      <w:lvlJc w:val="left"/>
      <w:pPr>
        <w:ind w:left="3240" w:hanging="360"/>
      </w:pPr>
      <w:rPr>
        <w:rFonts w:ascii="Symbol" w:hAnsi="Symbol" w:cs="Symbol" w:hint="default"/>
        <w:color w:val="006AA4" w:themeColor="accent1"/>
        <w:sz w:val="18"/>
        <w:szCs w:val="18"/>
      </w:rPr>
    </w:lvl>
  </w:abstractNum>
  <w:abstractNum w:abstractNumId="20">
    <w:nsid w:val="4F523605"/>
    <w:multiLevelType w:val="hybridMultilevel"/>
    <w:tmpl w:val="8F60D356"/>
    <w:lvl w:ilvl="0" w:tplc="C14C3B0C">
      <w:start w:val="1"/>
      <w:numFmt w:val="upperRoman"/>
      <w:pStyle w:val="RomanI"/>
      <w:lvlText w:val="Annex %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39838D9"/>
    <w:multiLevelType w:val="multilevel"/>
    <w:tmpl w:val="B7D60576"/>
    <w:styleLink w:val="Gliederung"/>
    <w:lvl w:ilvl="0">
      <w:start w:val="1"/>
      <w:numFmt w:val="decimal"/>
      <w:isLgl/>
      <w:lvlText w:val="%1."/>
      <w:lvlJc w:val="left"/>
      <w:pPr>
        <w:ind w:left="284" w:hanging="284"/>
      </w:pPr>
      <w:rPr>
        <w:rFonts w:ascii="Arial" w:hAnsi="Arial" w:hint="default"/>
      </w:rPr>
    </w:lvl>
    <w:lvl w:ilvl="1">
      <w:start w:val="1"/>
      <w:numFmt w:val="decimal"/>
      <w:lvlText w:val="%1.%2."/>
      <w:lvlJc w:val="left"/>
      <w:pPr>
        <w:ind w:left="284"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2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3">
    <w:nsid w:val="5C690376"/>
    <w:multiLevelType w:val="hybridMultilevel"/>
    <w:tmpl w:val="41D87B72"/>
    <w:lvl w:ilvl="0" w:tplc="29B0B4F0">
      <w:start w:val="1"/>
      <w:numFmt w:val="upperRoman"/>
      <w:pStyle w:val="AnhangnummerierungI"/>
      <w:lvlText w:val="%1."/>
      <w:lvlJc w:val="left"/>
      <w:pPr>
        <w:tabs>
          <w:tab w:val="num" w:pos="454"/>
        </w:tabs>
        <w:ind w:left="454" w:hanging="45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1B80B36"/>
    <w:multiLevelType w:val="multilevel"/>
    <w:tmpl w:val="B6D6A6CC"/>
    <w:styleLink w:val="Tabellenliste"/>
    <w:lvl w:ilvl="0">
      <w:start w:val="1"/>
      <w:numFmt w:val="bullet"/>
      <w:lvlText w:val=""/>
      <w:lvlJc w:val="left"/>
      <w:pPr>
        <w:ind w:left="227" w:hanging="227"/>
      </w:pPr>
      <w:rPr>
        <w:rFonts w:ascii="Symbol" w:hAnsi="Symbol" w:cs="Symbol" w:hint="default"/>
        <w:color w:val="006AA4" w:themeColor="accent1"/>
        <w:sz w:val="18"/>
      </w:rPr>
    </w:lvl>
    <w:lvl w:ilvl="1">
      <w:start w:val="1"/>
      <w:numFmt w:val="bullet"/>
      <w:lvlText w:val="‒"/>
      <w:lvlJc w:val="left"/>
      <w:pPr>
        <w:ind w:left="1440" w:hanging="360"/>
      </w:pPr>
      <w:rPr>
        <w:rFonts w:ascii="Arial" w:hAnsi="Arial" w:cs="Arial" w:hint="default"/>
        <w:color w:val="006AA4" w:themeColor="accent1"/>
        <w:sz w:val="20"/>
      </w:rPr>
    </w:lvl>
    <w:lvl w:ilvl="2">
      <w:start w:val="1"/>
      <w:numFmt w:val="bullet"/>
      <w:lvlText w:val=""/>
      <w:lvlJc w:val="left"/>
      <w:pPr>
        <w:ind w:left="2160" w:hanging="360"/>
      </w:pPr>
      <w:rPr>
        <w:rFonts w:ascii="Symbol" w:hAnsi="Symbol" w:cs="Times New Roman" w:hint="default"/>
        <w:color w:val="006AA4" w:themeColor="accent1"/>
        <w:sz w:val="18"/>
      </w:rPr>
    </w:lvl>
    <w:lvl w:ilvl="3">
      <w:start w:val="1"/>
      <w:numFmt w:val="bullet"/>
      <w:lvlText w:val="‒"/>
      <w:lvlJc w:val="left"/>
      <w:pPr>
        <w:ind w:left="2880" w:hanging="360"/>
      </w:pPr>
      <w:rPr>
        <w:rFonts w:ascii="Arial" w:hAnsi="Arial" w:cs="Times New Roman" w:hint="default"/>
        <w:color w:val="006AA4" w:themeColor="accent1"/>
      </w:rPr>
    </w:lvl>
    <w:lvl w:ilvl="4">
      <w:start w:val="1"/>
      <w:numFmt w:val="bullet"/>
      <w:lvlText w:val=""/>
      <w:lvlJc w:val="left"/>
      <w:pPr>
        <w:ind w:left="3600" w:hanging="360"/>
      </w:pPr>
      <w:rPr>
        <w:rFonts w:ascii="Symbol" w:hAnsi="Symbol" w:cs="Courier New" w:hint="default"/>
        <w:color w:val="006AA4" w:themeColor="accent1"/>
        <w:sz w:val="18"/>
        <w:szCs w:val="18"/>
      </w:rPr>
    </w:lvl>
    <w:lvl w:ilvl="5">
      <w:start w:val="1"/>
      <w:numFmt w:val="bullet"/>
      <w:lvlText w:val="‒"/>
      <w:lvlJc w:val="left"/>
      <w:pPr>
        <w:ind w:left="4320" w:hanging="360"/>
      </w:pPr>
      <w:rPr>
        <w:rFonts w:ascii="Arial" w:hAnsi="Arial" w:cs="Times New Roman" w:hint="default"/>
        <w:color w:val="006AA4" w:themeColor="accent1"/>
        <w:szCs w:val="20"/>
      </w:rPr>
    </w:lvl>
    <w:lvl w:ilvl="6">
      <w:start w:val="1"/>
      <w:numFmt w:val="bullet"/>
      <w:lvlText w:val=""/>
      <w:lvlJc w:val="left"/>
      <w:pPr>
        <w:ind w:left="5040" w:hanging="360"/>
      </w:pPr>
      <w:rPr>
        <w:rFonts w:ascii="Symbol" w:hAnsi="Symbol" w:hint="default"/>
        <w:color w:val="006AA4" w:themeColor="accent1"/>
        <w:sz w:val="18"/>
      </w:rPr>
    </w:lvl>
    <w:lvl w:ilvl="7">
      <w:start w:val="1"/>
      <w:numFmt w:val="bullet"/>
      <w:lvlText w:val="‒"/>
      <w:lvlJc w:val="left"/>
      <w:pPr>
        <w:ind w:left="5760" w:hanging="360"/>
      </w:pPr>
      <w:rPr>
        <w:rFonts w:ascii="Arial" w:hAnsi="Arial" w:cs="Courier New" w:hint="default"/>
        <w:color w:val="006AA4" w:themeColor="accent1"/>
      </w:rPr>
    </w:lvl>
    <w:lvl w:ilvl="8">
      <w:start w:val="1"/>
      <w:numFmt w:val="bullet"/>
      <w:lvlText w:val=""/>
      <w:lvlJc w:val="left"/>
      <w:pPr>
        <w:ind w:left="6480" w:hanging="360"/>
      </w:pPr>
      <w:rPr>
        <w:rFonts w:ascii="Symbol" w:hAnsi="Symbol" w:cs="Times New Roman" w:hint="default"/>
        <w:color w:val="006AA4" w:themeColor="accent1"/>
        <w:sz w:val="18"/>
        <w:szCs w:val="18"/>
      </w:rPr>
    </w:lvl>
  </w:abstractNum>
  <w:abstractNum w:abstractNumId="2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8">
    <w:nsid w:val="691350EB"/>
    <w:multiLevelType w:val="multilevel"/>
    <w:tmpl w:val="E0B4F39C"/>
    <w:lvl w:ilvl="0">
      <w:start w:val="1"/>
      <w:numFmt w:val="bullet"/>
      <w:pStyle w:val="Aufzhlung3I"/>
      <w:lvlText w:val=""/>
      <w:lvlJc w:val="left"/>
      <w:pPr>
        <w:ind w:left="680" w:hanging="226"/>
      </w:pPr>
      <w:rPr>
        <w:rFonts w:ascii="Symbol" w:hAnsi="Symbol" w:cs="Times New Roman" w:hint="default"/>
        <w:color w:val="006AA4" w:themeColor="accent1"/>
        <w:sz w:val="18"/>
        <w:szCs w:val="18"/>
      </w:rPr>
    </w:lvl>
    <w:lvl w:ilvl="1">
      <w:start w:val="1"/>
      <w:numFmt w:val="bullet"/>
      <w:lvlText w:val="‒"/>
      <w:lvlJc w:val="left"/>
      <w:pPr>
        <w:ind w:left="907" w:hanging="227"/>
      </w:pPr>
      <w:rPr>
        <w:rFonts w:ascii="Arial" w:hAnsi="Arial" w:cs="Arial" w:hint="default"/>
        <w:color w:val="006AA4" w:themeColor="accent1"/>
      </w:rPr>
    </w:lvl>
    <w:lvl w:ilvl="2">
      <w:start w:val="1"/>
      <w:numFmt w:val="bullet"/>
      <w:lvlText w:val=""/>
      <w:lvlJc w:val="left"/>
      <w:pPr>
        <w:ind w:left="1134" w:hanging="227"/>
      </w:pPr>
      <w:rPr>
        <w:rFonts w:ascii="Symbol" w:hAnsi="Symbol" w:cs="Times New Roman" w:hint="default"/>
        <w:color w:val="006AA4" w:themeColor="accent1"/>
        <w:sz w:val="18"/>
        <w:szCs w:val="18"/>
      </w:rPr>
    </w:lvl>
    <w:lvl w:ilvl="3">
      <w:start w:val="1"/>
      <w:numFmt w:val="bullet"/>
      <w:lvlText w:val="‒"/>
      <w:lvlJc w:val="left"/>
      <w:pPr>
        <w:ind w:left="1361" w:hanging="227"/>
      </w:pPr>
      <w:rPr>
        <w:rFonts w:ascii="Arial" w:hAnsi="Arial" w:cs="Arial" w:hint="default"/>
        <w:color w:val="006AA4" w:themeColor="accent1"/>
        <w:szCs w:val="22"/>
      </w:rPr>
    </w:lvl>
    <w:lvl w:ilvl="4">
      <w:start w:val="1"/>
      <w:numFmt w:val="bullet"/>
      <w:lvlText w:val=""/>
      <w:lvlJc w:val="left"/>
      <w:pPr>
        <w:ind w:left="1588" w:hanging="227"/>
      </w:pPr>
      <w:rPr>
        <w:rFonts w:ascii="Symbol" w:hAnsi="Symbol" w:cs="Times New Roman" w:hint="default"/>
        <w:color w:val="006AA4" w:themeColor="accent1"/>
        <w:sz w:val="18"/>
        <w:szCs w:val="18"/>
      </w:rPr>
    </w:lvl>
    <w:lvl w:ilvl="5">
      <w:start w:val="1"/>
      <w:numFmt w:val="bullet"/>
      <w:lvlText w:val="‒"/>
      <w:lvlJc w:val="left"/>
      <w:pPr>
        <w:ind w:left="1814" w:hanging="226"/>
      </w:pPr>
      <w:rPr>
        <w:rFonts w:ascii="Arial" w:hAnsi="Arial" w:cs="Arial" w:hint="default"/>
        <w:color w:val="006AA4" w:themeColor="accent1"/>
        <w:szCs w:val="22"/>
      </w:rPr>
    </w:lvl>
    <w:lvl w:ilvl="6">
      <w:start w:val="1"/>
      <w:numFmt w:val="bullet"/>
      <w:lvlText w:val=""/>
      <w:lvlJc w:val="left"/>
      <w:pPr>
        <w:ind w:left="2041" w:hanging="227"/>
      </w:pPr>
      <w:rPr>
        <w:rFonts w:ascii="Symbol" w:hAnsi="Symbol" w:cs="Times New Roman" w:hint="default"/>
        <w:color w:val="006AA4" w:themeColor="accent1"/>
        <w:sz w:val="18"/>
        <w:szCs w:val="18"/>
      </w:rPr>
    </w:lvl>
    <w:lvl w:ilvl="7">
      <w:start w:val="1"/>
      <w:numFmt w:val="bullet"/>
      <w:lvlText w:val="‒"/>
      <w:lvlJc w:val="left"/>
      <w:pPr>
        <w:ind w:left="2268" w:hanging="227"/>
      </w:pPr>
      <w:rPr>
        <w:rFonts w:ascii="Arial" w:hAnsi="Arial" w:cs="Courier New" w:hint="default"/>
        <w:color w:val="006AA4" w:themeColor="accent1"/>
        <w:szCs w:val="22"/>
      </w:rPr>
    </w:lvl>
    <w:lvl w:ilvl="8">
      <w:start w:val="1"/>
      <w:numFmt w:val="bullet"/>
      <w:lvlText w:val=""/>
      <w:lvlJc w:val="left"/>
      <w:pPr>
        <w:ind w:left="2495" w:hanging="227"/>
      </w:pPr>
      <w:rPr>
        <w:rFonts w:ascii="Symbol" w:hAnsi="Symbol" w:cs="Times New Roman" w:hint="default"/>
        <w:color w:val="006AA4" w:themeColor="accent1"/>
        <w:sz w:val="18"/>
        <w:szCs w:val="18"/>
      </w:rPr>
    </w:lvl>
  </w:abstractNum>
  <w:abstractNum w:abstractNumId="2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0">
    <w:nsid w:val="6E353DF7"/>
    <w:multiLevelType w:val="multilevel"/>
    <w:tmpl w:val="6330C80C"/>
    <w:lvl w:ilvl="0">
      <w:start w:val="1"/>
      <w:numFmt w:val="decimal"/>
      <w:pStyle w:val="Liste123I"/>
      <w:lvlText w:val="%1."/>
      <w:lvlJc w:val="left"/>
      <w:pPr>
        <w:ind w:left="454" w:hanging="454"/>
      </w:pPr>
      <w:rPr>
        <w:rFonts w:cs="Arial" w:hint="default"/>
      </w:rPr>
    </w:lvl>
    <w:lvl w:ilvl="1">
      <w:start w:val="1"/>
      <w:numFmt w:val="lowerLetter"/>
      <w:lvlText w:val="%2)"/>
      <w:lvlJc w:val="left"/>
      <w:pPr>
        <w:ind w:left="907" w:hanging="453"/>
      </w:pPr>
      <w:rPr>
        <w:rFonts w:cs="Arial" w:hint="default"/>
      </w:rPr>
    </w:lvl>
    <w:lvl w:ilvl="2">
      <w:start w:val="1"/>
      <w:numFmt w:val="bullet"/>
      <w:lvlText w:val=""/>
      <w:lvlJc w:val="left"/>
      <w:pPr>
        <w:ind w:left="1134" w:hanging="227"/>
      </w:pPr>
      <w:rPr>
        <w:rFonts w:ascii="Symbol" w:hAnsi="Symbol" w:cs="Times New Roman" w:hint="default"/>
        <w:color w:val="006AA4" w:themeColor="accent1"/>
        <w:sz w:val="18"/>
        <w:szCs w:val="18"/>
      </w:rPr>
    </w:lvl>
    <w:lvl w:ilvl="3">
      <w:start w:val="1"/>
      <w:numFmt w:val="bullet"/>
      <w:lvlText w:val="‒"/>
      <w:lvlJc w:val="left"/>
      <w:pPr>
        <w:ind w:left="1361" w:hanging="227"/>
      </w:pPr>
      <w:rPr>
        <w:rFonts w:ascii="Arial" w:hAnsi="Arial" w:cs="Arial" w:hint="default"/>
        <w:color w:val="006AA4" w:themeColor="accent1"/>
      </w:rPr>
    </w:lvl>
    <w:lvl w:ilvl="4">
      <w:start w:val="1"/>
      <w:numFmt w:val="bullet"/>
      <w:lvlText w:val=""/>
      <w:lvlJc w:val="left"/>
      <w:pPr>
        <w:ind w:left="1588" w:hanging="227"/>
      </w:pPr>
      <w:rPr>
        <w:rFonts w:ascii="Symbol" w:hAnsi="Symbol" w:cs="Times New Roman" w:hint="default"/>
        <w:color w:val="006AA4" w:themeColor="accent1"/>
        <w:sz w:val="18"/>
        <w:szCs w:val="18"/>
      </w:rPr>
    </w:lvl>
    <w:lvl w:ilvl="5">
      <w:start w:val="1"/>
      <w:numFmt w:val="bullet"/>
      <w:lvlText w:val="‒"/>
      <w:lvlJc w:val="left"/>
      <w:pPr>
        <w:ind w:left="1814" w:hanging="226"/>
      </w:pPr>
      <w:rPr>
        <w:rFonts w:ascii="Arial" w:hAnsi="Arial" w:cs="Times New Roman" w:hint="default"/>
        <w:color w:val="006AA4" w:themeColor="accent1"/>
      </w:rPr>
    </w:lvl>
    <w:lvl w:ilvl="6">
      <w:start w:val="1"/>
      <w:numFmt w:val="bullet"/>
      <w:lvlText w:val=""/>
      <w:lvlJc w:val="left"/>
      <w:pPr>
        <w:ind w:left="2041" w:hanging="227"/>
      </w:pPr>
      <w:rPr>
        <w:rFonts w:ascii="Symbol" w:hAnsi="Symbol" w:cs="Times New Roman" w:hint="default"/>
        <w:color w:val="006AA4" w:themeColor="accent1"/>
        <w:sz w:val="18"/>
        <w:szCs w:val="18"/>
      </w:rPr>
    </w:lvl>
    <w:lvl w:ilvl="7">
      <w:start w:val="1"/>
      <w:numFmt w:val="bullet"/>
      <w:lvlText w:val="‒"/>
      <w:lvlJc w:val="left"/>
      <w:pPr>
        <w:ind w:left="2268" w:hanging="227"/>
      </w:pPr>
      <w:rPr>
        <w:rFonts w:ascii="Arial" w:hAnsi="Arial" w:cs="Arial" w:hint="default"/>
        <w:color w:val="006AA4" w:themeColor="accent1"/>
        <w:szCs w:val="20"/>
      </w:rPr>
    </w:lvl>
    <w:lvl w:ilvl="8">
      <w:start w:val="1"/>
      <w:numFmt w:val="bullet"/>
      <w:lvlText w:val=""/>
      <w:lvlJc w:val="left"/>
      <w:pPr>
        <w:ind w:left="2495" w:hanging="227"/>
      </w:pPr>
      <w:rPr>
        <w:rFonts w:ascii="Symbol" w:hAnsi="Symbol" w:cs="Times New Roman" w:hint="default"/>
        <w:color w:val="006AA4" w:themeColor="accent1"/>
        <w:sz w:val="18"/>
        <w:szCs w:val="18"/>
      </w:rPr>
    </w:lvl>
  </w:abstractNum>
  <w:abstractNum w:abstractNumId="3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B95469B"/>
    <w:multiLevelType w:val="multilevel"/>
    <w:tmpl w:val="0CA0C30E"/>
    <w:lvl w:ilvl="0">
      <w:start w:val="1"/>
      <w:numFmt w:val="bullet"/>
      <w:pStyle w:val="TabellenAufzhlungI"/>
      <w:lvlText w:val=""/>
      <w:lvlJc w:val="left"/>
      <w:pPr>
        <w:ind w:left="227" w:hanging="227"/>
      </w:pPr>
      <w:rPr>
        <w:rFonts w:ascii="Symbol" w:hAnsi="Symbol" w:cs="Times New Roman" w:hint="default"/>
        <w:color w:val="006AA4" w:themeColor="accent1"/>
        <w:sz w:val="18"/>
        <w:szCs w:val="18"/>
      </w:rPr>
    </w:lvl>
    <w:lvl w:ilvl="1">
      <w:start w:val="1"/>
      <w:numFmt w:val="bullet"/>
      <w:lvlText w:val="‒"/>
      <w:lvlJc w:val="left"/>
      <w:pPr>
        <w:ind w:left="454" w:hanging="227"/>
      </w:pPr>
      <w:rPr>
        <w:rFonts w:ascii="Arial" w:hAnsi="Arial" w:cs="Arial" w:hint="default"/>
        <w:color w:val="006AA4" w:themeColor="accent1"/>
        <w:sz w:val="20"/>
      </w:rPr>
    </w:lvl>
    <w:lvl w:ilvl="2">
      <w:start w:val="1"/>
      <w:numFmt w:val="bullet"/>
      <w:lvlText w:val=""/>
      <w:lvlJc w:val="left"/>
      <w:pPr>
        <w:ind w:left="681" w:hanging="227"/>
      </w:pPr>
      <w:rPr>
        <w:rFonts w:ascii="Symbol" w:hAnsi="Symbol" w:cs="Times New Roman" w:hint="default"/>
        <w:color w:val="006AA4" w:themeColor="accent1"/>
        <w:sz w:val="18"/>
      </w:rPr>
    </w:lvl>
    <w:lvl w:ilvl="3">
      <w:start w:val="1"/>
      <w:numFmt w:val="bullet"/>
      <w:lvlText w:val="‒"/>
      <w:lvlJc w:val="left"/>
      <w:pPr>
        <w:ind w:left="908" w:hanging="227"/>
      </w:pPr>
      <w:rPr>
        <w:rFonts w:ascii="Arial" w:hAnsi="Arial" w:cs="Times New Roman" w:hint="default"/>
        <w:color w:val="006AA4" w:themeColor="accent1"/>
      </w:rPr>
    </w:lvl>
    <w:lvl w:ilvl="4">
      <w:start w:val="1"/>
      <w:numFmt w:val="bullet"/>
      <w:lvlText w:val=""/>
      <w:lvlJc w:val="left"/>
      <w:pPr>
        <w:ind w:left="1135" w:hanging="227"/>
      </w:pPr>
      <w:rPr>
        <w:rFonts w:ascii="Symbol" w:hAnsi="Symbol" w:cs="Courier New" w:hint="default"/>
        <w:color w:val="006AA4" w:themeColor="accent1"/>
        <w:sz w:val="18"/>
        <w:szCs w:val="18"/>
      </w:rPr>
    </w:lvl>
    <w:lvl w:ilvl="5">
      <w:start w:val="1"/>
      <w:numFmt w:val="bullet"/>
      <w:lvlText w:val="‒"/>
      <w:lvlJc w:val="left"/>
      <w:pPr>
        <w:ind w:left="1362" w:hanging="227"/>
      </w:pPr>
      <w:rPr>
        <w:rFonts w:ascii="Arial" w:hAnsi="Arial" w:cs="Times New Roman" w:hint="default"/>
        <w:color w:val="006AA4" w:themeColor="accent1"/>
        <w:szCs w:val="20"/>
      </w:rPr>
    </w:lvl>
    <w:lvl w:ilvl="6">
      <w:start w:val="1"/>
      <w:numFmt w:val="bullet"/>
      <w:lvlText w:val=""/>
      <w:lvlJc w:val="left"/>
      <w:pPr>
        <w:ind w:left="1589" w:hanging="227"/>
      </w:pPr>
      <w:rPr>
        <w:rFonts w:ascii="Symbol" w:hAnsi="Symbol" w:hint="default"/>
        <w:color w:val="006AA4" w:themeColor="accent1"/>
        <w:sz w:val="18"/>
      </w:rPr>
    </w:lvl>
    <w:lvl w:ilvl="7">
      <w:start w:val="1"/>
      <w:numFmt w:val="bullet"/>
      <w:lvlText w:val="‒"/>
      <w:lvlJc w:val="left"/>
      <w:pPr>
        <w:ind w:left="1816" w:hanging="227"/>
      </w:pPr>
      <w:rPr>
        <w:rFonts w:ascii="Arial" w:hAnsi="Arial" w:cs="Courier New" w:hint="default"/>
        <w:color w:val="006AA4" w:themeColor="accent1"/>
      </w:rPr>
    </w:lvl>
    <w:lvl w:ilvl="8">
      <w:start w:val="1"/>
      <w:numFmt w:val="bullet"/>
      <w:lvlText w:val=""/>
      <w:lvlJc w:val="left"/>
      <w:pPr>
        <w:ind w:left="2043" w:hanging="227"/>
      </w:pPr>
      <w:rPr>
        <w:rFonts w:ascii="Symbol" w:hAnsi="Symbol" w:cs="Times New Roman" w:hint="default"/>
        <w:color w:val="006AA4" w:themeColor="accent1"/>
        <w:sz w:val="18"/>
        <w:szCs w:val="18"/>
      </w:rPr>
    </w:lvl>
  </w:abstractNum>
  <w:num w:numId="1">
    <w:abstractNumId w:val="23"/>
  </w:num>
  <w:num w:numId="2">
    <w:abstractNumId w:val="2"/>
  </w:num>
  <w:num w:numId="3">
    <w:abstractNumId w:val="1"/>
  </w:num>
  <w:num w:numId="4">
    <w:abstractNumId w:val="21"/>
  </w:num>
  <w:num w:numId="5">
    <w:abstractNumId w:val="19"/>
  </w:num>
  <w:num w:numId="6">
    <w:abstractNumId w:val="30"/>
  </w:num>
  <w:num w:numId="7">
    <w:abstractNumId w:val="17"/>
  </w:num>
  <w:num w:numId="8">
    <w:abstractNumId w:val="8"/>
  </w:num>
  <w:num w:numId="9">
    <w:abstractNumId w:val="14"/>
  </w:num>
  <w:num w:numId="10">
    <w:abstractNumId w:val="4"/>
  </w:num>
  <w:num w:numId="11">
    <w:abstractNumId w:val="0"/>
  </w:num>
  <w:num w:numId="12">
    <w:abstractNumId w:val="3"/>
  </w:num>
  <w:num w:numId="13">
    <w:abstractNumId w:val="32"/>
  </w:num>
  <w:num w:numId="14">
    <w:abstractNumId w:val="26"/>
  </w:num>
  <w:num w:numId="15">
    <w:abstractNumId w:val="7"/>
  </w:num>
  <w:num w:numId="16">
    <w:abstractNumId w:val="28"/>
  </w:num>
  <w:num w:numId="17">
    <w:abstractNumId w:val="20"/>
  </w:num>
  <w:num w:numId="18">
    <w:abstractNumId w:val="10"/>
  </w:num>
  <w:num w:numId="19">
    <w:abstractNumId w:val="16"/>
  </w:num>
  <w:num w:numId="20">
    <w:abstractNumId w:val="9"/>
  </w:num>
  <w:num w:numId="21">
    <w:abstractNumId w:val="15"/>
  </w:num>
  <w:num w:numId="22">
    <w:abstractNumId w:val="27"/>
  </w:num>
  <w:num w:numId="23">
    <w:abstractNumId w:val="29"/>
  </w:num>
  <w:num w:numId="24">
    <w:abstractNumId w:val="12"/>
  </w:num>
  <w:num w:numId="25">
    <w:abstractNumId w:val="25"/>
  </w:num>
  <w:num w:numId="26">
    <w:abstractNumId w:val="24"/>
  </w:num>
  <w:num w:numId="27">
    <w:abstractNumId w:val="18"/>
  </w:num>
  <w:num w:numId="28">
    <w:abstractNumId w:val="22"/>
  </w:num>
  <w:num w:numId="29">
    <w:abstractNumId w:val="6"/>
  </w:num>
  <w:num w:numId="30">
    <w:abstractNumId w:val="13"/>
  </w:num>
  <w:num w:numId="31">
    <w:abstractNumId w:val="5"/>
  </w:num>
  <w:num w:numId="32">
    <w:abstractNumId w:val="11"/>
  </w:num>
  <w:num w:numId="33">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revisionView w:markup="0"/>
  <w:defaultTabStop w:val="709"/>
  <w:hyphenationZone w:val="425"/>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744F851D3A1B47F8AD9D5F1489C32897"/>
    <w:docVar w:name="LW_CROSSREFERENCE" w:val="{COM(2015) 642 final}"/>
    <w:docVar w:name="LW_DocType" w:val="ANGEBOT_OEKO_EN"/>
    <w:docVar w:name="LW_EMISSION" w:val="15.12.2015"/>
    <w:docVar w:name="LW_EMISSION_ISODATE" w:val="2015-12-15"/>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Report from the Commission _x000b__x000b_Second Biennial Report of the European Union Under the UN Framework Convention on Climate Change_x000b__x000b__x000b_(required under Article 18(1) of Regulation (EU) No 525/2013 of the European Parliament and of the Council of 21 May 2013 on a mechanism for monitoring and reporting greenhouse gas emissions and for reporting other information at national and Union level relevant to climate change and repealing Decision No 280/2004/EC and Decision 2/CP.17 of the Conference of Parties of the UNFCCC)"/>
    <w:docVar w:name="LW_PART_NBR" w:val="2"/>
    <w:docVar w:name="LW_PART_NBR_TOTAL" w:val="2"/>
    <w:docVar w:name="LW_REF.INST.NEW" w:val="SWD"/>
    <w:docVar w:name="LW_REF.INST.NEW_ADOPTED" w:val="final"/>
    <w:docVar w:name="LW_REF.INST.NEW_TEXT" w:val="(2015) 282"/>
    <w:docVar w:name="LW_REF.INTERNE" w:val="&lt;UNUSED&gt;"/>
    <w:docVar w:name="LW_SUPERTITRE" w:val="&lt;UNUSED&gt;"/>
    <w:docVar w:name="LW_TITRE.OBJ.CP" w:val="&lt;UNUSED&gt;"/>
    <w:docVar w:name="LW_TYPE.DOC.CP" w:val="COMMISSION STAFF WORKING DOCUMEN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20" w:qFormat="1"/>
    <w:lsdException w:name="heading 7" w:uiPriority="20" w:qFormat="1"/>
    <w:lsdException w:name="heading 8" w:uiPriority="20" w:qFormat="1"/>
    <w:lsdException w:name="heading 9" w:uiPriority="20" w:qFormat="1"/>
    <w:lsdException w:name="toc 1" w:uiPriority="39" w:qFormat="1"/>
    <w:lsdException w:name="toc 2" w:uiPriority="0" w:qFormat="1"/>
    <w:lsdException w:name="toc 3" w:uiPriority="0" w:qFormat="1"/>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header" w:uiPriority="0"/>
    <w:lsdException w:name="footer" w:uiPriority="20"/>
    <w:lsdException w:name="caption" w:locked="1" w:uiPriority="35" w:qFormat="1"/>
    <w:lsdException w:name="endnote reference" w:unhideWhenUsed="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uiPriority="41" w:unhideWhenUsed="0" w:qFormat="1"/>
    <w:lsdException w:name="Default Paragraph Font" w:uiPriority="1"/>
    <w:lsdException w:name="Subtitle" w:uiPriority="40" w:unhideWhenUsed="0" w:qFormat="1"/>
    <w:lsdException w:name="Strong" w:semiHidden="0" w:uiPriority="16" w:unhideWhenUsed="0" w:qFormat="1"/>
    <w:lsdException w:name="Emphasis" w:uiPriority="20" w:unhideWhenUsed="0" w:qFormat="1"/>
    <w:lsdException w:name="HTML Acronym" w:unhideWhenUsed="0"/>
    <w:lsdException w:name="HTML Cite" w:unhideWhenUsed="0"/>
    <w:lsdException w:name="HTML Code" w:unhideWhenUsed="0"/>
    <w:lsdException w:name="HTML Definition" w:unhideWhenUsed="0"/>
    <w:lsdException w:name="HTML Keyboard" w:unhideWhenUsed="0"/>
    <w:lsdException w:name="HTML Sample" w:unhideWhenUsed="0"/>
    <w:lsdException w:name="HTML Typewriter" w:unhideWhenUsed="0"/>
    <w:lsdException w:name="HTML Variable"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84"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0" w:qFormat="1"/>
  </w:latentStyles>
  <w:style w:type="paragraph" w:default="1" w:styleId="Normal">
    <w:name w:val="Normal"/>
    <w:semiHidden/>
    <w:pPr>
      <w:spacing w:after="180" w:line="280" w:lineRule="atLeast"/>
      <w:jc w:val="both"/>
    </w:pPr>
  </w:style>
  <w:style w:type="paragraph" w:styleId="Heading1">
    <w:name w:val="heading 1"/>
    <w:basedOn w:val="Normal"/>
    <w:next w:val="Standardtext"/>
    <w:link w:val="Heading1Char"/>
    <w:qFormat/>
    <w:pPr>
      <w:keepNext/>
      <w:keepLines/>
      <w:numPr>
        <w:numId w:val="18"/>
      </w:numPr>
      <w:spacing w:before="480"/>
      <w:jc w:val="left"/>
      <w:outlineLvl w:val="0"/>
    </w:pPr>
    <w:rPr>
      <w:rFonts w:eastAsiaTheme="majorEastAsia" w:cstheme="majorBidi"/>
      <w:b/>
      <w:bCs/>
      <w:color w:val="006AA4" w:themeColor="accent1"/>
      <w:szCs w:val="28"/>
    </w:rPr>
  </w:style>
  <w:style w:type="paragraph" w:styleId="Heading2">
    <w:name w:val="heading 2"/>
    <w:basedOn w:val="Standardtext"/>
    <w:next w:val="Standardtext"/>
    <w:link w:val="Heading2Char"/>
    <w:qFormat/>
    <w:pPr>
      <w:keepNext/>
      <w:keepLines/>
      <w:numPr>
        <w:ilvl w:val="1"/>
        <w:numId w:val="18"/>
      </w:numPr>
      <w:spacing w:before="360"/>
      <w:jc w:val="left"/>
      <w:outlineLvl w:val="1"/>
    </w:pPr>
    <w:rPr>
      <w:b/>
      <w:color w:val="006AA4" w:themeColor="accent1"/>
    </w:rPr>
  </w:style>
  <w:style w:type="paragraph" w:styleId="Heading3">
    <w:name w:val="heading 3"/>
    <w:basedOn w:val="Standardtext"/>
    <w:next w:val="Standardtext"/>
    <w:link w:val="Heading3Char"/>
    <w:qFormat/>
    <w:pPr>
      <w:keepNext/>
      <w:keepLines/>
      <w:numPr>
        <w:ilvl w:val="2"/>
        <w:numId w:val="18"/>
      </w:numPr>
      <w:spacing w:before="360" w:line="260" w:lineRule="atLeast"/>
      <w:jc w:val="left"/>
      <w:outlineLvl w:val="2"/>
    </w:pPr>
    <w:rPr>
      <w:b/>
    </w:rPr>
  </w:style>
  <w:style w:type="paragraph" w:styleId="Heading4">
    <w:name w:val="heading 4"/>
    <w:basedOn w:val="Standardtext"/>
    <w:next w:val="Standardtext"/>
    <w:link w:val="Heading4Char"/>
    <w:qFormat/>
    <w:pPr>
      <w:keepNext/>
      <w:keepLines/>
      <w:numPr>
        <w:ilvl w:val="3"/>
        <w:numId w:val="18"/>
      </w:numPr>
      <w:spacing w:before="280"/>
      <w:jc w:val="left"/>
      <w:outlineLvl w:val="3"/>
    </w:pPr>
    <w:rPr>
      <w:b/>
    </w:rPr>
  </w:style>
  <w:style w:type="paragraph" w:styleId="Heading5">
    <w:name w:val="heading 5"/>
    <w:basedOn w:val="Normal"/>
    <w:next w:val="Standardtext"/>
    <w:link w:val="Heading5Char"/>
    <w:qFormat/>
    <w:pPr>
      <w:keepNext/>
      <w:keepLines/>
      <w:tabs>
        <w:tab w:val="left" w:pos="1134"/>
      </w:tabs>
      <w:spacing w:before="280"/>
      <w:jc w:val="left"/>
      <w:outlineLvl w:val="4"/>
    </w:pPr>
    <w:rPr>
      <w:rFonts w:eastAsiaTheme="majorEastAsia" w:cstheme="majorBidi"/>
      <w:b/>
    </w:rPr>
  </w:style>
  <w:style w:type="paragraph" w:styleId="Heading6">
    <w:name w:val="heading 6"/>
    <w:basedOn w:val="Normal"/>
    <w:next w:val="Normal"/>
    <w:link w:val="Heading6Char"/>
    <w:uiPriority w:val="20"/>
    <w:semiHidden/>
    <w:qFormat/>
    <w:pPr>
      <w:keepNext/>
      <w:keepLines/>
      <w:spacing w:before="200" w:after="0"/>
      <w:outlineLvl w:val="5"/>
    </w:pPr>
    <w:rPr>
      <w:rFonts w:asciiTheme="majorHAnsi" w:eastAsiaTheme="majorEastAsia" w:hAnsiTheme="majorHAnsi" w:cstheme="majorBidi"/>
      <w:i/>
      <w:iCs/>
      <w:color w:val="003451" w:themeColor="accent1" w:themeShade="7F"/>
    </w:rPr>
  </w:style>
  <w:style w:type="paragraph" w:styleId="Heading7">
    <w:name w:val="heading 7"/>
    <w:basedOn w:val="Normal"/>
    <w:next w:val="Normal"/>
    <w:link w:val="Heading7Char"/>
    <w:uiPriority w:val="20"/>
    <w:semiHidden/>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0"/>
    <w:semiHidden/>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20"/>
    <w:semiHidden/>
    <w:qFormat/>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3">
    <w:name w:val="Light Shading Accent 3"/>
    <w:basedOn w:val="TableNormal"/>
    <w:uiPriority w:val="60"/>
    <w:pPr>
      <w:spacing w:after="0" w:line="240" w:lineRule="auto"/>
    </w:pPr>
    <w:rPr>
      <w:rFonts w:ascii="Arial" w:hAnsi="Arial"/>
      <w:sz w:val="18"/>
    </w:rPr>
    <w:tblPr>
      <w:tblStyleRowBandSize w:val="1"/>
      <w:tblStyleColBandSize w:val="1"/>
      <w:tblInd w:w="0" w:type="dxa"/>
      <w:tblBorders>
        <w:bottom w:val="single" w:sz="4" w:space="0" w:color="A6A6A6" w:themeColor="background1" w:themeShade="A6"/>
      </w:tblBorders>
      <w:tblCellMar>
        <w:top w:w="0" w:type="dxa"/>
        <w:left w:w="0" w:type="dxa"/>
        <w:bottom w:w="0" w:type="dxa"/>
        <w:right w:w="0" w:type="dxa"/>
      </w:tblCellMar>
    </w:tblPr>
    <w:tcPr>
      <w:shd w:val="clear" w:color="auto" w:fill="auto"/>
    </w:tcPr>
    <w:tblStylePr w:type="firstRow">
      <w:pPr>
        <w:spacing w:before="0" w:after="0" w:line="240" w:lineRule="auto"/>
      </w:pPr>
      <w:rPr>
        <w:rFonts w:ascii="Arial" w:hAnsi="Arial"/>
        <w:b/>
        <w:bCs/>
        <w:sz w:val="18"/>
      </w:rPr>
      <w:tblPr/>
      <w:tcPr>
        <w:tcBorders>
          <w:top w:val="nil"/>
          <w:left w:val="nil"/>
          <w:bottom w:val="single" w:sz="8" w:space="0" w:color="97BF0D" w:themeColor="accent3"/>
          <w:right w:val="nil"/>
          <w:insideH w:val="nil"/>
          <w:insideV w:val="nil"/>
        </w:tcBorders>
        <w:shd w:val="clear" w:color="auto" w:fill="auto"/>
      </w:tcPr>
    </w:tblStylePr>
    <w:tblStylePr w:type="lastRow">
      <w:pPr>
        <w:spacing w:before="0" w:after="0" w:line="240" w:lineRule="auto"/>
      </w:pPr>
      <w:rPr>
        <w:rFonts w:ascii="Arial" w:hAnsi="Arial"/>
        <w:b/>
        <w:bCs/>
        <w:sz w:val="18"/>
      </w:rPr>
      <w:tblPr/>
      <w:tcPr>
        <w:tcBorders>
          <w:top w:val="single" w:sz="8" w:space="0" w:color="97BF0D" w:themeColor="accent3"/>
          <w:left w:val="nil"/>
          <w:bottom w:val="single" w:sz="8" w:space="0" w:color="97BF0D" w:themeColor="accent3"/>
          <w:right w:val="nil"/>
          <w:insideH w:val="nil"/>
          <w:insideV w:val="nil"/>
        </w:tcBorders>
      </w:tcPr>
    </w:tblStylePr>
    <w:tblStylePr w:type="firstCol">
      <w:rPr>
        <w:rFonts w:ascii="Arial" w:hAnsi="Arial"/>
        <w:b w:val="0"/>
        <w:bCs/>
        <w:sz w:val="18"/>
      </w:rPr>
    </w:tblStylePr>
    <w:tblStylePr w:type="lastCol">
      <w:rPr>
        <w:rFonts w:ascii="Arial" w:hAnsi="Arial"/>
        <w:b w:val="0"/>
        <w:bCs/>
        <w:sz w:val="18"/>
      </w:rPr>
    </w:tblStylePr>
    <w:tblStylePr w:type="band1Vert">
      <w:tblPr/>
      <w:tcPr>
        <w:tcBorders>
          <w:left w:val="nil"/>
          <w:right w:val="nil"/>
          <w:insideH w:val="nil"/>
          <w:insideV w:val="nil"/>
        </w:tcBorders>
        <w:shd w:val="clear" w:color="auto" w:fill="EBFAB8" w:themeFill="accent3" w:themeFillTint="3F"/>
      </w:tcPr>
    </w:tblStylePr>
    <w:tblStylePr w:type="band1Horz">
      <w:tblPr/>
      <w:tcPr>
        <w:tcBorders>
          <w:bottom w:val="single" w:sz="4" w:space="0" w:color="A6A6A6" w:themeColor="background1" w:themeShade="A6"/>
        </w:tcBorders>
        <w:shd w:val="clear" w:color="auto" w:fill="auto"/>
      </w:tcPr>
    </w:tblStylePr>
    <w:tblStylePr w:type="band2Horz">
      <w:tblPr/>
      <w:tcPr>
        <w:tcBorders>
          <w:top w:val="nil"/>
          <w:left w:val="nil"/>
          <w:bottom w:val="single" w:sz="4" w:space="0" w:color="A6A6A6" w:themeColor="background1" w:themeShade="A6"/>
          <w:right w:val="nil"/>
          <w:insideH w:val="nil"/>
          <w:insideV w:val="nil"/>
        </w:tcBorders>
        <w:shd w:val="clear" w:color="auto" w:fill="auto"/>
      </w:tcPr>
    </w:tblStylePr>
  </w:style>
  <w:style w:type="paragraph" w:styleId="MacroText">
    <w:name w:val="macro"/>
    <w:basedOn w:val="Normal"/>
    <w:link w:val="MacroTextChar"/>
    <w:uiPriority w:val="99"/>
    <w:semiHidden/>
    <w:pPr>
      <w:ind w:left="360" w:hanging="360"/>
    </w:pPr>
  </w:style>
  <w:style w:type="character" w:customStyle="1" w:styleId="MacroTextChar">
    <w:name w:val="Macro Text Char"/>
    <w:basedOn w:val="DefaultParagraphFont"/>
    <w:link w:val="MacroText"/>
    <w:uiPriority w:val="99"/>
    <w:semiHidden/>
    <w:rPr>
      <w:rFonts w:ascii="Arial" w:hAnsi="Arial"/>
    </w:rPr>
  </w:style>
  <w:style w:type="numbering" w:customStyle="1" w:styleId="Gliederung">
    <w:name w:val="Gliederung"/>
    <w:uiPriority w:val="99"/>
    <w:pPr>
      <w:numPr>
        <w:numId w:val="4"/>
      </w:numPr>
    </w:pPr>
  </w:style>
  <w:style w:type="paragraph" w:customStyle="1" w:styleId="Standardtext">
    <w:name w:val="Standardtext"/>
    <w:basedOn w:val="Normal"/>
    <w:qForma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Beschriftung_tab,tab_überschrift Char,Tab_Überschrift,tab_überschrift"/>
    <w:basedOn w:val="Normal"/>
    <w:link w:val="CaptionChar"/>
    <w:uiPriority w:val="35"/>
    <w:qFormat/>
    <w:locked/>
    <w:pPr>
      <w:keepNext/>
      <w:tabs>
        <w:tab w:val="left" w:pos="1871"/>
      </w:tabs>
      <w:spacing w:before="140" w:after="140"/>
      <w:ind w:left="1871" w:hanging="1871"/>
      <w:jc w:val="left"/>
    </w:pPr>
    <w:rPr>
      <w:b/>
      <w:bCs/>
      <w:color w:val="006AA4" w:themeColor="accent1"/>
      <w:szCs w:val="18"/>
    </w:rPr>
  </w:style>
  <w:style w:type="paragraph" w:customStyle="1" w:styleId="TabellentextlinksbndigI">
    <w:name w:val="Tabellentext linksbündig_ÖI"/>
    <w:basedOn w:val="Normal"/>
    <w:uiPriority w:val="6"/>
    <w:qFormat/>
    <w:pPr>
      <w:spacing w:before="60" w:after="60" w:line="260" w:lineRule="atLeast"/>
      <w:ind w:right="113"/>
      <w:jc w:val="left"/>
    </w:pPr>
    <w:rPr>
      <w:sz w:val="20"/>
    </w:rPr>
  </w:style>
  <w:style w:type="paragraph" w:customStyle="1" w:styleId="TabellentitellinksbndigI">
    <w:name w:val="Tabellentitel linksbündig_ÖI"/>
    <w:basedOn w:val="TabellentextlinksbndigI"/>
    <w:uiPriority w:val="9"/>
    <w:semiHidden/>
    <w:qFormat/>
    <w:rPr>
      <w:b/>
    </w:rPr>
  </w:style>
  <w:style w:type="paragraph" w:customStyle="1" w:styleId="TabellentextrechtsbndigI">
    <w:name w:val="Tabellentext rechtsbündig_ÖI"/>
    <w:basedOn w:val="TabellentextlinksbndigI"/>
    <w:uiPriority w:val="7"/>
    <w:semiHidden/>
    <w:qFormat/>
    <w:pPr>
      <w:jc w:val="right"/>
    </w:pPr>
  </w:style>
  <w:style w:type="paragraph" w:customStyle="1" w:styleId="TabellentitelrechtsbndigOI">
    <w:name w:val="Tabellentitel rechtsbündig_OI"/>
    <w:basedOn w:val="Normal"/>
    <w:uiPriority w:val="10"/>
    <w:semiHidden/>
    <w:qFormat/>
    <w:pPr>
      <w:spacing w:before="60" w:after="60" w:line="260" w:lineRule="atLeast"/>
      <w:ind w:right="113"/>
      <w:jc w:val="right"/>
    </w:pPr>
    <w:rPr>
      <w:b/>
      <w:sz w:val="20"/>
    </w:rPr>
  </w:style>
  <w:style w:type="paragraph" w:customStyle="1" w:styleId="QuelleI">
    <w:name w:val="Quelle_ÖI"/>
    <w:basedOn w:val="Normal"/>
    <w:uiPriority w:val="12"/>
    <w:qFormat/>
    <w:pPr>
      <w:tabs>
        <w:tab w:val="left" w:pos="567"/>
      </w:tabs>
      <w:spacing w:before="40" w:after="40" w:line="240" w:lineRule="auto"/>
      <w:ind w:left="567" w:hanging="567"/>
      <w:jc w:val="left"/>
    </w:pPr>
    <w:rPr>
      <w:rFonts w:cs="Arial"/>
      <w:color w:val="868686"/>
      <w:sz w:val="16"/>
      <w:szCs w:val="12"/>
    </w:rPr>
  </w:style>
  <w:style w:type="paragraph" w:customStyle="1" w:styleId="TabellenabstandOI">
    <w:name w:val="Tabellenabstand_OI"/>
    <w:basedOn w:val="Normal"/>
    <w:next w:val="Standardtext"/>
    <w:semiHidden/>
    <w:qFormat/>
    <w:pPr>
      <w:spacing w:after="0" w:line="20" w:lineRule="exact"/>
    </w:pPr>
    <w:rPr>
      <w:sz w:val="4"/>
    </w:rPr>
  </w:style>
  <w:style w:type="paragraph" w:styleId="Header">
    <w:name w:val="header"/>
    <w:basedOn w:val="Normal"/>
    <w:link w:val="HeaderChar"/>
    <w:semiHidden/>
    <w:pPr>
      <w:spacing w:before="20" w:after="20" w:line="200" w:lineRule="atLeast"/>
      <w:jc w:val="left"/>
    </w:pPr>
    <w:rPr>
      <w:sz w:val="18"/>
    </w:rPr>
  </w:style>
  <w:style w:type="character" w:customStyle="1" w:styleId="HeaderChar">
    <w:name w:val="Header Char"/>
    <w:basedOn w:val="DefaultParagraphFont"/>
    <w:link w:val="Header"/>
    <w:semiHidden/>
    <w:rPr>
      <w:rFonts w:ascii="Arial" w:hAnsi="Arial"/>
      <w:sz w:val="18"/>
    </w:rPr>
  </w:style>
  <w:style w:type="paragraph" w:styleId="Footer">
    <w:name w:val="footer"/>
    <w:basedOn w:val="Normal"/>
    <w:link w:val="FooterChar"/>
    <w:uiPriority w:val="20"/>
    <w:semiHidden/>
    <w:pPr>
      <w:tabs>
        <w:tab w:val="center" w:pos="4536"/>
        <w:tab w:val="right" w:pos="9072"/>
      </w:tabs>
      <w:spacing w:after="0" w:line="240" w:lineRule="auto"/>
    </w:pPr>
    <w:rPr>
      <w:sz w:val="18"/>
    </w:rPr>
  </w:style>
  <w:style w:type="character" w:customStyle="1" w:styleId="FooterChar">
    <w:name w:val="Footer Char"/>
    <w:basedOn w:val="DefaultParagraphFont"/>
    <w:link w:val="Footer"/>
    <w:uiPriority w:val="20"/>
    <w:semiHidden/>
    <w:rPr>
      <w:rFonts w:ascii="Arial" w:hAnsi="Arial"/>
      <w:sz w:val="18"/>
    </w:rPr>
  </w:style>
  <w:style w:type="character" w:styleId="Strong">
    <w:name w:val="Strong"/>
    <w:basedOn w:val="DefaultParagraphFont"/>
    <w:uiPriority w:val="16"/>
    <w:semiHidden/>
    <w:qFormat/>
    <w:rPr>
      <w:b/>
      <w:bCs/>
    </w:rPr>
  </w:style>
  <w:style w:type="paragraph" w:customStyle="1" w:styleId="Angebotsuntertitel">
    <w:name w:val="Angebotsuntertitel"/>
    <w:basedOn w:val="Normal"/>
    <w:semiHidden/>
    <w:qFormat/>
    <w:pPr>
      <w:spacing w:after="0"/>
      <w:jc w:val="left"/>
    </w:pPr>
  </w:style>
  <w:style w:type="paragraph" w:customStyle="1" w:styleId="DatumI">
    <w:name w:val="Datum_ÖI"/>
    <w:basedOn w:val="Normal"/>
    <w:semiHidden/>
    <w:qFormat/>
    <w:pPr>
      <w:jc w:val="left"/>
    </w:pPr>
  </w:style>
  <w:style w:type="paragraph" w:customStyle="1" w:styleId="Fusszeile2I">
    <w:name w:val="Fusszeile_2_ÖI"/>
    <w:basedOn w:val="Fusszeile1I"/>
    <w:semiHidden/>
    <w:qFormat/>
    <w:pPr>
      <w:spacing w:before="20" w:after="20"/>
    </w:pPr>
    <w:rPr>
      <w:b w:val="0"/>
      <w:szCs w:val="12"/>
    </w:rPr>
  </w:style>
  <w:style w:type="paragraph" w:customStyle="1" w:styleId="Fusszeile1I">
    <w:name w:val="Fusszeile_1_ÖI"/>
    <w:basedOn w:val="Normal"/>
    <w:next w:val="Fusszeile2I"/>
    <w:semiHidden/>
    <w:qFormat/>
    <w:pPr>
      <w:spacing w:before="40" w:after="0" w:line="200" w:lineRule="exact"/>
      <w:jc w:val="left"/>
    </w:pPr>
    <w:rPr>
      <w:b/>
      <w:sz w:val="16"/>
    </w:rPr>
  </w:style>
  <w:style w:type="paragraph" w:customStyle="1" w:styleId="PartnerI">
    <w:name w:val="Partner_ÖI"/>
    <w:basedOn w:val="Normal"/>
    <w:semiHidden/>
    <w:pPr>
      <w:spacing w:before="180" w:line="220" w:lineRule="atLeast"/>
      <w:jc w:val="left"/>
    </w:pPr>
    <w:rPr>
      <w:rFonts w:eastAsia="Times New Roman"/>
      <w:iCs/>
      <w:sz w:val="16"/>
      <w:szCs w:val="16"/>
    </w:rPr>
  </w:style>
  <w:style w:type="paragraph" w:customStyle="1" w:styleId="AutorenI">
    <w:name w:val="Autoren_ÖI"/>
    <w:basedOn w:val="Normal"/>
    <w:semiHidden/>
    <w:qFormat/>
    <w:pPr>
      <w:spacing w:before="40" w:after="40" w:line="240" w:lineRule="atLeast"/>
      <w:jc w:val="left"/>
    </w:pPr>
    <w:rPr>
      <w:sz w:val="20"/>
    </w:rPr>
  </w:style>
  <w:style w:type="paragraph" w:customStyle="1" w:styleId="berschrift1oNum">
    <w:name w:val="Überschrift 1 oNum"/>
    <w:basedOn w:val="Heading1"/>
    <w:next w:val="Standardtext"/>
    <w:link w:val="berschrift1oNumChar"/>
    <w:uiPriority w:val="1"/>
    <w:qFormat/>
    <w:pPr>
      <w:numPr>
        <w:numId w:val="0"/>
      </w:numPr>
    </w:pPr>
    <w:rPr>
      <w:rFonts w:eastAsiaTheme="minorHAnsi" w:cstheme="minorBidi"/>
      <w:bCs w:val="0"/>
      <w:szCs w:val="22"/>
    </w:rPr>
  </w:style>
  <w:style w:type="paragraph" w:customStyle="1" w:styleId="Angebotstitel">
    <w:name w:val="Angebotstitel"/>
    <w:basedOn w:val="Normal"/>
    <w:semiHidden/>
    <w:qFormat/>
    <w:pPr>
      <w:spacing w:after="0" w:line="400" w:lineRule="atLeast"/>
      <w:jc w:val="left"/>
    </w:pPr>
    <w:rPr>
      <w:color w:val="006AA4" w:themeColor="accent1"/>
      <w:sz w:val="36"/>
    </w:rPr>
  </w:style>
  <w:style w:type="paragraph" w:customStyle="1" w:styleId="TabellentextkleinlinksbndigI">
    <w:name w:val="Tabellentext klein linksbündig_ÖI"/>
    <w:basedOn w:val="TabellentextlinksbndigI"/>
    <w:uiPriority w:val="8"/>
    <w:semiHidden/>
    <w:qFormat/>
    <w:pPr>
      <w:spacing w:before="20" w:after="20" w:line="200" w:lineRule="atLeast"/>
    </w:pPr>
    <w:rPr>
      <w:sz w:val="16"/>
      <w:lang w:val="en-US"/>
    </w:rPr>
  </w:style>
  <w:style w:type="paragraph" w:customStyle="1" w:styleId="HiddenText">
    <w:name w:val="Hidden Text"/>
    <w:basedOn w:val="Standardtext"/>
    <w:uiPriority w:val="99"/>
    <w:semiHidden/>
    <w:qFormat/>
    <w:rPr>
      <w:vanish/>
      <w:color w:val="FF0000"/>
    </w:rPr>
  </w:style>
  <w:style w:type="character" w:customStyle="1" w:styleId="Heading1Char">
    <w:name w:val="Heading 1 Char"/>
    <w:basedOn w:val="DefaultParagraphFont"/>
    <w:link w:val="Heading1"/>
    <w:rPr>
      <w:rFonts w:eastAsiaTheme="majorEastAsia" w:cstheme="majorBidi"/>
      <w:b/>
      <w:bCs/>
      <w:color w:val="006AA4" w:themeColor="accent1"/>
      <w:szCs w:val="28"/>
    </w:rPr>
  </w:style>
  <w:style w:type="paragraph" w:styleId="TOCHeading">
    <w:name w:val="TOC Heading"/>
    <w:basedOn w:val="Normal"/>
    <w:next w:val="Normal"/>
    <w:qFormat/>
    <w:pPr>
      <w:keepNext/>
      <w:spacing w:before="240" w:after="240" w:line="240" w:lineRule="auto"/>
      <w:jc w:val="center"/>
    </w:pPr>
    <w:rPr>
      <w:rFonts w:eastAsia="Times New Roman"/>
      <w:b/>
    </w:rPr>
  </w:style>
  <w:style w:type="paragraph" w:styleId="TOC1">
    <w:name w:val="toc 1"/>
    <w:basedOn w:val="Normal"/>
    <w:next w:val="Normal"/>
    <w:uiPriority w:val="39"/>
    <w:pPr>
      <w:tabs>
        <w:tab w:val="right" w:leader="dot" w:pos="8640"/>
      </w:tabs>
      <w:spacing w:before="120" w:after="120" w:line="240" w:lineRule="auto"/>
      <w:ind w:left="482" w:right="720" w:hanging="482"/>
    </w:pPr>
    <w:rPr>
      <w:rFonts w:eastAsia="Times New Roman"/>
      <w:caps/>
    </w:rPr>
  </w:style>
  <w:style w:type="paragraph" w:styleId="TOC2">
    <w:name w:val="toc 2"/>
    <w:basedOn w:val="Normal"/>
    <w:next w:val="Normal"/>
    <w:pPr>
      <w:tabs>
        <w:tab w:val="right" w:leader="dot" w:pos="8640"/>
      </w:tabs>
      <w:spacing w:before="60" w:after="60" w:line="240" w:lineRule="auto"/>
      <w:ind w:left="1077" w:right="720" w:hanging="595"/>
    </w:pPr>
    <w:rPr>
      <w:rFonts w:eastAsia="Times New Roman"/>
    </w:rPr>
  </w:style>
  <w:style w:type="paragraph" w:styleId="TOC3">
    <w:name w:val="toc 3"/>
    <w:basedOn w:val="Normal"/>
    <w:next w:val="Normal"/>
    <w:pPr>
      <w:tabs>
        <w:tab w:val="right" w:leader="dot" w:pos="8640"/>
      </w:tabs>
      <w:spacing w:before="60" w:after="60" w:line="240" w:lineRule="auto"/>
      <w:ind w:left="1916" w:right="720" w:hanging="839"/>
    </w:pPr>
    <w:rPr>
      <w:rFonts w:eastAsia="Times New Roman"/>
    </w:rPr>
  </w:style>
  <w:style w:type="character" w:styleId="Hyperlink">
    <w:name w:val="Hyperlink"/>
    <w:basedOn w:val="DefaultParagraphFont"/>
    <w:uiPriority w:val="99"/>
    <w:rPr>
      <w:noProof/>
      <w:color w:val="006AA4" w:themeColor="hyperlink"/>
      <w:u w:val="single"/>
    </w:rPr>
  </w:style>
  <w:style w:type="paragraph" w:styleId="TOC4">
    <w:name w:val="toc 4"/>
    <w:basedOn w:val="Normal"/>
    <w:next w:val="Normal"/>
    <w:pPr>
      <w:tabs>
        <w:tab w:val="right" w:leader="dot" w:pos="8641"/>
      </w:tabs>
      <w:spacing w:before="60" w:after="60" w:line="240" w:lineRule="auto"/>
      <w:ind w:left="2880" w:right="720" w:hanging="964"/>
    </w:pPr>
    <w:rPr>
      <w:rFonts w:eastAsia="Times New Roman"/>
    </w:rPr>
  </w:style>
  <w:style w:type="paragraph" w:customStyle="1" w:styleId="Verzeichnistitel">
    <w:name w:val="Verzeichnistitel"/>
    <w:basedOn w:val="Normal"/>
    <w:next w:val="Standardtext"/>
    <w:uiPriority w:val="19"/>
    <w:semiHidden/>
    <w:qFormat/>
    <w:pPr>
      <w:pageBreakBefore/>
      <w:spacing w:after="400" w:line="400" w:lineRule="atLeast"/>
      <w:outlineLvl w:val="0"/>
    </w:pPr>
    <w:rPr>
      <w:b/>
      <w:color w:val="006AA4" w:themeColor="accent1"/>
      <w:sz w:val="36"/>
    </w:rPr>
  </w:style>
  <w:style w:type="paragraph" w:styleId="TableofFigures">
    <w:name w:val="table of figures"/>
    <w:basedOn w:val="Normal"/>
    <w:next w:val="Standardtext"/>
    <w:uiPriority w:val="99"/>
    <w:pPr>
      <w:tabs>
        <w:tab w:val="right" w:pos="9639"/>
      </w:tabs>
      <w:spacing w:after="60"/>
      <w:ind w:left="1814" w:right="851" w:hanging="1814"/>
      <w:jc w:val="left"/>
    </w:pPr>
    <w:rPr>
      <w:rFonts w:cs="Arial"/>
      <w:bCs/>
    </w:rPr>
  </w:style>
  <w:style w:type="paragraph" w:customStyle="1" w:styleId="AnhangI">
    <w:name w:val="Anhang_ÖI"/>
    <w:basedOn w:val="Normal"/>
    <w:next w:val="Standardtext"/>
    <w:uiPriority w:val="12"/>
    <w:semiHidden/>
    <w:qFormat/>
    <w:pPr>
      <w:spacing w:after="120"/>
    </w:pPr>
    <w:rPr>
      <w:b/>
      <w:bCs/>
      <w:color w:val="006AA4" w:themeColor="accent1"/>
    </w:rPr>
  </w:style>
  <w:style w:type="paragraph" w:customStyle="1" w:styleId="AnhangnummerierungI">
    <w:name w:val="Anhangnummerierung_ÖI"/>
    <w:basedOn w:val="Heading1"/>
    <w:next w:val="Standardtext"/>
    <w:uiPriority w:val="12"/>
    <w:semiHidden/>
    <w:qFormat/>
    <w:pPr>
      <w:keepNext w:val="0"/>
      <w:keepLines w:val="0"/>
      <w:numPr>
        <w:numId w:val="1"/>
      </w:numPr>
    </w:pPr>
    <w:rPr>
      <w:rFonts w:eastAsiaTheme="minorHAnsi" w:cstheme="minorBidi"/>
      <w:bCs w:val="0"/>
      <w:szCs w:val="22"/>
    </w:rPr>
  </w:style>
  <w:style w:type="numbering" w:customStyle="1" w:styleId="Aufzhlungerweitert">
    <w:name w:val="Aufzählung erweitert"/>
    <w:uiPriority w:val="99"/>
    <w:pPr>
      <w:numPr>
        <w:numId w:val="2"/>
      </w:numPr>
    </w:pPr>
  </w:style>
  <w:style w:type="paragraph" w:customStyle="1" w:styleId="Aufzhlung1I">
    <w:name w:val="Aufzählung_1_ÖI"/>
    <w:basedOn w:val="Normal"/>
    <w:uiPriority w:val="2"/>
    <w:qFormat/>
    <w:pPr>
      <w:numPr>
        <w:numId w:val="15"/>
      </w:numPr>
      <w:tabs>
        <w:tab w:val="left" w:pos="227"/>
      </w:tabs>
      <w:spacing w:after="120"/>
    </w:pPr>
    <w:rPr>
      <w:rFonts w:cs="Arial"/>
    </w:rPr>
  </w:style>
  <w:style w:type="paragraph" w:customStyle="1" w:styleId="Aufzhlung2I">
    <w:name w:val="Aufzählung_2_ÖI"/>
    <w:basedOn w:val="Aufzhlung1I"/>
    <w:uiPriority w:val="2"/>
    <w:qFormat/>
    <w:pPr>
      <w:numPr>
        <w:ilvl w:val="1"/>
      </w:numPr>
    </w:pPr>
  </w:style>
  <w:style w:type="paragraph" w:customStyle="1" w:styleId="Aufzhlung3I">
    <w:name w:val="Aufzählung_3_ÖI"/>
    <w:basedOn w:val="Normal"/>
    <w:uiPriority w:val="2"/>
    <w:qFormat/>
    <w:pPr>
      <w:numPr>
        <w:numId w:val="16"/>
      </w:numPr>
      <w:tabs>
        <w:tab w:val="left" w:pos="227"/>
      </w:tabs>
      <w:spacing w:after="120"/>
    </w:pPr>
    <w:rPr>
      <w:rFonts w:cs="Arial"/>
    </w:rPr>
  </w:style>
  <w:style w:type="table" w:styleId="LightShading">
    <w:name w:val="Light Shading"/>
    <w:aliases w:val="Öko-Institut,Helle Schattierung1"/>
    <w:basedOn w:val="TableNormal"/>
    <w:uiPriority w:val="60"/>
    <w:pPr>
      <w:keepNext/>
      <w:keepLines/>
      <w:spacing w:after="0" w:line="240" w:lineRule="auto"/>
      <w:ind w:right="113"/>
    </w:pPr>
    <w:rPr>
      <w:rFonts w:ascii="Arial" w:hAnsi="Arial"/>
      <w:color w:val="000000" w:themeColor="text1" w:themeShade="BF"/>
      <w:sz w:val="20"/>
    </w:rPr>
    <w:tblPr>
      <w:tblStyleRowBandSize w:val="1"/>
      <w:tblStyleColBandSize w:val="1"/>
      <w:tblInd w:w="0" w:type="dxa"/>
      <w:tblBorders>
        <w:top w:val="single" w:sz="8" w:space="0" w:color="000000" w:themeColor="text1"/>
        <w:bottom w:val="single" w:sz="8" w:space="0" w:color="000000" w:themeColor="text1"/>
      </w:tblBorders>
      <w:tblCellMar>
        <w:top w:w="0" w:type="dxa"/>
        <w:left w:w="0" w:type="dxa"/>
        <w:bottom w:w="0" w:type="dxa"/>
        <w:right w:w="0" w:type="dxa"/>
      </w:tblCellMar>
    </w:tblPr>
    <w:tcPr>
      <w:shd w:val="clear" w:color="auto" w:fill="auto"/>
    </w:tcPr>
    <w:tblStylePr w:type="firstRow">
      <w:pPr>
        <w:spacing w:before="0" w:after="0" w:line="240" w:lineRule="auto"/>
      </w:pPr>
      <w:rPr>
        <w:rFonts w:ascii="Arial" w:hAnsi="Arial"/>
        <w:b/>
        <w:bCs/>
        <w:i w:val="0"/>
        <w:sz w:val="20"/>
      </w:rPr>
      <w:tblPr/>
      <w:tcPr>
        <w:tcBorders>
          <w:top w:val="nil"/>
          <w:left w:val="nil"/>
          <w:bottom w:val="single" w:sz="12" w:space="0" w:color="97BF0D" w:themeColor="accent3"/>
          <w:right w:val="nil"/>
          <w:insideH w:val="nil"/>
          <w:insideV w:val="nil"/>
          <w:tl2br w:val="nil"/>
          <w:tr2bl w:val="nil"/>
        </w:tcBorders>
        <w:shd w:val="clear" w:color="auto" w:fill="auto"/>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single" w:sz="4" w:space="0" w:color="868686"/>
          <w:left w:val="nil"/>
          <w:bottom w:val="single" w:sz="4" w:space="0" w:color="868686"/>
          <w:right w:val="nil"/>
        </w:tcBorders>
        <w:shd w:val="clear" w:color="auto" w:fill="auto"/>
      </w:tcPr>
    </w:tblStylePr>
    <w:tblStylePr w:type="band2Horz">
      <w:tblPr/>
      <w:tcPr>
        <w:tcBorders>
          <w:top w:val="single" w:sz="4" w:space="0" w:color="868686"/>
          <w:left w:val="nil"/>
          <w:bottom w:val="single" w:sz="4" w:space="0" w:color="868686"/>
          <w:right w:val="nil"/>
          <w:insideH w:val="nil"/>
          <w:insideV w:val="nil"/>
          <w:tl2br w:val="nil"/>
          <w:tr2bl w:val="nil"/>
        </w:tcBorders>
        <w:shd w:val="clear" w:color="auto" w:fill="auto"/>
      </w:tcPr>
    </w:tblStylePr>
  </w:style>
  <w:style w:type="paragraph" w:customStyle="1" w:styleId="HinweistextblauI">
    <w:name w:val="Hinweistext blau_ÖI"/>
    <w:basedOn w:val="Normal"/>
    <w:uiPriority w:val="13"/>
    <w:qFormat/>
    <w:pPr>
      <w:spacing w:before="60" w:after="60"/>
    </w:pPr>
    <w:rPr>
      <w:color w:val="006AA4"/>
    </w:rPr>
  </w:style>
  <w:style w:type="numbering" w:customStyle="1" w:styleId="Liste1erweitert">
    <w:name w:val="Liste 1 erweitert"/>
    <w:uiPriority w:val="99"/>
    <w:pPr>
      <w:numPr>
        <w:numId w:val="5"/>
      </w:numPr>
    </w:pPr>
  </w:style>
  <w:style w:type="paragraph" w:customStyle="1" w:styleId="Liste123I">
    <w:name w:val="Liste 123_ÖI"/>
    <w:basedOn w:val="Standardtext"/>
    <w:uiPriority w:val="3"/>
    <w:qFormat/>
    <w:pPr>
      <w:numPr>
        <w:numId w:val="6"/>
      </w:numPr>
      <w:spacing w:after="120"/>
    </w:pPr>
  </w:style>
  <w:style w:type="numbering" w:customStyle="1" w:styleId="Listeaerweitert">
    <w:name w:val="Liste a erweitert"/>
    <w:uiPriority w:val="99"/>
    <w:pPr>
      <w:numPr>
        <w:numId w:val="7"/>
      </w:numPr>
    </w:pPr>
  </w:style>
  <w:style w:type="paragraph" w:customStyle="1" w:styleId="ListeabcI">
    <w:name w:val="Liste abc_ÖI"/>
    <w:basedOn w:val="Normal"/>
    <w:uiPriority w:val="3"/>
    <w:qFormat/>
    <w:pPr>
      <w:numPr>
        <w:numId w:val="8"/>
      </w:numPr>
      <w:spacing w:after="120"/>
    </w:pPr>
  </w:style>
  <w:style w:type="paragraph" w:customStyle="1" w:styleId="Listeblau123I">
    <w:name w:val="Liste blau 123_ÖI"/>
    <w:basedOn w:val="Standardtext"/>
    <w:uiPriority w:val="3"/>
    <w:qFormat/>
    <w:pPr>
      <w:numPr>
        <w:numId w:val="9"/>
      </w:numPr>
      <w:spacing w:after="120"/>
    </w:pPr>
    <w:rPr>
      <w:b/>
      <w:bCs/>
      <w:color w:val="006AA4" w:themeColor="accent1"/>
      <w:szCs w:val="24"/>
    </w:rPr>
  </w:style>
  <w:style w:type="numbering" w:customStyle="1" w:styleId="Listeblauerweitert">
    <w:name w:val="Liste blau erweitert"/>
    <w:uiPriority w:val="99"/>
    <w:pPr>
      <w:numPr>
        <w:numId w:val="10"/>
      </w:numPr>
    </w:pPr>
  </w:style>
  <w:style w:type="paragraph" w:styleId="Bibliography">
    <w:name w:val="Bibliography"/>
    <w:basedOn w:val="Normal"/>
    <w:next w:val="Normal"/>
    <w:uiPriority w:val="37"/>
    <w:semiHidden/>
    <w:pPr>
      <w:spacing w:after="113"/>
    </w:pPr>
  </w:style>
  <w:style w:type="paragraph" w:customStyle="1" w:styleId="TababstandKopfzeileOI">
    <w:name w:val="Tababstand_Kopfzeile_OI"/>
    <w:basedOn w:val="Normal"/>
    <w:semiHidden/>
    <w:qFormat/>
    <w:pPr>
      <w:spacing w:after="0" w:line="40" w:lineRule="exact"/>
    </w:pPr>
    <w:rPr>
      <w:sz w:val="4"/>
    </w:rPr>
  </w:style>
  <w:style w:type="paragraph" w:customStyle="1" w:styleId="TabellenAufzhlungI">
    <w:name w:val="Tabellen_Aufzählung_ÖI"/>
    <w:basedOn w:val="Normal"/>
    <w:uiPriority w:val="8"/>
    <w:qFormat/>
    <w:pPr>
      <w:numPr>
        <w:numId w:val="13"/>
      </w:numPr>
      <w:spacing w:before="60" w:after="60" w:line="260" w:lineRule="atLeast"/>
      <w:ind w:right="113"/>
      <w:jc w:val="left"/>
    </w:pPr>
    <w:rPr>
      <w:sz w:val="20"/>
    </w:rPr>
  </w:style>
  <w:style w:type="numbering" w:customStyle="1" w:styleId="Tabellenliste">
    <w:name w:val="Tabellenliste"/>
    <w:uiPriority w:val="99"/>
    <w:pPr>
      <w:numPr>
        <w:numId w:val="14"/>
      </w:numPr>
    </w:pPr>
  </w:style>
  <w:style w:type="paragraph" w:customStyle="1" w:styleId="TabellentextkleinrechtsbndigI">
    <w:name w:val="Tabellentext klein rechtsbündig_ÖI"/>
    <w:basedOn w:val="TabellentextkleinlinksbndigI"/>
    <w:uiPriority w:val="8"/>
    <w:semiHidden/>
    <w:qFormat/>
    <w:pPr>
      <w:jc w:val="right"/>
    </w:pPr>
  </w:style>
  <w:style w:type="paragraph" w:customStyle="1" w:styleId="TabellentextzentriertI">
    <w:name w:val="Tabellentext zentriert_ÖI"/>
    <w:basedOn w:val="TabellentextlinksbndigI"/>
    <w:uiPriority w:val="6"/>
    <w:semiHidden/>
    <w:qFormat/>
    <w:pPr>
      <w:ind w:left="113"/>
      <w:jc w:val="center"/>
    </w:pPr>
    <w:rPr>
      <w:rFonts w:cs="Arial"/>
      <w:lang w:val="en-US"/>
    </w:rPr>
  </w:style>
  <w:style w:type="paragraph" w:customStyle="1" w:styleId="TabellentitelkleinlinksbndigI">
    <w:name w:val="Tabellentitel klein linksbündig_ÖI"/>
    <w:basedOn w:val="Normal"/>
    <w:uiPriority w:val="7"/>
    <w:semiHidden/>
    <w:pPr>
      <w:spacing w:before="20" w:after="20" w:line="240" w:lineRule="auto"/>
      <w:ind w:right="57"/>
    </w:pPr>
    <w:rPr>
      <w:rFonts w:eastAsia="Times New Roman"/>
      <w:sz w:val="16"/>
      <w:szCs w:val="18"/>
    </w:rPr>
  </w:style>
  <w:style w:type="paragraph" w:customStyle="1" w:styleId="TabellentitelkleinrechtsbndigI">
    <w:name w:val="Tabellentitel klein rechtsbündig_ÖI"/>
    <w:basedOn w:val="TabellentitelkleinlinksbndigI"/>
    <w:uiPriority w:val="7"/>
    <w:semiHidden/>
    <w:qFormat/>
    <w:pPr>
      <w:jc w:val="right"/>
    </w:pPr>
  </w:style>
  <w:style w:type="paragraph" w:customStyle="1" w:styleId="TabellentitelkleinzentriertI">
    <w:name w:val="Tabellentitel klein zentriert_ÖI"/>
    <w:basedOn w:val="TabellentitelkleinlinksbndigI"/>
    <w:uiPriority w:val="7"/>
    <w:semiHidden/>
    <w:qFormat/>
    <w:pPr>
      <w:spacing w:line="200" w:lineRule="atLeast"/>
      <w:ind w:left="57"/>
      <w:jc w:val="center"/>
    </w:pPr>
  </w:style>
  <w:style w:type="paragraph" w:customStyle="1" w:styleId="TabellentitelzentriertI">
    <w:name w:val="Tabellentitel zentriert_ÖI"/>
    <w:basedOn w:val="TabellentitelrechtsbndigOI"/>
    <w:uiPriority w:val="5"/>
    <w:semiHidden/>
    <w:qFormat/>
    <w:pPr>
      <w:ind w:left="113"/>
      <w:jc w:val="center"/>
    </w:pPr>
  </w:style>
  <w:style w:type="paragraph" w:styleId="TOC5">
    <w:name w:val="toc 5"/>
    <w:basedOn w:val="Normal"/>
    <w:next w:val="Normal"/>
    <w:pPr>
      <w:tabs>
        <w:tab w:val="right" w:leader="dot" w:pos="8641"/>
      </w:tabs>
      <w:spacing w:before="240" w:after="120" w:line="240" w:lineRule="auto"/>
      <w:ind w:right="720"/>
    </w:pPr>
    <w:rPr>
      <w:rFonts w:eastAsia="Times New Roman"/>
      <w:caps/>
    </w:rPr>
  </w:style>
  <w:style w:type="paragraph" w:styleId="BodyTextIndent">
    <w:name w:val="Body Text Indent"/>
    <w:basedOn w:val="Normal"/>
    <w:link w:val="BodyTextIndentChar"/>
    <w:uiPriority w:val="99"/>
    <w:semiHidden/>
    <w:pPr>
      <w:spacing w:after="120"/>
      <w:ind w:left="283"/>
    </w:pPr>
  </w:style>
  <w:style w:type="character" w:customStyle="1" w:styleId="BodyTextIndentChar">
    <w:name w:val="Body Text Indent Char"/>
    <w:basedOn w:val="DefaultParagraphFont"/>
    <w:link w:val="BodyTextIndent"/>
    <w:uiPriority w:val="99"/>
    <w:semiHidden/>
    <w:rPr>
      <w:rFonts w:ascii="Arial" w:hAnsi="Arial"/>
    </w:rPr>
  </w:style>
  <w:style w:type="character" w:customStyle="1" w:styleId="Heading2Char">
    <w:name w:val="Heading 2 Char"/>
    <w:basedOn w:val="DefaultParagraphFont"/>
    <w:link w:val="Heading2"/>
    <w:rPr>
      <w:b/>
      <w:color w:val="006AA4" w:themeColor="accent1"/>
    </w:rPr>
  </w:style>
  <w:style w:type="character" w:customStyle="1" w:styleId="Heading3Char">
    <w:name w:val="Heading 3 Char"/>
    <w:basedOn w:val="DefaultParagraphFont"/>
    <w:link w:val="Heading3"/>
    <w:rPr>
      <w:b/>
    </w:rPr>
  </w:style>
  <w:style w:type="character" w:customStyle="1" w:styleId="Kursiv">
    <w:name w:val="Kursiv"/>
    <w:basedOn w:val="DefaultParagraphFont"/>
    <w:uiPriority w:val="17"/>
    <w:semiHidden/>
    <w:qFormat/>
    <w:rPr>
      <w:b w:val="0"/>
      <w:i/>
    </w:rPr>
  </w:style>
  <w:style w:type="paragraph" w:customStyle="1" w:styleId="TabellentextkleinzentiertI">
    <w:name w:val="Tabellentext klein zentiert_ÖI"/>
    <w:basedOn w:val="TabellentextkleinrechtsbndigI"/>
    <w:uiPriority w:val="8"/>
    <w:semiHidden/>
    <w:qFormat/>
    <w:pPr>
      <w:keepNext/>
      <w:keepLines/>
      <w:ind w:left="113"/>
      <w:jc w:val="center"/>
    </w:pPr>
  </w:style>
  <w:style w:type="paragraph" w:customStyle="1" w:styleId="verdichtet">
    <w:name w:val="verdichtet"/>
    <w:basedOn w:val="TabellentextkleinlinksbndigI"/>
    <w:uiPriority w:val="39"/>
    <w:semiHidden/>
    <w:rPr>
      <w:spacing w:val="-2"/>
    </w:rPr>
  </w:style>
  <w:style w:type="paragraph" w:styleId="NoSpacing">
    <w:name w:val="No Spacing"/>
    <w:uiPriority w:val="99"/>
    <w:semiHidden/>
    <w:qFormat/>
    <w:pPr>
      <w:spacing w:after="0" w:line="240" w:lineRule="auto"/>
    </w:pPr>
    <w:rPr>
      <w:rFonts w:ascii="Arial" w:hAnsi="Arial"/>
      <w:noProof/>
    </w:rPr>
  </w:style>
  <w:style w:type="paragraph" w:styleId="List">
    <w:name w:val="List"/>
    <w:basedOn w:val="Normal"/>
    <w:uiPriority w:val="99"/>
    <w:semiHidden/>
    <w:pPr>
      <w:ind w:left="283" w:hanging="283"/>
      <w:contextualSpacing/>
    </w:pPr>
  </w:style>
  <w:style w:type="paragraph" w:styleId="FootnoteText">
    <w:name w:val="footnote text"/>
    <w:aliases w:val="-E Fußnotentext,footnote text,Fußnotentext Ursprung,-E Fußnotentext1,-E Fußnotentext2,-E Fußnotentext3,Fußnotentextf,Footnote,Footnote Text Char1,Footnote1,footnote text1,Fußnotentext Ursprung1,Footnote Text Char2,Car,Footnote Text Char"/>
    <w:basedOn w:val="Normal"/>
    <w:link w:val="FootnoteTextChar3"/>
    <w:uiPriority w:val="99"/>
    <w:semiHidden/>
    <w:qFormat/>
    <w:pPr>
      <w:tabs>
        <w:tab w:val="left" w:pos="284"/>
      </w:tabs>
      <w:spacing w:before="60" w:after="0" w:line="240" w:lineRule="auto"/>
      <w:ind w:left="284" w:hanging="284"/>
    </w:pPr>
    <w:rPr>
      <w:sz w:val="18"/>
    </w:rPr>
  </w:style>
  <w:style w:type="character" w:customStyle="1" w:styleId="FootnoteTextChar3">
    <w:name w:val="Footnote Text Char3"/>
    <w:aliases w:val="-E Fußnotentext Char,footnote text Char,Fußnotentext Ursprung Char,-E Fußnotentext1 Char,-E Fußnotentext2 Char,-E Fußnotentext3 Char,Fußnotentextf Char,Footnote Char,Footnote Text Char1 Char,Footnote1 Char,footnote text1 Char"/>
    <w:basedOn w:val="DefaultParagraphFont"/>
    <w:link w:val="FootnoteText"/>
    <w:uiPriority w:val="99"/>
    <w:semiHidden/>
    <w:rPr>
      <w:rFonts w:ascii="Arial" w:hAnsi="Arial"/>
      <w:sz w:val="18"/>
      <w:szCs w:val="20"/>
    </w:rPr>
  </w:style>
  <w:style w:type="character" w:styleId="FootnoteReference">
    <w:name w:val="footnote reference"/>
    <w:aliases w:val="-E Fußnotenzeichen,Footnote Text1,number,Footnote reference number,Footnote symbol,note TESI,SUPERS,stylish,ftref,-E Fußnotenzeichen1,-E Fußnotenzeichen2,-E Fußnotenzeichen3,-E Fußnotenzeichen4,-E Fußnotenzeichen5,-E Fußnotenzeichen6"/>
    <w:basedOn w:val="DefaultParagraphFont"/>
    <w:uiPriority w:val="99"/>
    <w:semiHidden/>
    <w:rPr>
      <w:vertAlign w:val="superscript"/>
    </w:rPr>
  </w:style>
  <w:style w:type="paragraph" w:customStyle="1" w:styleId="Copyright">
    <w:name w:val="Copyright"/>
    <w:basedOn w:val="Standardtext"/>
    <w:uiPriority w:val="21"/>
    <w:semiHidden/>
    <w:qFormat/>
    <w:pPr>
      <w:framePr w:hSpace="142" w:wrap="around" w:hAnchor="text" w:x="1419" w:y="8790"/>
      <w:spacing w:before="20" w:after="20" w:line="200" w:lineRule="atLeast"/>
      <w:ind w:right="340"/>
      <w:suppressOverlap/>
    </w:pPr>
    <w:rPr>
      <w:sz w:val="16"/>
    </w:rPr>
  </w:style>
  <w:style w:type="character" w:styleId="PlaceholderText">
    <w:name w:val="Placeholder Text"/>
    <w:basedOn w:val="DefaultParagraphFont"/>
    <w:uiPriority w:val="99"/>
    <w:semiHidden/>
    <w:rPr>
      <w:color w:val="808080"/>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Arial" w:hAnsi="Arial"/>
    </w:rPr>
  </w:style>
  <w:style w:type="paragraph" w:styleId="ListBullet">
    <w:name w:val="List Bullet"/>
    <w:basedOn w:val="Normal"/>
    <w:pPr>
      <w:numPr>
        <w:numId w:val="19"/>
      </w:numPr>
      <w:spacing w:after="240" w:line="240" w:lineRule="auto"/>
    </w:pPr>
    <w:rPr>
      <w:rFonts w:eastAsia="Times New Roman"/>
    </w:rPr>
  </w:style>
  <w:style w:type="paragraph" w:styleId="ListBullet2">
    <w:name w:val="List Bullet 2"/>
    <w:basedOn w:val="Normal"/>
    <w:pPr>
      <w:numPr>
        <w:numId w:val="21"/>
      </w:numPr>
      <w:spacing w:after="240" w:line="240" w:lineRule="auto"/>
    </w:pPr>
    <w:rPr>
      <w:rFonts w:eastAsia="Times New Roman"/>
    </w:rPr>
  </w:style>
  <w:style w:type="paragraph" w:styleId="ListBullet3">
    <w:name w:val="List Bullet 3"/>
    <w:basedOn w:val="Normal"/>
    <w:pPr>
      <w:numPr>
        <w:numId w:val="22"/>
      </w:numPr>
      <w:spacing w:after="240" w:line="240" w:lineRule="auto"/>
    </w:pPr>
    <w:rPr>
      <w:rFonts w:eastAsia="Times New Roman"/>
    </w:rPr>
  </w:style>
  <w:style w:type="paragraph" w:styleId="ListBullet4">
    <w:name w:val="List Bullet 4"/>
    <w:basedOn w:val="Normal"/>
    <w:pPr>
      <w:numPr>
        <w:numId w:val="23"/>
      </w:numPr>
      <w:spacing w:after="240" w:line="240" w:lineRule="auto"/>
    </w:pPr>
    <w:rPr>
      <w:rFonts w:eastAsia="Times New Roman"/>
    </w:rPr>
  </w:style>
  <w:style w:type="paragraph" w:styleId="ListBullet5">
    <w:name w:val="List Bullet 5"/>
    <w:basedOn w:val="Normal"/>
    <w:uiPriority w:val="99"/>
    <w:semiHidden/>
    <w:pPr>
      <w:numPr>
        <w:numId w:val="3"/>
      </w:numPr>
      <w:contextualSpacing/>
    </w:pPr>
  </w:style>
  <w:style w:type="paragraph" w:styleId="BlockText">
    <w:name w:val="Block Text"/>
    <w:basedOn w:val="Normal"/>
    <w:uiPriority w:val="99"/>
    <w:semiHidden/>
    <w:pPr>
      <w:pBdr>
        <w:top w:val="single" w:sz="2" w:space="10" w:color="006AA4" w:themeColor="accent1"/>
        <w:left w:val="single" w:sz="2" w:space="10" w:color="006AA4" w:themeColor="accent1"/>
        <w:bottom w:val="single" w:sz="2" w:space="10" w:color="006AA4" w:themeColor="accent1"/>
        <w:right w:val="single" w:sz="2" w:space="10" w:color="006AA4" w:themeColor="accent1"/>
      </w:pBdr>
      <w:ind w:left="1152" w:right="1152"/>
    </w:pPr>
    <w:rPr>
      <w:rFonts w:asciiTheme="minorHAnsi" w:eastAsiaTheme="minorEastAsia" w:hAnsiTheme="minorHAnsi"/>
      <w:i/>
      <w:iCs/>
      <w:color w:val="006AA4" w:themeColor="accent1"/>
    </w:rPr>
  </w:style>
  <w:style w:type="paragraph" w:styleId="Date">
    <w:name w:val="Date"/>
    <w:basedOn w:val="Normal"/>
    <w:next w:val="Normal"/>
    <w:link w:val="DateChar"/>
    <w:uiPriority w:val="99"/>
    <w:semiHidden/>
  </w:style>
  <w:style w:type="character" w:customStyle="1" w:styleId="DateChar">
    <w:name w:val="Date Char"/>
    <w:basedOn w:val="DefaultParagraphFont"/>
    <w:link w:val="Date"/>
    <w:uiPriority w:val="99"/>
    <w:semiHidden/>
    <w:rPr>
      <w:rFonts w:ascii="Arial" w:hAnsi="Arial"/>
    </w:rPr>
  </w:style>
  <w:style w:type="paragraph" w:styleId="DocumentMap">
    <w:name w:val="Document Map"/>
    <w:basedOn w:val="Normal"/>
    <w:link w:val="DocumentMapChar"/>
    <w:uiPriority w:val="99"/>
    <w:semiHidden/>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pPr>
      <w:spacing w:after="0" w:line="240" w:lineRule="auto"/>
    </w:pPr>
  </w:style>
  <w:style w:type="character" w:customStyle="1" w:styleId="E-mailSignatureChar">
    <w:name w:val="E-mail Signature Char"/>
    <w:basedOn w:val="DefaultParagraphFont"/>
    <w:link w:val="E-mailSignature"/>
    <w:uiPriority w:val="99"/>
    <w:semiHidden/>
    <w:rPr>
      <w:rFonts w:ascii="Arial" w:hAnsi="Arial"/>
    </w:rPr>
  </w:style>
  <w:style w:type="paragraph" w:styleId="EndnoteText">
    <w:name w:val="endnote text"/>
    <w:basedOn w:val="Normal"/>
    <w:link w:val="EndnoteTextChar"/>
    <w:uiPriority w:val="99"/>
    <w:semiHidden/>
    <w:pPr>
      <w:spacing w:after="0" w:line="240" w:lineRule="auto"/>
    </w:pPr>
    <w:rPr>
      <w:sz w:val="20"/>
    </w:rPr>
  </w:style>
  <w:style w:type="character" w:customStyle="1" w:styleId="EndnoteTextChar">
    <w:name w:val="Endnote Text Char"/>
    <w:basedOn w:val="DefaultParagraphFont"/>
    <w:link w:val="EndnoteText"/>
    <w:uiPriority w:val="99"/>
    <w:semiHidden/>
    <w:rPr>
      <w:rFonts w:ascii="Arial" w:hAnsi="Arial"/>
      <w:sz w:val="20"/>
      <w:szCs w:val="20"/>
    </w:rPr>
  </w:style>
  <w:style w:type="paragraph" w:styleId="NoteHeading">
    <w:name w:val="Note Heading"/>
    <w:basedOn w:val="Normal"/>
    <w:next w:val="Normal"/>
    <w:link w:val="NoteHeadingChar"/>
    <w:uiPriority w:val="99"/>
    <w:semiHidden/>
    <w:pPr>
      <w:spacing w:after="0" w:line="240" w:lineRule="auto"/>
    </w:pPr>
  </w:style>
  <w:style w:type="character" w:customStyle="1" w:styleId="NoteHeadingChar">
    <w:name w:val="Note Heading Char"/>
    <w:basedOn w:val="DefaultParagraphFont"/>
    <w:link w:val="NoteHeading"/>
    <w:uiPriority w:val="99"/>
    <w:semiHidden/>
    <w:rPr>
      <w:rFonts w:ascii="Arial" w:hAnsi="Arial"/>
    </w:rPr>
  </w:style>
  <w:style w:type="paragraph" w:styleId="Closing">
    <w:name w:val="Closing"/>
    <w:basedOn w:val="Normal"/>
    <w:link w:val="ClosingChar"/>
    <w:uiPriority w:val="99"/>
    <w:semiHidden/>
    <w:pPr>
      <w:spacing w:after="0" w:line="240" w:lineRule="auto"/>
      <w:ind w:left="4252"/>
    </w:pPr>
  </w:style>
  <w:style w:type="character" w:customStyle="1" w:styleId="ClosingChar">
    <w:name w:val="Closing Char"/>
    <w:basedOn w:val="DefaultParagraphFont"/>
    <w:link w:val="Closing"/>
    <w:uiPriority w:val="99"/>
    <w:semiHidden/>
    <w:rPr>
      <w:rFonts w:ascii="Arial" w:hAnsi="Arial"/>
    </w:rPr>
  </w:style>
  <w:style w:type="paragraph" w:styleId="HTMLAddress">
    <w:name w:val="HTML Address"/>
    <w:basedOn w:val="Normal"/>
    <w:link w:val="HTMLAddressChar"/>
    <w:uiPriority w:val="99"/>
    <w:semiHidden/>
    <w:pPr>
      <w:spacing w:after="0" w:line="240" w:lineRule="auto"/>
    </w:pPr>
    <w:rPr>
      <w:i/>
      <w:iCs/>
    </w:rPr>
  </w:style>
  <w:style w:type="character" w:customStyle="1" w:styleId="HTMLAddressChar">
    <w:name w:val="HTML Address Char"/>
    <w:basedOn w:val="DefaultParagraphFont"/>
    <w:link w:val="HTMLAddress"/>
    <w:uiPriority w:val="99"/>
    <w:semiHidden/>
    <w:rPr>
      <w:rFonts w:ascii="Arial" w:hAnsi="Arial"/>
      <w:i/>
      <w:iCs/>
    </w:rPr>
  </w:style>
  <w:style w:type="paragraph" w:styleId="HTMLPreformatted">
    <w:name w:val="HTML Preformatted"/>
    <w:basedOn w:val="Normal"/>
    <w:link w:val="HTMLPreformattedChar"/>
    <w:uiPriority w:val="99"/>
    <w:semiHidden/>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paragraph" w:styleId="Index1">
    <w:name w:val="index 1"/>
    <w:basedOn w:val="Normal"/>
    <w:next w:val="Normal"/>
    <w:autoRedefine/>
    <w:uiPriority w:val="99"/>
    <w:semiHidden/>
    <w:pPr>
      <w:spacing w:after="0" w:line="240" w:lineRule="auto"/>
      <w:ind w:left="220" w:hanging="220"/>
    </w:pPr>
  </w:style>
  <w:style w:type="paragraph" w:styleId="Index2">
    <w:name w:val="index 2"/>
    <w:basedOn w:val="Normal"/>
    <w:next w:val="Normal"/>
    <w:autoRedefine/>
    <w:uiPriority w:val="99"/>
    <w:semiHidden/>
    <w:pPr>
      <w:spacing w:after="0" w:line="240" w:lineRule="auto"/>
      <w:ind w:left="440" w:hanging="220"/>
    </w:pPr>
  </w:style>
  <w:style w:type="paragraph" w:styleId="Index3">
    <w:name w:val="index 3"/>
    <w:basedOn w:val="Normal"/>
    <w:next w:val="Normal"/>
    <w:autoRedefine/>
    <w:uiPriority w:val="99"/>
    <w:semiHidden/>
    <w:pPr>
      <w:spacing w:after="0" w:line="240" w:lineRule="auto"/>
      <w:ind w:left="660" w:hanging="220"/>
    </w:pPr>
  </w:style>
  <w:style w:type="paragraph" w:styleId="Index4">
    <w:name w:val="index 4"/>
    <w:basedOn w:val="Normal"/>
    <w:next w:val="Normal"/>
    <w:autoRedefine/>
    <w:uiPriority w:val="99"/>
    <w:semiHidden/>
    <w:pPr>
      <w:spacing w:after="0" w:line="240" w:lineRule="auto"/>
      <w:ind w:left="880" w:hanging="220"/>
    </w:pPr>
  </w:style>
  <w:style w:type="paragraph" w:styleId="Index5">
    <w:name w:val="index 5"/>
    <w:basedOn w:val="Normal"/>
    <w:next w:val="Normal"/>
    <w:autoRedefine/>
    <w:uiPriority w:val="99"/>
    <w:semiHidden/>
    <w:pPr>
      <w:spacing w:after="0" w:line="240" w:lineRule="auto"/>
      <w:ind w:left="1100" w:hanging="220"/>
    </w:pPr>
  </w:style>
  <w:style w:type="paragraph" w:styleId="Index6">
    <w:name w:val="index 6"/>
    <w:basedOn w:val="Normal"/>
    <w:next w:val="Normal"/>
    <w:autoRedefine/>
    <w:uiPriority w:val="99"/>
    <w:semiHidden/>
    <w:pPr>
      <w:spacing w:after="0" w:line="240" w:lineRule="auto"/>
      <w:ind w:left="1320" w:hanging="220"/>
    </w:pPr>
  </w:style>
  <w:style w:type="paragraph" w:styleId="Index7">
    <w:name w:val="index 7"/>
    <w:basedOn w:val="Normal"/>
    <w:next w:val="Normal"/>
    <w:autoRedefine/>
    <w:uiPriority w:val="99"/>
    <w:semiHidden/>
    <w:pPr>
      <w:spacing w:after="0" w:line="240" w:lineRule="auto"/>
      <w:ind w:left="1540" w:hanging="220"/>
    </w:pPr>
  </w:style>
  <w:style w:type="paragraph" w:styleId="Index8">
    <w:name w:val="index 8"/>
    <w:basedOn w:val="Normal"/>
    <w:next w:val="Normal"/>
    <w:autoRedefine/>
    <w:uiPriority w:val="99"/>
    <w:semiHidden/>
    <w:pPr>
      <w:spacing w:after="0" w:line="240" w:lineRule="auto"/>
      <w:ind w:left="1760" w:hanging="220"/>
    </w:pPr>
  </w:style>
  <w:style w:type="paragraph" w:styleId="Index9">
    <w:name w:val="index 9"/>
    <w:basedOn w:val="Normal"/>
    <w:next w:val="Normal"/>
    <w:autoRedefine/>
    <w:uiPriority w:val="99"/>
    <w:semiHidden/>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pPr>
      <w:pBdr>
        <w:bottom w:val="single" w:sz="4" w:space="4" w:color="006AA4" w:themeColor="accent1"/>
      </w:pBdr>
      <w:spacing w:before="200" w:after="280"/>
      <w:ind w:left="936" w:right="936"/>
    </w:pPr>
    <w:rPr>
      <w:b/>
      <w:bCs/>
      <w:i/>
      <w:iCs/>
      <w:color w:val="006AA4" w:themeColor="accent1"/>
    </w:rPr>
  </w:style>
  <w:style w:type="character" w:customStyle="1" w:styleId="IntenseQuoteChar">
    <w:name w:val="Intense Quote Char"/>
    <w:basedOn w:val="DefaultParagraphFont"/>
    <w:link w:val="IntenseQuote"/>
    <w:uiPriority w:val="30"/>
    <w:semiHidden/>
    <w:rPr>
      <w:rFonts w:ascii="Arial" w:hAnsi="Arial"/>
      <w:b/>
      <w:bCs/>
      <w:i/>
      <w:iCs/>
      <w:color w:val="006AA4" w:themeColor="accent1"/>
    </w:rPr>
  </w:style>
  <w:style w:type="paragraph" w:styleId="CommentText">
    <w:name w:val="annotation text"/>
    <w:basedOn w:val="Normal"/>
    <w:link w:val="CommentTextChar"/>
    <w:uiPriority w:val="99"/>
    <w:semiHidden/>
    <w:pPr>
      <w:spacing w:line="240" w:lineRule="auto"/>
    </w:pPr>
    <w:rPr>
      <w:sz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styleId="List2">
    <w:name w:val="List 2"/>
    <w:basedOn w:val="Normal"/>
    <w:uiPriority w:val="99"/>
    <w:semiHidden/>
    <w:pPr>
      <w:ind w:left="566" w:hanging="283"/>
      <w:contextualSpacing/>
    </w:pPr>
  </w:style>
  <w:style w:type="paragraph" w:styleId="List3">
    <w:name w:val="List 3"/>
    <w:basedOn w:val="Normal"/>
    <w:uiPriority w:val="99"/>
    <w:semiHidden/>
    <w:pPr>
      <w:ind w:left="849" w:hanging="283"/>
      <w:contextualSpacing/>
    </w:pPr>
  </w:style>
  <w:style w:type="paragraph" w:styleId="List4">
    <w:name w:val="List 4"/>
    <w:basedOn w:val="Normal"/>
    <w:uiPriority w:val="99"/>
    <w:semiHidden/>
    <w:pPr>
      <w:ind w:left="1132" w:hanging="283"/>
      <w:contextualSpacing/>
    </w:pPr>
  </w:style>
  <w:style w:type="paragraph" w:styleId="List5">
    <w:name w:val="List 5"/>
    <w:basedOn w:val="Normal"/>
    <w:uiPriority w:val="99"/>
    <w:semiHidden/>
    <w:pPr>
      <w:ind w:left="1415" w:hanging="283"/>
      <w:contextualSpacing/>
    </w:pPr>
  </w:style>
  <w:style w:type="paragraph" w:styleId="ListParagraph">
    <w:name w:val="List Paragraph"/>
    <w:basedOn w:val="Normal"/>
    <w:uiPriority w:val="99"/>
    <w:qFormat/>
    <w:pPr>
      <w:ind w:left="720"/>
      <w:contextualSpacing/>
    </w:pPr>
  </w:style>
  <w:style w:type="paragraph" w:styleId="ListContinue">
    <w:name w:val="List Continue"/>
    <w:basedOn w:val="Normal"/>
    <w:uiPriority w:val="99"/>
    <w:semiHidden/>
    <w:pPr>
      <w:spacing w:after="120"/>
      <w:ind w:left="283"/>
      <w:contextualSpacing/>
    </w:pPr>
  </w:style>
  <w:style w:type="paragraph" w:styleId="ListContinue2">
    <w:name w:val="List Continue 2"/>
    <w:basedOn w:val="Normal"/>
    <w:uiPriority w:val="99"/>
    <w:semiHidden/>
    <w:pPr>
      <w:spacing w:after="120"/>
      <w:ind w:left="566"/>
      <w:contextualSpacing/>
    </w:pPr>
  </w:style>
  <w:style w:type="paragraph" w:styleId="ListContinue3">
    <w:name w:val="List Continue 3"/>
    <w:basedOn w:val="Normal"/>
    <w:uiPriority w:val="99"/>
    <w:semiHidden/>
    <w:pPr>
      <w:spacing w:after="120"/>
      <w:ind w:left="849"/>
      <w:contextualSpacing/>
    </w:pPr>
  </w:style>
  <w:style w:type="paragraph" w:styleId="ListContinue4">
    <w:name w:val="List Continue 4"/>
    <w:basedOn w:val="Normal"/>
    <w:uiPriority w:val="99"/>
    <w:semiHidden/>
    <w:pPr>
      <w:spacing w:after="120"/>
      <w:ind w:left="1132"/>
      <w:contextualSpacing/>
    </w:pPr>
  </w:style>
  <w:style w:type="paragraph" w:styleId="ListContinue5">
    <w:name w:val="List Continue 5"/>
    <w:basedOn w:val="Normal"/>
    <w:uiPriority w:val="99"/>
    <w:semiHidden/>
    <w:pPr>
      <w:spacing w:after="120"/>
      <w:ind w:left="1415"/>
      <w:contextualSpacing/>
    </w:pPr>
  </w:style>
  <w:style w:type="paragraph" w:styleId="ListNumber">
    <w:name w:val="List Number"/>
    <w:basedOn w:val="Normal"/>
    <w:pPr>
      <w:numPr>
        <w:numId w:val="29"/>
      </w:numPr>
      <w:spacing w:after="240" w:line="240" w:lineRule="auto"/>
    </w:pPr>
    <w:rPr>
      <w:rFonts w:eastAsia="Times New Roman"/>
    </w:rPr>
  </w:style>
  <w:style w:type="paragraph" w:styleId="ListNumber2">
    <w:name w:val="List Number 2"/>
    <w:basedOn w:val="Normal"/>
    <w:pPr>
      <w:numPr>
        <w:numId w:val="31"/>
      </w:numPr>
      <w:spacing w:after="240" w:line="240" w:lineRule="auto"/>
    </w:pPr>
    <w:rPr>
      <w:rFonts w:eastAsia="Times New Roman"/>
    </w:rPr>
  </w:style>
  <w:style w:type="paragraph" w:styleId="ListNumber3">
    <w:name w:val="List Number 3"/>
    <w:basedOn w:val="Normal"/>
    <w:pPr>
      <w:numPr>
        <w:numId w:val="32"/>
      </w:numPr>
      <w:spacing w:after="240" w:line="240" w:lineRule="auto"/>
    </w:pPr>
    <w:rPr>
      <w:rFonts w:eastAsia="Times New Roman"/>
    </w:rPr>
  </w:style>
  <w:style w:type="paragraph" w:styleId="ListNumber4">
    <w:name w:val="List Number 4"/>
    <w:basedOn w:val="Normal"/>
    <w:pPr>
      <w:numPr>
        <w:numId w:val="33"/>
      </w:numPr>
      <w:spacing w:after="240" w:line="240" w:lineRule="auto"/>
    </w:pPr>
    <w:rPr>
      <w:rFonts w:eastAsia="Times New Roman"/>
    </w:rPr>
  </w:style>
  <w:style w:type="paragraph" w:styleId="ListNumber5">
    <w:name w:val="List Number 5"/>
    <w:basedOn w:val="Normal"/>
    <w:uiPriority w:val="99"/>
    <w:semiHidden/>
    <w:pPr>
      <w:numPr>
        <w:numId w:val="11"/>
      </w:numPr>
      <w:contextualSpacing/>
    </w:pPr>
  </w:style>
  <w:style w:type="paragraph" w:styleId="MessageHeader">
    <w:name w:val="Message Header"/>
    <w:basedOn w:val="Normal"/>
    <w:link w:val="MessageHeaderChar"/>
    <w:uiPriority w:val="99"/>
    <w:semiHidden/>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semiHidden/>
    <w:unhideWhenUs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paragraph" w:styleId="TableofAuthorities">
    <w:name w:val="table of authorities"/>
    <w:basedOn w:val="Normal"/>
    <w:next w:val="Normal"/>
    <w:uiPriority w:val="99"/>
    <w:semiHidden/>
    <w:unhideWhenUsed/>
    <w:pPr>
      <w:spacing w:after="0"/>
      <w:ind w:left="220" w:hanging="220"/>
    </w:p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Cs w:val="24"/>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rPr>
      <w:szCs w:val="24"/>
    </w:rPr>
  </w:style>
  <w:style w:type="paragraph" w:styleId="NormalIndent">
    <w:name w:val="Normal Indent"/>
    <w:basedOn w:val="Normal"/>
    <w:uiPriority w:val="99"/>
    <w:semiHidden/>
    <w:pPr>
      <w:ind w:left="708"/>
    </w:p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Arial" w:hAnsi="Arial"/>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Arial" w:hAnsi="Arial"/>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Arial" w:hAnsi="Arial"/>
      <w:sz w:val="16"/>
      <w:szCs w:val="16"/>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Arial" w:hAnsi="Arial"/>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Arial" w:hAnsi="Arial"/>
      <w:sz w:val="16"/>
      <w:szCs w:val="16"/>
    </w:rPr>
  </w:style>
  <w:style w:type="paragraph" w:styleId="BodyTextFirstIndent">
    <w:name w:val="Body Text First Indent"/>
    <w:basedOn w:val="BodyText"/>
    <w:link w:val="BodyTextFirstIndentChar"/>
    <w:uiPriority w:val="99"/>
    <w:semiHidden/>
    <w:unhideWhenUsed/>
    <w:pPr>
      <w:spacing w:after="240"/>
      <w:ind w:firstLine="360"/>
    </w:pPr>
  </w:style>
  <w:style w:type="character" w:customStyle="1" w:styleId="BodyTextFirstIndentChar">
    <w:name w:val="Body Text First Indent Char"/>
    <w:basedOn w:val="BodyTextChar"/>
    <w:link w:val="BodyTextFirstIndent"/>
    <w:uiPriority w:val="99"/>
    <w:semiHidden/>
    <w:rPr>
      <w:rFonts w:ascii="Arial" w:hAnsi="Arial"/>
    </w:rPr>
  </w:style>
  <w:style w:type="paragraph" w:styleId="BodyTextFirstIndent2">
    <w:name w:val="Body Text First Indent 2"/>
    <w:basedOn w:val="BodyTextIndent"/>
    <w:link w:val="BodyTextFirstIndent2Char"/>
    <w:uiPriority w:val="99"/>
    <w:semiHidden/>
    <w:unhideWhenUsed/>
    <w:pPr>
      <w:spacing w:after="240"/>
      <w:ind w:left="360" w:firstLine="360"/>
    </w:pPr>
  </w:style>
  <w:style w:type="character" w:customStyle="1" w:styleId="BodyTextFirstIndent2Char">
    <w:name w:val="Body Text First Indent 2 Char"/>
    <w:basedOn w:val="BodyTextIndentChar"/>
    <w:link w:val="BodyTextFirstIndent2"/>
    <w:uiPriority w:val="99"/>
    <w:semiHidden/>
    <w:rPr>
      <w:rFonts w:ascii="Arial" w:hAnsi="Arial"/>
    </w:rPr>
  </w:style>
  <w:style w:type="paragraph" w:styleId="Title">
    <w:name w:val="Title"/>
    <w:basedOn w:val="Normal"/>
    <w:next w:val="Normal"/>
    <w:link w:val="TitleChar"/>
    <w:uiPriority w:val="41"/>
    <w:semiHidden/>
    <w:qFormat/>
    <w:pPr>
      <w:pBdr>
        <w:bottom w:val="single" w:sz="8" w:space="4" w:color="006AA4" w:themeColor="accent1"/>
      </w:pBdr>
      <w:spacing w:after="300" w:line="240" w:lineRule="auto"/>
      <w:contextualSpacing/>
    </w:pPr>
    <w:rPr>
      <w:rFonts w:asciiTheme="majorHAnsi" w:eastAsiaTheme="majorEastAsia" w:hAnsiTheme="majorHAnsi" w:cstheme="majorBidi"/>
      <w:color w:val="000072" w:themeColor="text2" w:themeShade="BF"/>
      <w:spacing w:val="5"/>
      <w:kern w:val="28"/>
      <w:sz w:val="52"/>
      <w:szCs w:val="52"/>
    </w:rPr>
  </w:style>
  <w:style w:type="character" w:customStyle="1" w:styleId="TitleChar">
    <w:name w:val="Title Char"/>
    <w:basedOn w:val="DefaultParagraphFont"/>
    <w:link w:val="Title"/>
    <w:uiPriority w:val="41"/>
    <w:semiHidden/>
    <w:rPr>
      <w:rFonts w:asciiTheme="majorHAnsi" w:eastAsiaTheme="majorEastAsia" w:hAnsiTheme="majorHAnsi" w:cstheme="majorBidi"/>
      <w:color w:val="000072" w:themeColor="text2" w:themeShade="BF"/>
      <w:spacing w:val="5"/>
      <w:kern w:val="28"/>
      <w:sz w:val="52"/>
      <w:szCs w:val="52"/>
    </w:rPr>
  </w:style>
  <w:style w:type="character" w:customStyle="1" w:styleId="Heading4Char">
    <w:name w:val="Heading 4 Char"/>
    <w:basedOn w:val="DefaultParagraphFont"/>
    <w:link w:val="Heading4"/>
    <w:rPr>
      <w:b/>
    </w:rPr>
  </w:style>
  <w:style w:type="character" w:customStyle="1" w:styleId="Heading5Char">
    <w:name w:val="Heading 5 Char"/>
    <w:basedOn w:val="DefaultParagraphFont"/>
    <w:link w:val="Heading5"/>
    <w:rPr>
      <w:rFonts w:ascii="Arial" w:eastAsiaTheme="majorEastAsia" w:hAnsi="Arial" w:cstheme="majorBidi"/>
      <w:b/>
      <w:lang w:val="en-GB"/>
    </w:rPr>
  </w:style>
  <w:style w:type="character" w:customStyle="1" w:styleId="Heading6Char">
    <w:name w:val="Heading 6 Char"/>
    <w:basedOn w:val="DefaultParagraphFont"/>
    <w:link w:val="Heading6"/>
    <w:uiPriority w:val="20"/>
    <w:semiHidden/>
    <w:rPr>
      <w:rFonts w:asciiTheme="majorHAnsi" w:eastAsiaTheme="majorEastAsia" w:hAnsiTheme="majorHAnsi" w:cstheme="majorBidi"/>
      <w:i/>
      <w:iCs/>
      <w:color w:val="003451" w:themeColor="accent1" w:themeShade="7F"/>
    </w:rPr>
  </w:style>
  <w:style w:type="character" w:customStyle="1" w:styleId="Heading7Char">
    <w:name w:val="Heading 7 Char"/>
    <w:basedOn w:val="DefaultParagraphFont"/>
    <w:link w:val="Heading7"/>
    <w:uiPriority w:val="20"/>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20"/>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20"/>
    <w:semiHidden/>
    <w:rPr>
      <w:rFonts w:asciiTheme="majorHAnsi" w:eastAsiaTheme="majorEastAsia" w:hAnsiTheme="majorHAnsi" w:cstheme="majorBidi"/>
      <w:i/>
      <w:iCs/>
      <w:color w:val="404040" w:themeColor="text1" w:themeTint="BF"/>
      <w:sz w:val="20"/>
      <w:szCs w:val="20"/>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sz w:val="20"/>
    </w:rPr>
  </w:style>
  <w:style w:type="paragraph" w:styleId="EnvelopeAddress">
    <w:name w:val="envelope address"/>
    <w:basedOn w:val="Normal"/>
    <w:uiPriority w:val="99"/>
    <w:semiHidden/>
    <w:unhideWhenUsed/>
    <w:pPr>
      <w:framePr w:w="4320" w:h="2160" w:hRule="exact" w:hSpace="141" w:wrap="auto" w:hAnchor="page" w:xAlign="center" w:yAlign="bottom"/>
      <w:spacing w:after="0" w:line="240" w:lineRule="auto"/>
      <w:ind w:left="1"/>
    </w:pPr>
    <w:rPr>
      <w:rFonts w:asciiTheme="majorHAnsi" w:eastAsiaTheme="majorEastAsia" w:hAnsiTheme="majorHAnsi" w:cstheme="majorBidi"/>
      <w:szCs w:val="24"/>
    </w:rPr>
  </w:style>
  <w:style w:type="paragraph" w:styleId="Signature">
    <w:name w:val="Signature"/>
    <w:basedOn w:val="Normal"/>
    <w:link w:val="SignatureChar"/>
    <w:uiPriority w:val="99"/>
    <w:semiHidden/>
    <w:unhideWhenUsed/>
    <w:pPr>
      <w:spacing w:after="0" w:line="240" w:lineRule="auto"/>
      <w:ind w:left="4252"/>
    </w:pPr>
  </w:style>
  <w:style w:type="character" w:customStyle="1" w:styleId="SignatureChar">
    <w:name w:val="Signature Char"/>
    <w:basedOn w:val="DefaultParagraphFont"/>
    <w:link w:val="Signature"/>
    <w:uiPriority w:val="99"/>
    <w:semiHidden/>
    <w:rPr>
      <w:rFonts w:ascii="Arial" w:hAnsi="Arial"/>
    </w:rPr>
  </w:style>
  <w:style w:type="paragraph" w:styleId="Subtitle">
    <w:name w:val="Subtitle"/>
    <w:basedOn w:val="Normal"/>
    <w:next w:val="Normal"/>
    <w:link w:val="SubtitleChar"/>
    <w:uiPriority w:val="40"/>
    <w:semiHidden/>
    <w:qFormat/>
    <w:pPr>
      <w:numPr>
        <w:ilvl w:val="1"/>
      </w:numPr>
    </w:pPr>
    <w:rPr>
      <w:rFonts w:asciiTheme="majorHAnsi" w:eastAsiaTheme="majorEastAsia" w:hAnsiTheme="majorHAnsi" w:cstheme="majorBidi"/>
      <w:i/>
      <w:iCs/>
      <w:color w:val="006AA4" w:themeColor="accent1"/>
      <w:spacing w:val="15"/>
      <w:szCs w:val="24"/>
    </w:rPr>
  </w:style>
  <w:style w:type="character" w:customStyle="1" w:styleId="SubtitleChar">
    <w:name w:val="Subtitle Char"/>
    <w:basedOn w:val="DefaultParagraphFont"/>
    <w:link w:val="Subtitle"/>
    <w:uiPriority w:val="40"/>
    <w:semiHidden/>
    <w:rPr>
      <w:rFonts w:asciiTheme="majorHAnsi" w:eastAsiaTheme="majorEastAsia" w:hAnsiTheme="majorHAnsi" w:cstheme="majorBidi"/>
      <w:i/>
      <w:iCs/>
      <w:color w:val="006AA4" w:themeColor="accent1"/>
      <w:spacing w:val="15"/>
      <w:sz w:val="24"/>
      <w:szCs w:val="24"/>
    </w:rPr>
  </w:style>
  <w:style w:type="paragraph" w:styleId="TOC6">
    <w:name w:val="toc 6"/>
    <w:basedOn w:val="Normal"/>
    <w:next w:val="Standardtext"/>
    <w:uiPriority w:val="39"/>
    <w:semiHidden/>
    <w:pPr>
      <w:tabs>
        <w:tab w:val="right" w:pos="9639"/>
      </w:tabs>
      <w:spacing w:before="260" w:after="120" w:line="260" w:lineRule="atLeast"/>
      <w:jc w:val="left"/>
    </w:pPr>
    <w:rPr>
      <w:b/>
      <w:color w:val="006AA4" w:themeColor="accent1"/>
    </w:rPr>
  </w:style>
  <w:style w:type="paragraph" w:styleId="TOC7">
    <w:name w:val="toc 7"/>
    <w:basedOn w:val="Normal"/>
    <w:next w:val="Standardtext"/>
    <w:uiPriority w:val="39"/>
    <w:pPr>
      <w:tabs>
        <w:tab w:val="right" w:pos="9628"/>
      </w:tabs>
      <w:spacing w:before="120" w:after="120" w:line="260" w:lineRule="atLeast"/>
      <w:jc w:val="left"/>
    </w:pPr>
    <w:rPr>
      <w:b/>
      <w:color w:val="006AA4" w:themeColor="accent1"/>
    </w:rPr>
  </w:style>
  <w:style w:type="paragraph" w:styleId="TOC8">
    <w:name w:val="toc 8"/>
    <w:basedOn w:val="Normal"/>
    <w:next w:val="Normal"/>
    <w:autoRedefine/>
    <w:uiPriority w:val="39"/>
    <w:semiHidden/>
    <w:pPr>
      <w:spacing w:after="100"/>
      <w:ind w:left="1540"/>
    </w:pPr>
  </w:style>
  <w:style w:type="paragraph" w:styleId="TOC9">
    <w:name w:val="toc 9"/>
    <w:basedOn w:val="Normal"/>
    <w:next w:val="Normal"/>
    <w:autoRedefine/>
    <w:uiPriority w:val="39"/>
    <w:semiHidden/>
    <w:pPr>
      <w:spacing w:after="100"/>
      <w:ind w:left="1760"/>
    </w:pPr>
  </w:style>
  <w:style w:type="paragraph" w:styleId="Quote">
    <w:name w:val="Quote"/>
    <w:basedOn w:val="Normal"/>
    <w:next w:val="Normal"/>
    <w:link w:val="QuoteChar"/>
    <w:uiPriority w:val="29"/>
    <w:semiHidden/>
    <w:qFormat/>
    <w:rPr>
      <w:i/>
      <w:iCs/>
      <w:color w:val="000000" w:themeColor="text1"/>
    </w:rPr>
  </w:style>
  <w:style w:type="character" w:customStyle="1" w:styleId="QuoteChar">
    <w:name w:val="Quote Char"/>
    <w:basedOn w:val="DefaultParagraphFont"/>
    <w:link w:val="Quote"/>
    <w:uiPriority w:val="29"/>
    <w:semiHidden/>
    <w:rPr>
      <w:rFonts w:ascii="Arial" w:hAnsi="Arial"/>
      <w:i/>
      <w:iCs/>
      <w:color w:val="000000" w:themeColor="text1"/>
    </w:rPr>
  </w:style>
  <w:style w:type="character" w:styleId="FollowedHyperlink">
    <w:name w:val="FollowedHyperlink"/>
    <w:basedOn w:val="DefaultParagraphFont"/>
    <w:uiPriority w:val="99"/>
    <w:semiHidden/>
    <w:rPr>
      <w:color w:val="E3004F" w:themeColor="followedHyperlink"/>
      <w:u w:val="single"/>
    </w:rPr>
  </w:style>
  <w:style w:type="character" w:customStyle="1" w:styleId="kursiv0">
    <w:name w:val="kursiv"/>
    <w:basedOn w:val="DefaultParagraphFont"/>
    <w:uiPriority w:val="99"/>
    <w:semiHidden/>
    <w:qFormat/>
    <w:rPr>
      <w:b w:val="0"/>
      <w:i/>
    </w:rPr>
  </w:style>
  <w:style w:type="character" w:styleId="CommentReference">
    <w:name w:val="annotation reference"/>
    <w:basedOn w:val="DefaultParagraphFont"/>
    <w:uiPriority w:val="99"/>
    <w:semiHidden/>
    <w:rPr>
      <w:sz w:val="16"/>
      <w:szCs w:val="16"/>
    </w:rPr>
  </w:style>
  <w:style w:type="paragraph" w:styleId="Revision">
    <w:name w:val="Revision"/>
    <w:hidden/>
    <w:uiPriority w:val="99"/>
    <w:semiHidden/>
    <w:pPr>
      <w:spacing w:after="0" w:line="240" w:lineRule="auto"/>
    </w:pPr>
    <w:rPr>
      <w:rFonts w:ascii="Arial" w:hAnsi="Arial"/>
      <w:noProof/>
    </w:rPr>
  </w:style>
  <w:style w:type="table" w:styleId="LightList-Accent1">
    <w:name w:val="Light List Accent 1"/>
    <w:basedOn w:val="TableNormal"/>
    <w:uiPriority w:val="61"/>
    <w:pPr>
      <w:spacing w:after="0" w:line="240" w:lineRule="auto"/>
    </w:pPr>
    <w:tblPr>
      <w:tblStyleRowBandSize w:val="1"/>
      <w:tblStyleColBandSize w:val="1"/>
      <w:tblInd w:w="0" w:type="dxa"/>
      <w:tblBorders>
        <w:top w:val="single" w:sz="8" w:space="0" w:color="006AA4" w:themeColor="accent1"/>
        <w:left w:val="single" w:sz="8" w:space="0" w:color="006AA4" w:themeColor="accent1"/>
        <w:bottom w:val="single" w:sz="8" w:space="0" w:color="006AA4" w:themeColor="accent1"/>
        <w:right w:val="single" w:sz="8" w:space="0" w:color="006AA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6AA4" w:themeFill="accent1"/>
      </w:tcPr>
    </w:tblStylePr>
    <w:tblStylePr w:type="lastRow">
      <w:pPr>
        <w:spacing w:before="0" w:after="0" w:line="240" w:lineRule="auto"/>
      </w:pPr>
      <w:rPr>
        <w:b/>
        <w:bCs/>
      </w:rPr>
      <w:tblPr/>
      <w:tcPr>
        <w:tcBorders>
          <w:top w:val="double" w:sz="6" w:space="0" w:color="006AA4" w:themeColor="accent1"/>
          <w:left w:val="single" w:sz="8" w:space="0" w:color="006AA4" w:themeColor="accent1"/>
          <w:bottom w:val="single" w:sz="8" w:space="0" w:color="006AA4" w:themeColor="accent1"/>
          <w:right w:val="single" w:sz="8" w:space="0" w:color="006AA4" w:themeColor="accent1"/>
        </w:tcBorders>
      </w:tcPr>
    </w:tblStylePr>
    <w:tblStylePr w:type="firstCol">
      <w:rPr>
        <w:b/>
        <w:bCs/>
      </w:rPr>
    </w:tblStylePr>
    <w:tblStylePr w:type="lastCol">
      <w:rPr>
        <w:b/>
        <w:bCs/>
      </w:rPr>
    </w:tblStylePr>
    <w:tblStylePr w:type="band1Vert">
      <w:tblPr/>
      <w:tcPr>
        <w:tcBorders>
          <w:top w:val="single" w:sz="8" w:space="0" w:color="006AA4" w:themeColor="accent1"/>
          <w:left w:val="single" w:sz="8" w:space="0" w:color="006AA4" w:themeColor="accent1"/>
          <w:bottom w:val="single" w:sz="8" w:space="0" w:color="006AA4" w:themeColor="accent1"/>
          <w:right w:val="single" w:sz="8" w:space="0" w:color="006AA4" w:themeColor="accent1"/>
        </w:tcBorders>
      </w:tcPr>
    </w:tblStylePr>
    <w:tblStylePr w:type="band1Horz">
      <w:pPr>
        <w:wordWrap/>
        <w:spacing w:beforeLines="0" w:before="0" w:beforeAutospacing="0" w:afterLines="0" w:after="0" w:afterAutospacing="0" w:line="240" w:lineRule="auto"/>
        <w:ind w:rightChars="0" w:right="0"/>
      </w:pPr>
      <w:tblPr/>
      <w:tcPr>
        <w:tcBorders>
          <w:top w:val="single" w:sz="8" w:space="0" w:color="006AA4" w:themeColor="accent1"/>
          <w:left w:val="single" w:sz="8" w:space="0" w:color="006AA4" w:themeColor="accent1"/>
          <w:bottom w:val="single" w:sz="8" w:space="0" w:color="006AA4" w:themeColor="accent1"/>
          <w:right w:val="single" w:sz="8" w:space="0" w:color="006AA4" w:themeColor="accent1"/>
        </w:tcBorders>
      </w:tcPr>
    </w:tblStylePr>
    <w:tblStylePr w:type="band2Horz">
      <w:pPr>
        <w:wordWrap/>
        <w:spacing w:beforeLines="0" w:before="0" w:beforeAutospacing="0" w:afterLines="0" w:after="0" w:afterAutospacing="0" w:line="240" w:lineRule="auto"/>
        <w:ind w:leftChars="0" w:left="0" w:rightChars="0" w:right="0" w:firstLineChars="0" w:firstLine="0"/>
      </w:pPr>
    </w:tblStylePr>
  </w:style>
  <w:style w:type="paragraph" w:customStyle="1" w:styleId="wwwoekode">
    <w:name w:val="www.oeko.de"/>
    <w:basedOn w:val="Standardtext"/>
    <w:semiHidden/>
    <w:qFormat/>
    <w:pPr>
      <w:spacing w:before="20" w:after="0" w:line="240" w:lineRule="auto"/>
      <w:jc w:val="right"/>
    </w:pPr>
    <w:rPr>
      <w:szCs w:val="24"/>
    </w:rPr>
  </w:style>
  <w:style w:type="table" w:customStyle="1" w:styleId="Oeko3">
    <w:name w:val="Oeko_3"/>
    <w:basedOn w:val="TableNormal"/>
    <w:uiPriority w:val="99"/>
    <w:pPr>
      <w:spacing w:before="40" w:after="40" w:line="240" w:lineRule="auto"/>
    </w:pPr>
    <w:rPr>
      <w:rFonts w:ascii="Arial" w:hAnsi="Arial"/>
      <w:sz w:val="20"/>
    </w:rPr>
    <w:tblPr>
      <w:tblInd w:w="0" w:type="dxa"/>
      <w:tblBorders>
        <w:top w:val="single" w:sz="4" w:space="0" w:color="97BF0D" w:themeColor="accent3"/>
        <w:bottom w:val="single" w:sz="4" w:space="0" w:color="97BF0D" w:themeColor="accent3"/>
        <w:insideH w:val="single" w:sz="4" w:space="0" w:color="97BF0D" w:themeColor="accent3"/>
      </w:tblBorders>
      <w:tblCellMar>
        <w:top w:w="0" w:type="dxa"/>
        <w:left w:w="0" w:type="dxa"/>
        <w:bottom w:w="0" w:type="dxa"/>
        <w:right w:w="0" w:type="dxa"/>
      </w:tblCellMar>
    </w:tblPr>
  </w:style>
  <w:style w:type="paragraph" w:customStyle="1" w:styleId="berschrift2oNum">
    <w:name w:val="Überschrift 2 oNum"/>
    <w:basedOn w:val="Normal"/>
    <w:next w:val="Standardtext"/>
    <w:uiPriority w:val="1"/>
    <w:semiHidden/>
    <w:qFormat/>
    <w:pPr>
      <w:keepNext/>
      <w:keepLines/>
      <w:spacing w:before="480"/>
      <w:jc w:val="left"/>
    </w:pPr>
    <w:rPr>
      <w:b/>
      <w:color w:val="006AA4" w:themeColor="accent1"/>
    </w:rPr>
  </w:style>
  <w:style w:type="table" w:customStyle="1" w:styleId="Oeko2">
    <w:name w:val="Oeko_2"/>
    <w:basedOn w:val="TableNormal"/>
    <w:uiPriority w:val="99"/>
    <w:pPr>
      <w:spacing w:before="40" w:after="40" w:line="240" w:lineRule="auto"/>
    </w:pPr>
    <w:rPr>
      <w:rFonts w:ascii="Arial" w:hAnsi="Arial"/>
    </w:rPr>
    <w:tblPr>
      <w:tblStyleRowBandSize w:val="1"/>
      <w:tblInd w:w="0" w:type="dxa"/>
      <w:tblBorders>
        <w:insideV w:val="single" w:sz="2" w:space="0" w:color="868686"/>
      </w:tblBorders>
      <w:tblCellMar>
        <w:top w:w="0" w:type="dxa"/>
        <w:left w:w="85" w:type="dxa"/>
        <w:bottom w:w="0" w:type="dxa"/>
        <w:right w:w="85" w:type="dxa"/>
      </w:tblCellMar>
    </w:tblPr>
    <w:tblStylePr w:type="firstRow">
      <w:rPr>
        <w:b/>
      </w:rPr>
      <w:tblPr/>
      <w:tcPr>
        <w:tcBorders>
          <w:bottom w:val="single" w:sz="12" w:space="0" w:color="97BF0D" w:themeColor="accent3"/>
        </w:tcBorders>
      </w:tcPr>
    </w:tblStylePr>
    <w:tblStylePr w:type="firstCol">
      <w:pPr>
        <w:wordWrap/>
        <w:ind w:leftChars="0" w:left="-85"/>
      </w:pPr>
      <w:tblPr/>
      <w:tcPr>
        <w:tcBorders>
          <w:right w:val="single" w:sz="4" w:space="0" w:color="868686"/>
          <w:insideV w:val="nil"/>
        </w:tcBorders>
      </w:tcPr>
    </w:tblStylePr>
    <w:tblStylePr w:type="band1Horz">
      <w:tblPr/>
      <w:tcPr>
        <w:tcBorders>
          <w:bottom w:val="single" w:sz="2" w:space="0" w:color="868686"/>
        </w:tcBorders>
      </w:tcPr>
    </w:tblStylePr>
    <w:tblStylePr w:type="band2Horz">
      <w:tblPr/>
      <w:tcPr>
        <w:tcBorders>
          <w:bottom w:val="single" w:sz="2" w:space="0" w:color="868686"/>
        </w:tcBorders>
      </w:tcPr>
    </w:tblStylePr>
  </w:style>
  <w:style w:type="paragraph" w:customStyle="1" w:styleId="AdressfeldUmschlagI">
    <w:name w:val="Adressfeld_Umschlag_ÖI"/>
    <w:basedOn w:val="Normal"/>
    <w:uiPriority w:val="5"/>
    <w:semiHidden/>
    <w:qFormat/>
    <w:pPr>
      <w:spacing w:before="60" w:after="60" w:line="200" w:lineRule="exact"/>
    </w:pPr>
    <w:rPr>
      <w:sz w:val="14"/>
    </w:rPr>
  </w:style>
  <w:style w:type="character" w:customStyle="1" w:styleId="Blau">
    <w:name w:val="Blau"/>
    <w:basedOn w:val="DefaultParagraphFont"/>
    <w:uiPriority w:val="99"/>
    <w:semiHidden/>
    <w:qFormat/>
    <w:rPr>
      <w:noProof/>
      <w:color w:val="006AA4"/>
      <w:lang w:eastAsia="de-DE"/>
    </w:rPr>
  </w:style>
  <w:style w:type="character" w:styleId="Emphasis">
    <w:name w:val="Emphasis"/>
    <w:basedOn w:val="DefaultParagraphFont"/>
    <w:uiPriority w:val="20"/>
    <w:semiHidden/>
    <w:unhideWhenUsed/>
    <w:qFormat/>
    <w:rPr>
      <w:i/>
      <w:iCs/>
    </w:rPr>
  </w:style>
  <w:style w:type="paragraph" w:customStyle="1" w:styleId="Hiddentext0">
    <w:name w:val="Hidden text"/>
    <w:basedOn w:val="Normal"/>
    <w:uiPriority w:val="1"/>
    <w:semiHidden/>
    <w:qFormat/>
    <w:rPr>
      <w:vanish/>
      <w:color w:val="FF0000"/>
    </w:rPr>
  </w:style>
  <w:style w:type="paragraph" w:customStyle="1" w:styleId="LiteraturI">
    <w:name w:val="Literatur_ÖI"/>
    <w:basedOn w:val="Standardtext"/>
    <w:uiPriority w:val="12"/>
    <w:qFormat/>
    <w:pPr>
      <w:ind w:left="851" w:hanging="851"/>
    </w:pPr>
    <w:rPr>
      <w:sz w:val="20"/>
    </w:rPr>
  </w:style>
  <w:style w:type="character" w:customStyle="1" w:styleId="MemoThema">
    <w:name w:val="Memo_Thema"/>
    <w:basedOn w:val="DefaultParagraphFont"/>
    <w:uiPriority w:val="1"/>
    <w:semiHidden/>
    <w:rPr>
      <w:rFonts w:asciiTheme="minorHAnsi" w:hAnsiTheme="minorHAnsi"/>
      <w:sz w:val="18"/>
    </w:rPr>
  </w:style>
  <w:style w:type="paragraph" w:customStyle="1" w:styleId="OekoBro2">
    <w:name w:val="Oeko_Büro_2"/>
    <w:basedOn w:val="Normal"/>
    <w:semiHidden/>
    <w:qFormat/>
    <w:locked/>
    <w:pPr>
      <w:spacing w:after="0" w:line="260" w:lineRule="exact"/>
      <w:jc w:val="left"/>
    </w:pPr>
    <w:rPr>
      <w:rFonts w:cs="Arial"/>
      <w:spacing w:val="-2"/>
      <w:sz w:val="16"/>
    </w:rPr>
  </w:style>
  <w:style w:type="paragraph" w:customStyle="1" w:styleId="Personen1I">
    <w:name w:val="Personen_1_ÖI"/>
    <w:basedOn w:val="Standardtext"/>
    <w:semiHidden/>
    <w:qFormat/>
    <w:locked/>
    <w:pPr>
      <w:spacing w:before="120" w:after="0" w:line="200" w:lineRule="exact"/>
      <w:jc w:val="left"/>
    </w:pPr>
    <w:rPr>
      <w:rFonts w:cs="Arial"/>
      <w:b/>
      <w:sz w:val="12"/>
    </w:rPr>
  </w:style>
  <w:style w:type="paragraph" w:customStyle="1" w:styleId="Personen2I">
    <w:name w:val="Personen_2_ÖI"/>
    <w:basedOn w:val="Personen1I"/>
    <w:semiHidden/>
    <w:qFormat/>
    <w:locked/>
    <w:pPr>
      <w:spacing w:before="0" w:line="160" w:lineRule="exact"/>
    </w:pPr>
    <w:rPr>
      <w:b w:val="0"/>
    </w:rPr>
  </w:style>
  <w:style w:type="paragraph" w:customStyle="1" w:styleId="RmischI">
    <w:name w:val="Römisch_ÖI"/>
    <w:basedOn w:val="Standardtext"/>
    <w:next w:val="Standardtext"/>
    <w:semiHidden/>
    <w:pPr>
      <w:numPr>
        <w:numId w:val="12"/>
      </w:numPr>
      <w:tabs>
        <w:tab w:val="left" w:pos="1247"/>
      </w:tabs>
      <w:spacing w:before="360"/>
      <w:jc w:val="left"/>
      <w:outlineLvl w:val="2"/>
    </w:pPr>
    <w:rPr>
      <w:b/>
      <w:color w:val="006AA4" w:themeColor="accent1"/>
    </w:rPr>
  </w:style>
  <w:style w:type="paragraph" w:customStyle="1" w:styleId="RomanI">
    <w:name w:val="Roman_ÖI"/>
    <w:basedOn w:val="RmischI"/>
    <w:next w:val="Standardtext"/>
    <w:pPr>
      <w:numPr>
        <w:numId w:val="17"/>
      </w:numPr>
    </w:pPr>
  </w:style>
  <w:style w:type="paragraph" w:customStyle="1" w:styleId="SeitenzahlI">
    <w:name w:val="Seitenzahl_ÖI"/>
    <w:basedOn w:val="Footer"/>
    <w:uiPriority w:val="99"/>
    <w:semiHidden/>
    <w:qFormat/>
    <w:rPr>
      <w:sz w:val="20"/>
    </w:rPr>
  </w:style>
  <w:style w:type="paragraph" w:customStyle="1" w:styleId="TabellentitelrechtsbndigI">
    <w:name w:val="Tabellentitel rechtsbündig_ÖI"/>
    <w:basedOn w:val="Normal"/>
    <w:uiPriority w:val="6"/>
    <w:semiHidden/>
    <w:qFormat/>
    <w:pPr>
      <w:jc w:val="right"/>
    </w:pPr>
  </w:style>
  <w:style w:type="paragraph" w:customStyle="1" w:styleId="ZitatI">
    <w:name w:val="Zitat_ÖI"/>
    <w:basedOn w:val="Standardtext"/>
    <w:next w:val="Standardtext"/>
    <w:uiPriority w:val="12"/>
    <w:pPr>
      <w:ind w:left="709"/>
    </w:pPr>
    <w:rPr>
      <w:i/>
    </w:rPr>
  </w:style>
  <w:style w:type="paragraph" w:customStyle="1" w:styleId="ZusfassSummary">
    <w:name w:val="Zus.fass/Summary"/>
    <w:basedOn w:val="Standardtext"/>
    <w:semiHidden/>
    <w:qFormat/>
    <w:pPr>
      <w:keepNext/>
      <w:pageBreakBefore/>
      <w:spacing w:before="600"/>
      <w:outlineLvl w:val="0"/>
    </w:pPr>
    <w:rPr>
      <w:b/>
      <w:color w:val="006AA4" w:themeColor="accent1"/>
    </w:rPr>
  </w:style>
  <w:style w:type="paragraph" w:customStyle="1" w:styleId="HeadlineI">
    <w:name w:val="Headline ÖI"/>
    <w:basedOn w:val="berschrift1oNum"/>
    <w:next w:val="Standardtext"/>
    <w:semiHidden/>
    <w:pPr>
      <w:spacing w:line="360" w:lineRule="atLeast"/>
    </w:pPr>
    <w:rPr>
      <w:sz w:val="28"/>
    </w:rPr>
  </w:style>
  <w:style w:type="paragraph" w:customStyle="1" w:styleId="Table-Contents">
    <w:name w:val="Table - Contents"/>
    <w:basedOn w:val="Normal"/>
    <w:pPr>
      <w:suppressAutoHyphens/>
      <w:spacing w:before="80" w:after="80" w:line="180" w:lineRule="exact"/>
      <w:jc w:val="left"/>
    </w:pPr>
    <w:rPr>
      <w:rFonts w:eastAsia="Times New Roman"/>
      <w:sz w:val="16"/>
    </w:rPr>
  </w:style>
  <w:style w:type="table" w:styleId="LightList-Accent3">
    <w:name w:val="Light List Accent 3"/>
    <w:basedOn w:val="TableNormal"/>
    <w:uiPriority w:val="61"/>
    <w:pPr>
      <w:spacing w:after="0" w:line="240" w:lineRule="auto"/>
    </w:pPr>
    <w:tblPr>
      <w:tblStyleRowBandSize w:val="1"/>
      <w:tblStyleColBandSize w:val="1"/>
      <w:tblInd w:w="0" w:type="dxa"/>
      <w:tblBorders>
        <w:top w:val="single" w:sz="8" w:space="0" w:color="97BF0D" w:themeColor="accent3"/>
        <w:left w:val="single" w:sz="8" w:space="0" w:color="97BF0D" w:themeColor="accent3"/>
        <w:bottom w:val="single" w:sz="8" w:space="0" w:color="97BF0D" w:themeColor="accent3"/>
        <w:right w:val="single" w:sz="8" w:space="0" w:color="97BF0D"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7BF0D" w:themeFill="accent3"/>
      </w:tcPr>
    </w:tblStylePr>
    <w:tblStylePr w:type="lastRow">
      <w:pPr>
        <w:spacing w:before="0" w:after="0" w:line="240" w:lineRule="auto"/>
      </w:pPr>
      <w:rPr>
        <w:b/>
        <w:bCs/>
      </w:rPr>
      <w:tblPr/>
      <w:tcPr>
        <w:tcBorders>
          <w:top w:val="double" w:sz="6" w:space="0" w:color="97BF0D" w:themeColor="accent3"/>
          <w:left w:val="single" w:sz="8" w:space="0" w:color="97BF0D" w:themeColor="accent3"/>
          <w:bottom w:val="single" w:sz="8" w:space="0" w:color="97BF0D" w:themeColor="accent3"/>
          <w:right w:val="single" w:sz="8" w:space="0" w:color="97BF0D" w:themeColor="accent3"/>
        </w:tcBorders>
      </w:tcPr>
    </w:tblStylePr>
    <w:tblStylePr w:type="firstCol">
      <w:rPr>
        <w:b/>
        <w:bCs/>
      </w:rPr>
    </w:tblStylePr>
    <w:tblStylePr w:type="lastCol">
      <w:rPr>
        <w:b/>
        <w:bCs/>
      </w:rPr>
    </w:tblStylePr>
    <w:tblStylePr w:type="band1Vert">
      <w:tblPr/>
      <w:tcPr>
        <w:tcBorders>
          <w:top w:val="single" w:sz="8" w:space="0" w:color="97BF0D" w:themeColor="accent3"/>
          <w:left w:val="single" w:sz="8" w:space="0" w:color="97BF0D" w:themeColor="accent3"/>
          <w:bottom w:val="single" w:sz="8" w:space="0" w:color="97BF0D" w:themeColor="accent3"/>
          <w:right w:val="single" w:sz="8" w:space="0" w:color="97BF0D" w:themeColor="accent3"/>
        </w:tcBorders>
      </w:tcPr>
    </w:tblStylePr>
    <w:tblStylePr w:type="band1Horz">
      <w:tblPr/>
      <w:tcPr>
        <w:tcBorders>
          <w:top w:val="single" w:sz="8" w:space="0" w:color="97BF0D" w:themeColor="accent3"/>
          <w:left w:val="single" w:sz="8" w:space="0" w:color="97BF0D" w:themeColor="accent3"/>
          <w:bottom w:val="single" w:sz="8" w:space="0" w:color="97BF0D" w:themeColor="accent3"/>
          <w:right w:val="single" w:sz="8" w:space="0" w:color="97BF0D" w:themeColor="accent3"/>
        </w:tcBorders>
      </w:tcPr>
    </w:tblStylePr>
  </w:style>
  <w:style w:type="character" w:customStyle="1" w:styleId="QuelleZchn">
    <w:name w:val="Quelle Zchn"/>
    <w:link w:val="Quelle"/>
    <w:locked/>
    <w:rPr>
      <w:rFonts w:ascii="Arial" w:hAnsi="Arial" w:cs="Arial"/>
      <w:iCs/>
      <w:lang w:val="en-GB"/>
    </w:rPr>
  </w:style>
  <w:style w:type="paragraph" w:customStyle="1" w:styleId="Quelle">
    <w:name w:val="Quelle"/>
    <w:basedOn w:val="Normal"/>
    <w:next w:val="Normal"/>
    <w:link w:val="QuelleZchn"/>
    <w:pPr>
      <w:tabs>
        <w:tab w:val="left" w:pos="1134"/>
      </w:tabs>
      <w:spacing w:after="360" w:line="300" w:lineRule="atLeast"/>
      <w:ind w:left="1134" w:hanging="1134"/>
      <w:contextualSpacing/>
    </w:pPr>
    <w:rPr>
      <w:rFonts w:cs="Arial"/>
      <w:iCs/>
    </w:rPr>
  </w:style>
  <w:style w:type="paragraph" w:customStyle="1" w:styleId="Standard1">
    <w:name w:val="Standard1"/>
    <w:pPr>
      <w:spacing w:after="120" w:line="300" w:lineRule="atLeast"/>
      <w:jc w:val="both"/>
    </w:pPr>
    <w:rPr>
      <w:rFonts w:ascii="Arial" w:eastAsia="ヒラギノ角ゴ Pro W3" w:hAnsi="Arial"/>
      <w:color w:val="000000"/>
      <w:lang w:val="en-GB" w:eastAsia="de-DE"/>
    </w:rPr>
  </w:style>
  <w:style w:type="paragraph" w:customStyle="1" w:styleId="Grafik">
    <w:name w:val="Grafik"/>
    <w:basedOn w:val="Normal"/>
    <w:next w:val="Quelle"/>
    <w:pPr>
      <w:spacing w:after="0" w:line="300" w:lineRule="atLeast"/>
    </w:pPr>
    <w:rPr>
      <w:rFonts w:eastAsia="Times New Roman"/>
      <w:lang w:eastAsia="de-DE"/>
    </w:rPr>
  </w:style>
  <w:style w:type="character" w:customStyle="1" w:styleId="CaptionChar">
    <w:name w:val="Caption Char"/>
    <w:aliases w:val="Beschriftung_tab Char,tab_überschrift Char Char,Tab_Überschrift Char,tab_überschrift Char1"/>
    <w:link w:val="Caption"/>
    <w:uiPriority w:val="35"/>
    <w:locked/>
    <w:rPr>
      <w:rFonts w:ascii="Arial" w:hAnsi="Arial"/>
      <w:b/>
      <w:bCs/>
      <w:color w:val="006AA4" w:themeColor="accent1"/>
      <w:szCs w:val="18"/>
      <w:lang w:val="en-GB"/>
    </w:rPr>
  </w:style>
  <w:style w:type="paragraph" w:customStyle="1" w:styleId="Tabelle">
    <w:name w:val="Tabelle"/>
    <w:basedOn w:val="Normal"/>
    <w:pPr>
      <w:keepNext/>
      <w:keepLines/>
      <w:spacing w:before="20" w:after="20" w:line="300" w:lineRule="atLeast"/>
    </w:pPr>
    <w:rPr>
      <w:rFonts w:eastAsia="Times New Roman"/>
      <w:color w:val="000000"/>
      <w:lang w:eastAsia="de-DE"/>
    </w:rPr>
  </w:style>
  <w:style w:type="character" w:customStyle="1" w:styleId="FontStyle59">
    <w:name w:val="Font Style59"/>
    <w:uiPriority w:val="99"/>
    <w:rPr>
      <w:rFonts w:ascii="Times New Roman" w:hAnsi="Times New Roman" w:cs="Times New Roman"/>
      <w:color w:val="000000"/>
      <w:sz w:val="22"/>
      <w:szCs w:val="22"/>
    </w:rPr>
  </w:style>
  <w:style w:type="paragraph" w:customStyle="1" w:styleId="Style36">
    <w:name w:val="Style36"/>
    <w:basedOn w:val="Normal"/>
    <w:uiPriority w:val="99"/>
    <w:pPr>
      <w:widowControl w:val="0"/>
      <w:autoSpaceDE w:val="0"/>
      <w:autoSpaceDN w:val="0"/>
      <w:adjustRightInd w:val="0"/>
      <w:spacing w:after="0" w:line="269" w:lineRule="exact"/>
      <w:jc w:val="left"/>
    </w:pPr>
    <w:rPr>
      <w:rFonts w:eastAsia="Times New Roman"/>
      <w:szCs w:val="24"/>
      <w:lang w:eastAsia="en-GB"/>
    </w:rPr>
  </w:style>
  <w:style w:type="paragraph" w:customStyle="1" w:styleId="Style37">
    <w:name w:val="Style37"/>
    <w:basedOn w:val="Normal"/>
    <w:uiPriority w:val="99"/>
    <w:pPr>
      <w:widowControl w:val="0"/>
      <w:autoSpaceDE w:val="0"/>
      <w:autoSpaceDN w:val="0"/>
      <w:adjustRightInd w:val="0"/>
      <w:spacing w:after="0" w:line="240" w:lineRule="auto"/>
      <w:jc w:val="left"/>
    </w:pPr>
    <w:rPr>
      <w:rFonts w:eastAsia="Times New Roman"/>
      <w:szCs w:val="24"/>
      <w:lang w:eastAsia="en-GB"/>
    </w:rPr>
  </w:style>
  <w:style w:type="character" w:customStyle="1" w:styleId="FontStyle57">
    <w:name w:val="Font Style57"/>
    <w:uiPriority w:val="99"/>
    <w:rPr>
      <w:rFonts w:ascii="Times New Roman" w:hAnsi="Times New Roman" w:cs="Times New Roman"/>
      <w:b/>
      <w:bCs/>
      <w:color w:val="000000"/>
      <w:sz w:val="22"/>
      <w:szCs w:val="22"/>
    </w:rPr>
  </w:style>
  <w:style w:type="paragraph" w:customStyle="1" w:styleId="Style44">
    <w:name w:val="Style44"/>
    <w:basedOn w:val="Normal"/>
    <w:uiPriority w:val="99"/>
    <w:pPr>
      <w:widowControl w:val="0"/>
      <w:autoSpaceDE w:val="0"/>
      <w:autoSpaceDN w:val="0"/>
      <w:adjustRightInd w:val="0"/>
      <w:spacing w:after="0" w:line="271" w:lineRule="exact"/>
      <w:ind w:firstLine="97"/>
      <w:jc w:val="left"/>
    </w:pPr>
    <w:rPr>
      <w:rFonts w:eastAsia="Times New Roman"/>
      <w:szCs w:val="24"/>
      <w:lang w:eastAsia="en-GB"/>
    </w:rPr>
  </w:style>
  <w:style w:type="paragraph" w:customStyle="1" w:styleId="1Spiegelstrich">
    <w:name w:val="1. Spiegelstrich"/>
    <w:pPr>
      <w:tabs>
        <w:tab w:val="left" w:pos="480"/>
        <w:tab w:val="center" w:pos="4536"/>
        <w:tab w:val="right" w:pos="9185"/>
      </w:tabs>
      <w:spacing w:after="0" w:line="360" w:lineRule="exact"/>
      <w:ind w:left="483" w:hanging="357"/>
      <w:jc w:val="both"/>
    </w:pPr>
    <w:rPr>
      <w:rFonts w:ascii="Tms Rmn" w:eastAsia="Times New Roman" w:hAnsi="Tms Rmn"/>
      <w:lang w:eastAsia="de-DE"/>
    </w:rPr>
  </w:style>
  <w:style w:type="paragraph" w:customStyle="1" w:styleId="Default">
    <w:name w:val="Default"/>
    <w:pPr>
      <w:autoSpaceDE w:val="0"/>
      <w:autoSpaceDN w:val="0"/>
      <w:adjustRightInd w:val="0"/>
      <w:spacing w:after="0" w:line="240" w:lineRule="auto"/>
    </w:pPr>
    <w:rPr>
      <w:rFonts w:ascii="EUAlbertina" w:hAnsi="EUAlbertina" w:cs="EUAlbertina"/>
      <w:color w:val="000000"/>
      <w:szCs w:val="24"/>
      <w:lang w:val="de-AT"/>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xl67">
    <w:name w:val="xl67"/>
    <w:basedOn w:val="Normal"/>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eastAsia="Times New Roman" w:cs="Arial"/>
      <w:b/>
      <w:bCs/>
      <w:sz w:val="16"/>
      <w:szCs w:val="16"/>
      <w:lang w:eastAsia="de-DE"/>
    </w:rPr>
  </w:style>
  <w:style w:type="paragraph" w:customStyle="1" w:styleId="xl68">
    <w:name w:val="xl68"/>
    <w:basedOn w:val="Normal"/>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eastAsia="Times New Roman" w:cs="Arial"/>
      <w:b/>
      <w:bCs/>
      <w:sz w:val="16"/>
      <w:szCs w:val="16"/>
      <w:lang w:eastAsia="de-DE"/>
    </w:rPr>
  </w:style>
  <w:style w:type="paragraph" w:customStyle="1" w:styleId="xl69">
    <w:name w:val="xl69"/>
    <w:basedOn w:val="Normal"/>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eastAsia="Times New Roman" w:cs="Arial"/>
      <w:b/>
      <w:bCs/>
      <w:sz w:val="16"/>
      <w:szCs w:val="16"/>
      <w:lang w:eastAsia="de-DE"/>
    </w:rPr>
  </w:style>
  <w:style w:type="paragraph" w:customStyle="1" w:styleId="xl70">
    <w:name w:val="xl70"/>
    <w:basedOn w:val="Normal"/>
    <w:pPr>
      <w:shd w:val="clear" w:color="FFFFFF" w:fill="FFFFFF"/>
      <w:spacing w:before="100" w:beforeAutospacing="1" w:after="100" w:afterAutospacing="1" w:line="240" w:lineRule="auto"/>
      <w:jc w:val="left"/>
      <w:textAlignment w:val="center"/>
    </w:pPr>
    <w:rPr>
      <w:rFonts w:eastAsia="Times New Roman" w:cs="Arial"/>
      <w:sz w:val="12"/>
      <w:szCs w:val="12"/>
      <w:lang w:eastAsia="de-DE"/>
    </w:rPr>
  </w:style>
  <w:style w:type="paragraph" w:customStyle="1" w:styleId="xl71">
    <w:name w:val="xl71"/>
    <w:basedOn w:val="Normal"/>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eastAsia="Times New Roman" w:cs="Arial"/>
      <w:b/>
      <w:bCs/>
      <w:sz w:val="16"/>
      <w:szCs w:val="16"/>
      <w:lang w:eastAsia="de-DE"/>
    </w:rPr>
  </w:style>
  <w:style w:type="paragraph" w:customStyle="1" w:styleId="xl72">
    <w:name w:val="xl72"/>
    <w:basedOn w:val="Normal"/>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eastAsia="Times New Roman" w:cs="Arial"/>
      <w:b/>
      <w:bCs/>
      <w:sz w:val="16"/>
      <w:szCs w:val="16"/>
      <w:lang w:eastAsia="de-DE"/>
    </w:rPr>
  </w:style>
  <w:style w:type="paragraph" w:customStyle="1" w:styleId="xl73">
    <w:name w:val="xl73"/>
    <w:basedOn w:val="Normal"/>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eastAsia="Times New Roman" w:cs="Arial"/>
      <w:b/>
      <w:bCs/>
      <w:sz w:val="16"/>
      <w:szCs w:val="16"/>
      <w:lang w:eastAsia="de-DE"/>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left"/>
      <w:textAlignment w:val="center"/>
    </w:pPr>
    <w:rPr>
      <w:rFonts w:eastAsia="Times New Roman" w:cs="Arial"/>
      <w:sz w:val="16"/>
      <w:szCs w:val="16"/>
      <w:lang w:eastAsia="de-DE"/>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left"/>
      <w:textAlignment w:val="center"/>
    </w:pPr>
    <w:rPr>
      <w:rFonts w:eastAsia="Times New Roman" w:cs="Arial"/>
      <w:sz w:val="16"/>
      <w:szCs w:val="16"/>
      <w:lang w:eastAsia="de-DE"/>
    </w:rPr>
  </w:style>
  <w:style w:type="paragraph" w:customStyle="1" w:styleId="xl76">
    <w:name w:val="xl76"/>
    <w:basedOn w:val="Normal"/>
    <w:pPr>
      <w:shd w:val="clear" w:color="000000" w:fill="FFFFFF"/>
      <w:spacing w:before="100" w:beforeAutospacing="1" w:after="100" w:afterAutospacing="1" w:line="240" w:lineRule="auto"/>
      <w:jc w:val="left"/>
    </w:pPr>
    <w:rPr>
      <w:rFonts w:eastAsia="Times New Roman" w:cs="Arial"/>
      <w:szCs w:val="24"/>
      <w:lang w:eastAsia="de-DE"/>
    </w:rPr>
  </w:style>
  <w:style w:type="paragraph" w:customStyle="1" w:styleId="xl66">
    <w:name w:val="xl66"/>
    <w:basedOn w:val="Normal"/>
    <w:pPr>
      <w:shd w:val="clear" w:color="000000" w:fill="FFFFFF"/>
      <w:spacing w:before="100" w:beforeAutospacing="1" w:after="100" w:afterAutospacing="1" w:line="240" w:lineRule="auto"/>
      <w:jc w:val="left"/>
      <w:textAlignment w:val="center"/>
    </w:pPr>
    <w:rPr>
      <w:rFonts w:eastAsia="Times New Roman" w:cs="Arial"/>
      <w:sz w:val="12"/>
      <w:szCs w:val="12"/>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eastAsiaTheme="majorEastAsia"/>
      <w:color w:val="006AA4" w:themeColor="accent1"/>
      <w:szCs w:val="28"/>
      <w:lang w:val="en-GB"/>
    </w:rPr>
  </w:style>
  <w:style w:type="character" w:customStyle="1" w:styleId="berschrift1oNumChar">
    <w:name w:val="Überschrift 1 oNum Char"/>
    <w:basedOn w:val="Heading1Char"/>
    <w:link w:val="berschrift1oNum"/>
    <w:uiPriority w:val="1"/>
    <w:rPr>
      <w:rFonts w:ascii="Arial" w:eastAsiaTheme="majorEastAsia" w:hAnsi="Arial" w:cstheme="majorBidi"/>
      <w:b/>
      <w:bCs w:val="0"/>
      <w:color w:val="006AA4" w:themeColor="accent1"/>
      <w:sz w:val="24"/>
      <w:szCs w:val="28"/>
      <w:lang w:val="en-GB"/>
    </w:rPr>
  </w:style>
  <w:style w:type="character" w:customStyle="1" w:styleId="FooterCoverPageChar">
    <w:name w:val="Footer Cover Page Char"/>
    <w:basedOn w:val="berschrift1oNumChar"/>
    <w:link w:val="FooterCoverPage"/>
    <w:rPr>
      <w:rFonts w:ascii="Arial" w:eastAsiaTheme="majorEastAsia" w:hAnsi="Arial" w:cstheme="majorBidi"/>
      <w:b w:val="0"/>
      <w:bCs w:val="0"/>
      <w:color w:val="006AA4" w:themeColor="accent1"/>
      <w:sz w:val="24"/>
      <w:szCs w:val="28"/>
      <w:lang w:val="en-GB"/>
    </w:rPr>
  </w:style>
  <w:style w:type="paragraph" w:customStyle="1" w:styleId="HeaderCoverPage">
    <w:name w:val="Header Cover Page"/>
    <w:basedOn w:val="Normal"/>
    <w:link w:val="HeaderCoverPageChar"/>
    <w:pPr>
      <w:tabs>
        <w:tab w:val="center" w:pos="4535"/>
        <w:tab w:val="right" w:pos="9071"/>
      </w:tabs>
      <w:spacing w:after="120" w:line="240" w:lineRule="auto"/>
    </w:pPr>
    <w:rPr>
      <w:rFonts w:eastAsiaTheme="majorEastAsia"/>
      <w:color w:val="006AA4" w:themeColor="accent1"/>
      <w:szCs w:val="28"/>
      <w:lang w:val="en-GB"/>
    </w:rPr>
  </w:style>
  <w:style w:type="character" w:customStyle="1" w:styleId="HeaderCoverPageChar">
    <w:name w:val="Header Cover Page Char"/>
    <w:basedOn w:val="berschrift1oNumChar"/>
    <w:link w:val="HeaderCoverPage"/>
    <w:rPr>
      <w:rFonts w:ascii="Arial" w:eastAsiaTheme="majorEastAsia" w:hAnsi="Arial" w:cstheme="majorBidi"/>
      <w:b w:val="0"/>
      <w:bCs w:val="0"/>
      <w:color w:val="006AA4" w:themeColor="accent1"/>
      <w:sz w:val="24"/>
      <w:szCs w:val="28"/>
      <w:lang w:val="en-GB"/>
    </w:rPr>
  </w:style>
  <w:style w:type="paragraph" w:customStyle="1" w:styleId="Contact">
    <w:name w:val="Contact"/>
    <w:basedOn w:val="Normal"/>
    <w:next w:val="Normal"/>
    <w:pPr>
      <w:spacing w:after="480" w:line="240" w:lineRule="auto"/>
      <w:ind w:left="567" w:hanging="567"/>
      <w:jc w:val="left"/>
    </w:pPr>
    <w:rPr>
      <w:rFonts w:eastAsia="Times New Roman"/>
    </w:rPr>
  </w:style>
  <w:style w:type="paragraph" w:customStyle="1" w:styleId="ListBullet1">
    <w:name w:val="List Bullet 1"/>
    <w:basedOn w:val="Normal"/>
    <w:pPr>
      <w:numPr>
        <w:numId w:val="20"/>
      </w:numPr>
      <w:spacing w:after="240" w:line="240" w:lineRule="auto"/>
    </w:pPr>
    <w:rPr>
      <w:rFonts w:eastAsia="Times New Roman"/>
    </w:rPr>
  </w:style>
  <w:style w:type="paragraph" w:customStyle="1" w:styleId="ListDash">
    <w:name w:val="List Dash"/>
    <w:basedOn w:val="Normal"/>
    <w:pPr>
      <w:numPr>
        <w:numId w:val="24"/>
      </w:numPr>
      <w:spacing w:after="240" w:line="240" w:lineRule="auto"/>
    </w:pPr>
    <w:rPr>
      <w:rFonts w:eastAsia="Times New Roman"/>
    </w:rPr>
  </w:style>
  <w:style w:type="paragraph" w:customStyle="1" w:styleId="ListDash1">
    <w:name w:val="List Dash 1"/>
    <w:basedOn w:val="Normal"/>
    <w:pPr>
      <w:numPr>
        <w:numId w:val="25"/>
      </w:numPr>
      <w:spacing w:after="240" w:line="240" w:lineRule="auto"/>
    </w:pPr>
    <w:rPr>
      <w:rFonts w:eastAsia="Times New Roman"/>
    </w:rPr>
  </w:style>
  <w:style w:type="paragraph" w:customStyle="1" w:styleId="ListDash2">
    <w:name w:val="List Dash 2"/>
    <w:basedOn w:val="Normal"/>
    <w:pPr>
      <w:numPr>
        <w:numId w:val="26"/>
      </w:numPr>
      <w:spacing w:after="240" w:line="240" w:lineRule="auto"/>
    </w:pPr>
    <w:rPr>
      <w:rFonts w:eastAsia="Times New Roman"/>
    </w:rPr>
  </w:style>
  <w:style w:type="paragraph" w:customStyle="1" w:styleId="ListDash3">
    <w:name w:val="List Dash 3"/>
    <w:basedOn w:val="Normal"/>
    <w:pPr>
      <w:numPr>
        <w:numId w:val="27"/>
      </w:numPr>
      <w:spacing w:after="240" w:line="240" w:lineRule="auto"/>
    </w:pPr>
    <w:rPr>
      <w:rFonts w:eastAsia="Times New Roman"/>
    </w:rPr>
  </w:style>
  <w:style w:type="paragraph" w:customStyle="1" w:styleId="ListDash4">
    <w:name w:val="List Dash 4"/>
    <w:basedOn w:val="Normal"/>
    <w:pPr>
      <w:numPr>
        <w:numId w:val="28"/>
      </w:numPr>
      <w:spacing w:after="240" w:line="240" w:lineRule="auto"/>
    </w:pPr>
    <w:rPr>
      <w:rFonts w:eastAsia="Times New Roman"/>
    </w:rPr>
  </w:style>
  <w:style w:type="paragraph" w:customStyle="1" w:styleId="ListNumber1">
    <w:name w:val="List Number 1"/>
    <w:basedOn w:val="Normal"/>
    <w:pPr>
      <w:numPr>
        <w:numId w:val="30"/>
      </w:numPr>
      <w:spacing w:after="240" w:line="240" w:lineRule="auto"/>
    </w:pPr>
    <w:rPr>
      <w:rFonts w:eastAsia="Times New Roman"/>
    </w:rPr>
  </w:style>
  <w:style w:type="paragraph" w:customStyle="1" w:styleId="ListNumberLevel2">
    <w:name w:val="List Number (Level 2)"/>
    <w:basedOn w:val="Normal"/>
    <w:pPr>
      <w:numPr>
        <w:ilvl w:val="1"/>
        <w:numId w:val="29"/>
      </w:numPr>
      <w:spacing w:after="240" w:line="240" w:lineRule="auto"/>
    </w:pPr>
    <w:rPr>
      <w:rFonts w:eastAsia="Times New Roman"/>
    </w:rPr>
  </w:style>
  <w:style w:type="paragraph" w:customStyle="1" w:styleId="ListNumber1Level2">
    <w:name w:val="List Number 1 (Level 2)"/>
    <w:basedOn w:val="Normal"/>
    <w:pPr>
      <w:numPr>
        <w:ilvl w:val="1"/>
        <w:numId w:val="30"/>
      </w:numPr>
      <w:spacing w:after="240" w:line="240" w:lineRule="auto"/>
    </w:pPr>
    <w:rPr>
      <w:rFonts w:eastAsia="Times New Roman"/>
    </w:rPr>
  </w:style>
  <w:style w:type="paragraph" w:customStyle="1" w:styleId="ListNumber2Level2">
    <w:name w:val="List Number 2 (Level 2)"/>
    <w:basedOn w:val="Normal"/>
    <w:pPr>
      <w:numPr>
        <w:ilvl w:val="1"/>
        <w:numId w:val="31"/>
      </w:numPr>
      <w:spacing w:after="240" w:line="240" w:lineRule="auto"/>
    </w:pPr>
    <w:rPr>
      <w:rFonts w:eastAsia="Times New Roman"/>
    </w:rPr>
  </w:style>
  <w:style w:type="paragraph" w:customStyle="1" w:styleId="ListNumber3Level2">
    <w:name w:val="List Number 3 (Level 2)"/>
    <w:basedOn w:val="Normal"/>
    <w:pPr>
      <w:numPr>
        <w:ilvl w:val="1"/>
        <w:numId w:val="32"/>
      </w:numPr>
      <w:spacing w:after="240" w:line="240" w:lineRule="auto"/>
    </w:pPr>
    <w:rPr>
      <w:rFonts w:eastAsia="Times New Roman"/>
    </w:rPr>
  </w:style>
  <w:style w:type="paragraph" w:customStyle="1" w:styleId="ListNumber4Level2">
    <w:name w:val="List Number 4 (Level 2)"/>
    <w:basedOn w:val="Normal"/>
    <w:pPr>
      <w:numPr>
        <w:ilvl w:val="1"/>
        <w:numId w:val="33"/>
      </w:numPr>
      <w:spacing w:after="240" w:line="240" w:lineRule="auto"/>
    </w:pPr>
    <w:rPr>
      <w:rFonts w:eastAsia="Times New Roman"/>
    </w:rPr>
  </w:style>
  <w:style w:type="paragraph" w:customStyle="1" w:styleId="ListNumberLevel3">
    <w:name w:val="List Number (Level 3)"/>
    <w:basedOn w:val="Normal"/>
    <w:pPr>
      <w:numPr>
        <w:ilvl w:val="2"/>
        <w:numId w:val="29"/>
      </w:numPr>
      <w:spacing w:after="240" w:line="240" w:lineRule="auto"/>
    </w:pPr>
    <w:rPr>
      <w:rFonts w:eastAsia="Times New Roman"/>
    </w:rPr>
  </w:style>
  <w:style w:type="paragraph" w:customStyle="1" w:styleId="ListNumber1Level3">
    <w:name w:val="List Number 1 (Level 3)"/>
    <w:basedOn w:val="Normal"/>
    <w:pPr>
      <w:numPr>
        <w:ilvl w:val="2"/>
        <w:numId w:val="30"/>
      </w:numPr>
      <w:spacing w:after="240" w:line="240" w:lineRule="auto"/>
    </w:pPr>
    <w:rPr>
      <w:rFonts w:eastAsia="Times New Roman"/>
    </w:rPr>
  </w:style>
  <w:style w:type="paragraph" w:customStyle="1" w:styleId="ListNumber2Level3">
    <w:name w:val="List Number 2 (Level 3)"/>
    <w:basedOn w:val="Normal"/>
    <w:pPr>
      <w:numPr>
        <w:ilvl w:val="2"/>
        <w:numId w:val="31"/>
      </w:numPr>
      <w:spacing w:after="240" w:line="240" w:lineRule="auto"/>
    </w:pPr>
    <w:rPr>
      <w:rFonts w:eastAsia="Times New Roman"/>
    </w:rPr>
  </w:style>
  <w:style w:type="paragraph" w:customStyle="1" w:styleId="ListNumber3Level3">
    <w:name w:val="List Number 3 (Level 3)"/>
    <w:basedOn w:val="Normal"/>
    <w:pPr>
      <w:numPr>
        <w:ilvl w:val="2"/>
        <w:numId w:val="32"/>
      </w:numPr>
      <w:spacing w:after="240" w:line="240" w:lineRule="auto"/>
    </w:pPr>
    <w:rPr>
      <w:rFonts w:eastAsia="Times New Roman"/>
    </w:rPr>
  </w:style>
  <w:style w:type="paragraph" w:customStyle="1" w:styleId="ListNumber4Level3">
    <w:name w:val="List Number 4 (Level 3)"/>
    <w:basedOn w:val="Normal"/>
    <w:pPr>
      <w:numPr>
        <w:ilvl w:val="2"/>
        <w:numId w:val="33"/>
      </w:numPr>
      <w:spacing w:after="240" w:line="240" w:lineRule="auto"/>
    </w:pPr>
    <w:rPr>
      <w:rFonts w:eastAsia="Times New Roman"/>
    </w:rPr>
  </w:style>
  <w:style w:type="paragraph" w:customStyle="1" w:styleId="ListNumberLevel4">
    <w:name w:val="List Number (Level 4)"/>
    <w:basedOn w:val="Normal"/>
    <w:pPr>
      <w:numPr>
        <w:ilvl w:val="3"/>
        <w:numId w:val="29"/>
      </w:numPr>
      <w:spacing w:after="240" w:line="240" w:lineRule="auto"/>
    </w:pPr>
    <w:rPr>
      <w:rFonts w:eastAsia="Times New Roman"/>
    </w:rPr>
  </w:style>
  <w:style w:type="paragraph" w:customStyle="1" w:styleId="ListNumber1Level4">
    <w:name w:val="List Number 1 (Level 4)"/>
    <w:basedOn w:val="Normal"/>
    <w:pPr>
      <w:numPr>
        <w:ilvl w:val="3"/>
        <w:numId w:val="30"/>
      </w:numPr>
      <w:spacing w:after="240" w:line="240" w:lineRule="auto"/>
    </w:pPr>
    <w:rPr>
      <w:rFonts w:eastAsia="Times New Roman"/>
    </w:rPr>
  </w:style>
  <w:style w:type="paragraph" w:customStyle="1" w:styleId="ListNumber2Level4">
    <w:name w:val="List Number 2 (Level 4)"/>
    <w:basedOn w:val="Normal"/>
    <w:pPr>
      <w:numPr>
        <w:ilvl w:val="3"/>
        <w:numId w:val="31"/>
      </w:numPr>
      <w:spacing w:after="240" w:line="240" w:lineRule="auto"/>
    </w:pPr>
    <w:rPr>
      <w:rFonts w:eastAsia="Times New Roman"/>
    </w:rPr>
  </w:style>
  <w:style w:type="paragraph" w:customStyle="1" w:styleId="ListNumber3Level4">
    <w:name w:val="List Number 3 (Level 4)"/>
    <w:basedOn w:val="Normal"/>
    <w:pPr>
      <w:numPr>
        <w:ilvl w:val="3"/>
        <w:numId w:val="32"/>
      </w:numPr>
      <w:spacing w:after="240" w:line="240" w:lineRule="auto"/>
    </w:pPr>
    <w:rPr>
      <w:rFonts w:eastAsia="Times New Roman"/>
    </w:rPr>
  </w:style>
  <w:style w:type="paragraph" w:customStyle="1" w:styleId="ListNumber4Level4">
    <w:name w:val="List Number 4 (Level 4)"/>
    <w:basedOn w:val="Normal"/>
    <w:pPr>
      <w:numPr>
        <w:ilvl w:val="3"/>
        <w:numId w:val="33"/>
      </w:numPr>
      <w:spacing w:after="240" w:line="240" w:lineRule="auto"/>
    </w:pPr>
    <w:rPr>
      <w:rFonts w:eastAsia="Times New Roman"/>
    </w:rPr>
  </w:style>
  <w:style w:type="table" w:customStyle="1" w:styleId="HelleListe-Akzent11">
    <w:name w:val="Helle Liste - Akzent 11"/>
    <w:basedOn w:val="TableNormal"/>
    <w:uiPriority w:val="61"/>
    <w:pPr>
      <w:spacing w:after="0" w:line="240" w:lineRule="auto"/>
    </w:pPr>
    <w:tblPr>
      <w:tblStyleRowBandSize w:val="1"/>
      <w:tblStyleColBandSize w:val="1"/>
      <w:tblInd w:w="0" w:type="dxa"/>
      <w:tblBorders>
        <w:top w:val="single" w:sz="8" w:space="0" w:color="006AA4" w:themeColor="accent1"/>
        <w:left w:val="single" w:sz="8" w:space="0" w:color="006AA4" w:themeColor="accent1"/>
        <w:bottom w:val="single" w:sz="8" w:space="0" w:color="006AA4" w:themeColor="accent1"/>
        <w:right w:val="single" w:sz="8" w:space="0" w:color="006AA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6AA4" w:themeFill="accent1"/>
      </w:tcPr>
    </w:tblStylePr>
    <w:tblStylePr w:type="lastRow">
      <w:pPr>
        <w:spacing w:before="0" w:after="0" w:line="240" w:lineRule="auto"/>
      </w:pPr>
      <w:rPr>
        <w:b/>
        <w:bCs/>
      </w:rPr>
      <w:tblPr/>
      <w:tcPr>
        <w:tcBorders>
          <w:top w:val="double" w:sz="6" w:space="0" w:color="006AA4" w:themeColor="accent1"/>
          <w:left w:val="single" w:sz="8" w:space="0" w:color="006AA4" w:themeColor="accent1"/>
          <w:bottom w:val="single" w:sz="8" w:space="0" w:color="006AA4" w:themeColor="accent1"/>
          <w:right w:val="single" w:sz="8" w:space="0" w:color="006AA4" w:themeColor="accent1"/>
        </w:tcBorders>
      </w:tcPr>
    </w:tblStylePr>
    <w:tblStylePr w:type="firstCol">
      <w:rPr>
        <w:b/>
        <w:bCs/>
      </w:rPr>
    </w:tblStylePr>
    <w:tblStylePr w:type="lastCol">
      <w:rPr>
        <w:b/>
        <w:bCs/>
      </w:rPr>
    </w:tblStylePr>
    <w:tblStylePr w:type="band1Vert">
      <w:tblPr/>
      <w:tcPr>
        <w:tcBorders>
          <w:top w:val="single" w:sz="8" w:space="0" w:color="006AA4" w:themeColor="accent1"/>
          <w:left w:val="single" w:sz="8" w:space="0" w:color="006AA4" w:themeColor="accent1"/>
          <w:bottom w:val="single" w:sz="8" w:space="0" w:color="006AA4" w:themeColor="accent1"/>
          <w:right w:val="single" w:sz="8" w:space="0" w:color="006AA4" w:themeColor="accent1"/>
        </w:tcBorders>
      </w:tcPr>
    </w:tblStylePr>
    <w:tblStylePr w:type="band1Horz">
      <w:pPr>
        <w:wordWrap/>
        <w:spacing w:beforeLines="0" w:beforeAutospacing="0" w:afterLines="0" w:afterAutospacing="0" w:line="240" w:lineRule="auto"/>
        <w:ind w:rightChars="0" w:right="0"/>
      </w:pPr>
      <w:tblPr/>
      <w:tcPr>
        <w:tcBorders>
          <w:top w:val="single" w:sz="8" w:space="0" w:color="006AA4" w:themeColor="accent1"/>
          <w:left w:val="single" w:sz="8" w:space="0" w:color="006AA4" w:themeColor="accent1"/>
          <w:bottom w:val="single" w:sz="8" w:space="0" w:color="006AA4" w:themeColor="accent1"/>
          <w:right w:val="single" w:sz="8" w:space="0" w:color="006AA4" w:themeColor="accent1"/>
        </w:tcBorders>
      </w:tcPr>
    </w:tblStylePr>
    <w:tblStylePr w:type="band2Horz">
      <w:pPr>
        <w:wordWrap/>
        <w:spacing w:beforeLines="0" w:beforeAutospacing="0" w:afterLines="0" w:afterAutospacing="0" w:line="240" w:lineRule="auto"/>
        <w:ind w:leftChars="0" w:left="0" w:rightChars="0" w:right="0" w:firstLineChars="0" w:firstLine="0"/>
      </w:pPr>
    </w:tblStylePr>
  </w:style>
  <w:style w:type="paragraph" w:customStyle="1" w:styleId="font5">
    <w:name w:val="font5"/>
    <w:basedOn w:val="Normal"/>
    <w:pPr>
      <w:spacing w:before="100" w:beforeAutospacing="1" w:after="100" w:afterAutospacing="1" w:line="240" w:lineRule="auto"/>
      <w:jc w:val="left"/>
    </w:pPr>
    <w:rPr>
      <w:rFonts w:ascii="Tahoma" w:eastAsia="Times New Roman" w:hAnsi="Tahoma" w:cs="Tahoma"/>
      <w:color w:val="000000"/>
      <w:sz w:val="18"/>
      <w:szCs w:val="18"/>
      <w:lang w:eastAsia="de-DE"/>
    </w:rPr>
  </w:style>
  <w:style w:type="paragraph" w:customStyle="1" w:styleId="font6">
    <w:name w:val="font6"/>
    <w:basedOn w:val="Normal"/>
    <w:pPr>
      <w:spacing w:before="100" w:beforeAutospacing="1" w:after="100" w:afterAutospacing="1" w:line="240" w:lineRule="auto"/>
      <w:jc w:val="left"/>
    </w:pPr>
    <w:rPr>
      <w:rFonts w:ascii="Tahoma" w:eastAsia="Times New Roman" w:hAnsi="Tahoma" w:cs="Tahoma"/>
      <w:b/>
      <w:bCs/>
      <w:color w:val="000000"/>
      <w:sz w:val="18"/>
      <w:szCs w:val="18"/>
      <w:lang w:eastAsia="de-DE"/>
    </w:rPr>
  </w:style>
  <w:style w:type="paragraph" w:customStyle="1" w:styleId="xl77">
    <w:name w:val="xl77"/>
    <w:basedOn w:val="Normal"/>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eastAsia="Times New Roman" w:cs="Arial"/>
      <w:b/>
      <w:bCs/>
      <w:sz w:val="16"/>
      <w:szCs w:val="16"/>
      <w:lang w:eastAsia="de-DE"/>
    </w:rPr>
  </w:style>
  <w:style w:type="paragraph" w:customStyle="1" w:styleId="xl78">
    <w:name w:val="xl78"/>
    <w:basedOn w:val="Normal"/>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left"/>
      <w:textAlignment w:val="center"/>
    </w:pPr>
    <w:rPr>
      <w:rFonts w:eastAsia="Times New Roman" w:cs="Arial"/>
      <w:sz w:val="16"/>
      <w:szCs w:val="16"/>
      <w:lang w:eastAsia="de-DE"/>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color w:val="000000"/>
      <w:sz w:val="16"/>
      <w:szCs w:val="16"/>
      <w:lang w:eastAsia="de-DE"/>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color w:val="000000"/>
      <w:sz w:val="16"/>
      <w:szCs w:val="16"/>
      <w:lang w:eastAsia="de-DE"/>
    </w:rPr>
  </w:style>
  <w:style w:type="paragraph" w:customStyle="1" w:styleId="xl81">
    <w:name w:val="xl81"/>
    <w:basedOn w:val="Normal"/>
    <w:pPr>
      <w:pBdr>
        <w:top w:val="single" w:sz="4" w:space="0" w:color="000000"/>
        <w:left w:val="single" w:sz="4" w:space="0" w:color="000000"/>
      </w:pBdr>
      <w:spacing w:before="100" w:beforeAutospacing="1" w:after="100" w:afterAutospacing="1" w:line="240" w:lineRule="auto"/>
      <w:jc w:val="center"/>
      <w:textAlignment w:val="center"/>
    </w:pPr>
    <w:rPr>
      <w:rFonts w:eastAsia="Times New Roman" w:cs="Arial"/>
      <w:b/>
      <w:bCs/>
      <w:sz w:val="16"/>
      <w:szCs w:val="16"/>
      <w:lang w:eastAsia="de-DE"/>
    </w:rPr>
  </w:style>
  <w:style w:type="paragraph" w:customStyle="1" w:styleId="xl82">
    <w:name w:val="xl82"/>
    <w:basedOn w:val="Normal"/>
    <w:pPr>
      <w:pBdr>
        <w:left w:val="single" w:sz="4" w:space="0" w:color="000000"/>
      </w:pBdr>
      <w:spacing w:before="100" w:beforeAutospacing="1" w:after="100" w:afterAutospacing="1" w:line="240" w:lineRule="auto"/>
      <w:jc w:val="center"/>
      <w:textAlignment w:val="center"/>
    </w:pPr>
    <w:rPr>
      <w:rFonts w:eastAsia="Times New Roman" w:cs="Arial"/>
      <w:b/>
      <w:bCs/>
      <w:sz w:val="16"/>
      <w:szCs w:val="16"/>
      <w:lang w:eastAsia="de-DE"/>
    </w:rPr>
  </w:style>
  <w:style w:type="paragraph" w:customStyle="1" w:styleId="xl83">
    <w:name w:val="xl83"/>
    <w:basedOn w:val="Normal"/>
    <w:pPr>
      <w:pBdr>
        <w:left w:val="single" w:sz="4" w:space="0" w:color="000000"/>
        <w:bottom w:val="single" w:sz="4" w:space="0" w:color="000000"/>
      </w:pBdr>
      <w:spacing w:before="100" w:beforeAutospacing="1" w:after="100" w:afterAutospacing="1" w:line="240" w:lineRule="auto"/>
      <w:jc w:val="center"/>
      <w:textAlignment w:val="center"/>
    </w:pPr>
    <w:rPr>
      <w:rFonts w:eastAsia="Times New Roman" w:cs="Arial"/>
      <w:b/>
      <w:bCs/>
      <w:sz w:val="16"/>
      <w:szCs w:val="16"/>
      <w:lang w:eastAsia="de-DE"/>
    </w:rPr>
  </w:style>
  <w:style w:type="paragraph" w:customStyle="1" w:styleId="xl84">
    <w:name w:val="xl84"/>
    <w:basedOn w:val="Normal"/>
    <w:pPr>
      <w:pBdr>
        <w:top w:val="single" w:sz="4" w:space="0" w:color="000000"/>
        <w:left w:val="single" w:sz="4" w:space="0" w:color="000000"/>
        <w:bottom w:val="single" w:sz="4" w:space="0" w:color="000000"/>
      </w:pBdr>
      <w:spacing w:before="100" w:beforeAutospacing="1" w:after="100" w:afterAutospacing="1" w:line="240" w:lineRule="auto"/>
      <w:jc w:val="left"/>
      <w:textAlignment w:val="center"/>
    </w:pPr>
    <w:rPr>
      <w:rFonts w:eastAsia="Times New Roman" w:cs="Arial"/>
      <w:sz w:val="16"/>
      <w:szCs w:val="16"/>
      <w:lang w:eastAsia="de-DE"/>
    </w:rPr>
  </w:style>
  <w:style w:type="paragraph" w:customStyle="1" w:styleId="xl85">
    <w:name w:val="xl85"/>
    <w:basedOn w:val="Normal"/>
    <w:pPr>
      <w:pBdr>
        <w:top w:val="single" w:sz="4" w:space="0" w:color="000000"/>
        <w:left w:val="single" w:sz="4" w:space="0" w:color="000000"/>
      </w:pBdr>
      <w:spacing w:before="100" w:beforeAutospacing="1" w:after="100" w:afterAutospacing="1" w:line="240" w:lineRule="auto"/>
      <w:jc w:val="left"/>
      <w:textAlignment w:val="center"/>
    </w:pPr>
    <w:rPr>
      <w:rFonts w:eastAsia="Times New Roman" w:cs="Arial"/>
      <w:sz w:val="16"/>
      <w:szCs w:val="16"/>
      <w:lang w:eastAsia="de-DE"/>
    </w:rPr>
  </w:style>
  <w:style w:type="paragraph" w:customStyle="1" w:styleId="xl86">
    <w:name w:val="xl86"/>
    <w:basedOn w:val="Normal"/>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cs="Arial"/>
      <w:color w:val="000000"/>
      <w:sz w:val="16"/>
      <w:szCs w:val="16"/>
      <w:lang w:eastAsia="de-DE"/>
    </w:rPr>
  </w:style>
  <w:style w:type="paragraph" w:customStyle="1" w:styleId="xl87">
    <w:name w:val="xl87"/>
    <w:basedOn w:val="Normal"/>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cs="Arial"/>
      <w:color w:val="000000"/>
      <w:sz w:val="16"/>
      <w:szCs w:val="16"/>
      <w:lang w:eastAsia="de-DE"/>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de-DE"/>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6"/>
      <w:szCs w:val="16"/>
      <w:lang w:eastAsia="de-DE"/>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Arial"/>
      <w:b/>
      <w:bCs/>
      <w:sz w:val="16"/>
      <w:szCs w:val="16"/>
      <w:lang w:eastAsia="de-DE"/>
    </w:rPr>
  </w:style>
  <w:style w:type="paragraph" w:customStyle="1" w:styleId="xl91">
    <w:name w:val="xl91"/>
    <w:basedOn w:val="Normal"/>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left"/>
      <w:textAlignment w:val="center"/>
    </w:pPr>
    <w:rPr>
      <w:rFonts w:eastAsia="Times New Roman" w:cs="Arial"/>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20" w:qFormat="1"/>
    <w:lsdException w:name="heading 7" w:uiPriority="20" w:qFormat="1"/>
    <w:lsdException w:name="heading 8" w:uiPriority="20" w:qFormat="1"/>
    <w:lsdException w:name="heading 9" w:uiPriority="20" w:qFormat="1"/>
    <w:lsdException w:name="toc 1" w:uiPriority="39" w:qFormat="1"/>
    <w:lsdException w:name="toc 2" w:uiPriority="0" w:qFormat="1"/>
    <w:lsdException w:name="toc 3" w:uiPriority="0" w:qFormat="1"/>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header" w:uiPriority="0"/>
    <w:lsdException w:name="footer" w:uiPriority="20"/>
    <w:lsdException w:name="caption" w:locked="1" w:uiPriority="35" w:qFormat="1"/>
    <w:lsdException w:name="endnote reference" w:unhideWhenUsed="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uiPriority="41" w:unhideWhenUsed="0" w:qFormat="1"/>
    <w:lsdException w:name="Default Paragraph Font" w:uiPriority="1"/>
    <w:lsdException w:name="Subtitle" w:uiPriority="40" w:unhideWhenUsed="0" w:qFormat="1"/>
    <w:lsdException w:name="Strong" w:semiHidden="0" w:uiPriority="16" w:unhideWhenUsed="0" w:qFormat="1"/>
    <w:lsdException w:name="Emphasis" w:uiPriority="20" w:unhideWhenUsed="0" w:qFormat="1"/>
    <w:lsdException w:name="HTML Acronym" w:unhideWhenUsed="0"/>
    <w:lsdException w:name="HTML Cite" w:unhideWhenUsed="0"/>
    <w:lsdException w:name="HTML Code" w:unhideWhenUsed="0"/>
    <w:lsdException w:name="HTML Definition" w:unhideWhenUsed="0"/>
    <w:lsdException w:name="HTML Keyboard" w:unhideWhenUsed="0"/>
    <w:lsdException w:name="HTML Sample" w:unhideWhenUsed="0"/>
    <w:lsdException w:name="HTML Typewriter" w:unhideWhenUsed="0"/>
    <w:lsdException w:name="HTML Variable"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84"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0" w:qFormat="1"/>
  </w:latentStyles>
  <w:style w:type="paragraph" w:default="1" w:styleId="Normal">
    <w:name w:val="Normal"/>
    <w:semiHidden/>
    <w:pPr>
      <w:spacing w:after="180" w:line="280" w:lineRule="atLeast"/>
      <w:jc w:val="both"/>
    </w:pPr>
  </w:style>
  <w:style w:type="paragraph" w:styleId="Heading1">
    <w:name w:val="heading 1"/>
    <w:basedOn w:val="Normal"/>
    <w:next w:val="Standardtext"/>
    <w:link w:val="Heading1Char"/>
    <w:qFormat/>
    <w:pPr>
      <w:keepNext/>
      <w:keepLines/>
      <w:numPr>
        <w:numId w:val="18"/>
      </w:numPr>
      <w:spacing w:before="480"/>
      <w:jc w:val="left"/>
      <w:outlineLvl w:val="0"/>
    </w:pPr>
    <w:rPr>
      <w:rFonts w:eastAsiaTheme="majorEastAsia" w:cstheme="majorBidi"/>
      <w:b/>
      <w:bCs/>
      <w:color w:val="006AA4" w:themeColor="accent1"/>
      <w:szCs w:val="28"/>
    </w:rPr>
  </w:style>
  <w:style w:type="paragraph" w:styleId="Heading2">
    <w:name w:val="heading 2"/>
    <w:basedOn w:val="Standardtext"/>
    <w:next w:val="Standardtext"/>
    <w:link w:val="Heading2Char"/>
    <w:qFormat/>
    <w:pPr>
      <w:keepNext/>
      <w:keepLines/>
      <w:numPr>
        <w:ilvl w:val="1"/>
        <w:numId w:val="18"/>
      </w:numPr>
      <w:spacing w:before="360"/>
      <w:jc w:val="left"/>
      <w:outlineLvl w:val="1"/>
    </w:pPr>
    <w:rPr>
      <w:b/>
      <w:color w:val="006AA4" w:themeColor="accent1"/>
    </w:rPr>
  </w:style>
  <w:style w:type="paragraph" w:styleId="Heading3">
    <w:name w:val="heading 3"/>
    <w:basedOn w:val="Standardtext"/>
    <w:next w:val="Standardtext"/>
    <w:link w:val="Heading3Char"/>
    <w:qFormat/>
    <w:pPr>
      <w:keepNext/>
      <w:keepLines/>
      <w:numPr>
        <w:ilvl w:val="2"/>
        <w:numId w:val="18"/>
      </w:numPr>
      <w:spacing w:before="360" w:line="260" w:lineRule="atLeast"/>
      <w:jc w:val="left"/>
      <w:outlineLvl w:val="2"/>
    </w:pPr>
    <w:rPr>
      <w:b/>
    </w:rPr>
  </w:style>
  <w:style w:type="paragraph" w:styleId="Heading4">
    <w:name w:val="heading 4"/>
    <w:basedOn w:val="Standardtext"/>
    <w:next w:val="Standardtext"/>
    <w:link w:val="Heading4Char"/>
    <w:qFormat/>
    <w:pPr>
      <w:keepNext/>
      <w:keepLines/>
      <w:numPr>
        <w:ilvl w:val="3"/>
        <w:numId w:val="18"/>
      </w:numPr>
      <w:spacing w:before="280"/>
      <w:jc w:val="left"/>
      <w:outlineLvl w:val="3"/>
    </w:pPr>
    <w:rPr>
      <w:b/>
    </w:rPr>
  </w:style>
  <w:style w:type="paragraph" w:styleId="Heading5">
    <w:name w:val="heading 5"/>
    <w:basedOn w:val="Normal"/>
    <w:next w:val="Standardtext"/>
    <w:link w:val="Heading5Char"/>
    <w:qFormat/>
    <w:pPr>
      <w:keepNext/>
      <w:keepLines/>
      <w:tabs>
        <w:tab w:val="left" w:pos="1134"/>
      </w:tabs>
      <w:spacing w:before="280"/>
      <w:jc w:val="left"/>
      <w:outlineLvl w:val="4"/>
    </w:pPr>
    <w:rPr>
      <w:rFonts w:eastAsiaTheme="majorEastAsia" w:cstheme="majorBidi"/>
      <w:b/>
    </w:rPr>
  </w:style>
  <w:style w:type="paragraph" w:styleId="Heading6">
    <w:name w:val="heading 6"/>
    <w:basedOn w:val="Normal"/>
    <w:next w:val="Normal"/>
    <w:link w:val="Heading6Char"/>
    <w:uiPriority w:val="20"/>
    <w:semiHidden/>
    <w:qFormat/>
    <w:pPr>
      <w:keepNext/>
      <w:keepLines/>
      <w:spacing w:before="200" w:after="0"/>
      <w:outlineLvl w:val="5"/>
    </w:pPr>
    <w:rPr>
      <w:rFonts w:asciiTheme="majorHAnsi" w:eastAsiaTheme="majorEastAsia" w:hAnsiTheme="majorHAnsi" w:cstheme="majorBidi"/>
      <w:i/>
      <w:iCs/>
      <w:color w:val="003451" w:themeColor="accent1" w:themeShade="7F"/>
    </w:rPr>
  </w:style>
  <w:style w:type="paragraph" w:styleId="Heading7">
    <w:name w:val="heading 7"/>
    <w:basedOn w:val="Normal"/>
    <w:next w:val="Normal"/>
    <w:link w:val="Heading7Char"/>
    <w:uiPriority w:val="20"/>
    <w:semiHidden/>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0"/>
    <w:semiHidden/>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20"/>
    <w:semiHidden/>
    <w:qFormat/>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3">
    <w:name w:val="Light Shading Accent 3"/>
    <w:basedOn w:val="TableNormal"/>
    <w:uiPriority w:val="60"/>
    <w:pPr>
      <w:spacing w:after="0" w:line="240" w:lineRule="auto"/>
    </w:pPr>
    <w:rPr>
      <w:rFonts w:ascii="Arial" w:hAnsi="Arial"/>
      <w:sz w:val="18"/>
    </w:rPr>
    <w:tblPr>
      <w:tblStyleRowBandSize w:val="1"/>
      <w:tblStyleColBandSize w:val="1"/>
      <w:tblInd w:w="0" w:type="dxa"/>
      <w:tblBorders>
        <w:bottom w:val="single" w:sz="4" w:space="0" w:color="A6A6A6" w:themeColor="background1" w:themeShade="A6"/>
      </w:tblBorders>
      <w:tblCellMar>
        <w:top w:w="0" w:type="dxa"/>
        <w:left w:w="0" w:type="dxa"/>
        <w:bottom w:w="0" w:type="dxa"/>
        <w:right w:w="0" w:type="dxa"/>
      </w:tblCellMar>
    </w:tblPr>
    <w:tcPr>
      <w:shd w:val="clear" w:color="auto" w:fill="auto"/>
    </w:tcPr>
    <w:tblStylePr w:type="firstRow">
      <w:pPr>
        <w:spacing w:before="0" w:after="0" w:line="240" w:lineRule="auto"/>
      </w:pPr>
      <w:rPr>
        <w:rFonts w:ascii="Arial" w:hAnsi="Arial"/>
        <w:b/>
        <w:bCs/>
        <w:sz w:val="18"/>
      </w:rPr>
      <w:tblPr/>
      <w:tcPr>
        <w:tcBorders>
          <w:top w:val="nil"/>
          <w:left w:val="nil"/>
          <w:bottom w:val="single" w:sz="8" w:space="0" w:color="97BF0D" w:themeColor="accent3"/>
          <w:right w:val="nil"/>
          <w:insideH w:val="nil"/>
          <w:insideV w:val="nil"/>
        </w:tcBorders>
        <w:shd w:val="clear" w:color="auto" w:fill="auto"/>
      </w:tcPr>
    </w:tblStylePr>
    <w:tblStylePr w:type="lastRow">
      <w:pPr>
        <w:spacing w:before="0" w:after="0" w:line="240" w:lineRule="auto"/>
      </w:pPr>
      <w:rPr>
        <w:rFonts w:ascii="Arial" w:hAnsi="Arial"/>
        <w:b/>
        <w:bCs/>
        <w:sz w:val="18"/>
      </w:rPr>
      <w:tblPr/>
      <w:tcPr>
        <w:tcBorders>
          <w:top w:val="single" w:sz="8" w:space="0" w:color="97BF0D" w:themeColor="accent3"/>
          <w:left w:val="nil"/>
          <w:bottom w:val="single" w:sz="8" w:space="0" w:color="97BF0D" w:themeColor="accent3"/>
          <w:right w:val="nil"/>
          <w:insideH w:val="nil"/>
          <w:insideV w:val="nil"/>
        </w:tcBorders>
      </w:tcPr>
    </w:tblStylePr>
    <w:tblStylePr w:type="firstCol">
      <w:rPr>
        <w:rFonts w:ascii="Arial" w:hAnsi="Arial"/>
        <w:b w:val="0"/>
        <w:bCs/>
        <w:sz w:val="18"/>
      </w:rPr>
    </w:tblStylePr>
    <w:tblStylePr w:type="lastCol">
      <w:rPr>
        <w:rFonts w:ascii="Arial" w:hAnsi="Arial"/>
        <w:b w:val="0"/>
        <w:bCs/>
        <w:sz w:val="18"/>
      </w:rPr>
    </w:tblStylePr>
    <w:tblStylePr w:type="band1Vert">
      <w:tblPr/>
      <w:tcPr>
        <w:tcBorders>
          <w:left w:val="nil"/>
          <w:right w:val="nil"/>
          <w:insideH w:val="nil"/>
          <w:insideV w:val="nil"/>
        </w:tcBorders>
        <w:shd w:val="clear" w:color="auto" w:fill="EBFAB8" w:themeFill="accent3" w:themeFillTint="3F"/>
      </w:tcPr>
    </w:tblStylePr>
    <w:tblStylePr w:type="band1Horz">
      <w:tblPr/>
      <w:tcPr>
        <w:tcBorders>
          <w:bottom w:val="single" w:sz="4" w:space="0" w:color="A6A6A6" w:themeColor="background1" w:themeShade="A6"/>
        </w:tcBorders>
        <w:shd w:val="clear" w:color="auto" w:fill="auto"/>
      </w:tcPr>
    </w:tblStylePr>
    <w:tblStylePr w:type="band2Horz">
      <w:tblPr/>
      <w:tcPr>
        <w:tcBorders>
          <w:top w:val="nil"/>
          <w:left w:val="nil"/>
          <w:bottom w:val="single" w:sz="4" w:space="0" w:color="A6A6A6" w:themeColor="background1" w:themeShade="A6"/>
          <w:right w:val="nil"/>
          <w:insideH w:val="nil"/>
          <w:insideV w:val="nil"/>
        </w:tcBorders>
        <w:shd w:val="clear" w:color="auto" w:fill="auto"/>
      </w:tcPr>
    </w:tblStylePr>
  </w:style>
  <w:style w:type="paragraph" w:styleId="MacroText">
    <w:name w:val="macro"/>
    <w:basedOn w:val="Normal"/>
    <w:link w:val="MacroTextChar"/>
    <w:uiPriority w:val="99"/>
    <w:semiHidden/>
    <w:pPr>
      <w:ind w:left="360" w:hanging="360"/>
    </w:pPr>
  </w:style>
  <w:style w:type="character" w:customStyle="1" w:styleId="MacroTextChar">
    <w:name w:val="Macro Text Char"/>
    <w:basedOn w:val="DefaultParagraphFont"/>
    <w:link w:val="MacroText"/>
    <w:uiPriority w:val="99"/>
    <w:semiHidden/>
    <w:rPr>
      <w:rFonts w:ascii="Arial" w:hAnsi="Arial"/>
    </w:rPr>
  </w:style>
  <w:style w:type="numbering" w:customStyle="1" w:styleId="Gliederung">
    <w:name w:val="Gliederung"/>
    <w:uiPriority w:val="99"/>
    <w:pPr>
      <w:numPr>
        <w:numId w:val="4"/>
      </w:numPr>
    </w:pPr>
  </w:style>
  <w:style w:type="paragraph" w:customStyle="1" w:styleId="Standardtext">
    <w:name w:val="Standardtext"/>
    <w:basedOn w:val="Normal"/>
    <w:qForma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Beschriftung_tab,tab_überschrift Char,Tab_Überschrift,tab_überschrift"/>
    <w:basedOn w:val="Normal"/>
    <w:link w:val="CaptionChar"/>
    <w:uiPriority w:val="35"/>
    <w:qFormat/>
    <w:locked/>
    <w:pPr>
      <w:keepNext/>
      <w:tabs>
        <w:tab w:val="left" w:pos="1871"/>
      </w:tabs>
      <w:spacing w:before="140" w:after="140"/>
      <w:ind w:left="1871" w:hanging="1871"/>
      <w:jc w:val="left"/>
    </w:pPr>
    <w:rPr>
      <w:b/>
      <w:bCs/>
      <w:color w:val="006AA4" w:themeColor="accent1"/>
      <w:szCs w:val="18"/>
    </w:rPr>
  </w:style>
  <w:style w:type="paragraph" w:customStyle="1" w:styleId="TabellentextlinksbndigI">
    <w:name w:val="Tabellentext linksbündig_ÖI"/>
    <w:basedOn w:val="Normal"/>
    <w:uiPriority w:val="6"/>
    <w:qFormat/>
    <w:pPr>
      <w:spacing w:before="60" w:after="60" w:line="260" w:lineRule="atLeast"/>
      <w:ind w:right="113"/>
      <w:jc w:val="left"/>
    </w:pPr>
    <w:rPr>
      <w:sz w:val="20"/>
    </w:rPr>
  </w:style>
  <w:style w:type="paragraph" w:customStyle="1" w:styleId="TabellentitellinksbndigI">
    <w:name w:val="Tabellentitel linksbündig_ÖI"/>
    <w:basedOn w:val="TabellentextlinksbndigI"/>
    <w:uiPriority w:val="9"/>
    <w:semiHidden/>
    <w:qFormat/>
    <w:rPr>
      <w:b/>
    </w:rPr>
  </w:style>
  <w:style w:type="paragraph" w:customStyle="1" w:styleId="TabellentextrechtsbndigI">
    <w:name w:val="Tabellentext rechtsbündig_ÖI"/>
    <w:basedOn w:val="TabellentextlinksbndigI"/>
    <w:uiPriority w:val="7"/>
    <w:semiHidden/>
    <w:qFormat/>
    <w:pPr>
      <w:jc w:val="right"/>
    </w:pPr>
  </w:style>
  <w:style w:type="paragraph" w:customStyle="1" w:styleId="TabellentitelrechtsbndigOI">
    <w:name w:val="Tabellentitel rechtsbündig_OI"/>
    <w:basedOn w:val="Normal"/>
    <w:uiPriority w:val="10"/>
    <w:semiHidden/>
    <w:qFormat/>
    <w:pPr>
      <w:spacing w:before="60" w:after="60" w:line="260" w:lineRule="atLeast"/>
      <w:ind w:right="113"/>
      <w:jc w:val="right"/>
    </w:pPr>
    <w:rPr>
      <w:b/>
      <w:sz w:val="20"/>
    </w:rPr>
  </w:style>
  <w:style w:type="paragraph" w:customStyle="1" w:styleId="QuelleI">
    <w:name w:val="Quelle_ÖI"/>
    <w:basedOn w:val="Normal"/>
    <w:uiPriority w:val="12"/>
    <w:qFormat/>
    <w:pPr>
      <w:tabs>
        <w:tab w:val="left" w:pos="567"/>
      </w:tabs>
      <w:spacing w:before="40" w:after="40" w:line="240" w:lineRule="auto"/>
      <w:ind w:left="567" w:hanging="567"/>
      <w:jc w:val="left"/>
    </w:pPr>
    <w:rPr>
      <w:rFonts w:cs="Arial"/>
      <w:color w:val="868686"/>
      <w:sz w:val="16"/>
      <w:szCs w:val="12"/>
    </w:rPr>
  </w:style>
  <w:style w:type="paragraph" w:customStyle="1" w:styleId="TabellenabstandOI">
    <w:name w:val="Tabellenabstand_OI"/>
    <w:basedOn w:val="Normal"/>
    <w:next w:val="Standardtext"/>
    <w:semiHidden/>
    <w:qFormat/>
    <w:pPr>
      <w:spacing w:after="0" w:line="20" w:lineRule="exact"/>
    </w:pPr>
    <w:rPr>
      <w:sz w:val="4"/>
    </w:rPr>
  </w:style>
  <w:style w:type="paragraph" w:styleId="Header">
    <w:name w:val="header"/>
    <w:basedOn w:val="Normal"/>
    <w:link w:val="HeaderChar"/>
    <w:semiHidden/>
    <w:pPr>
      <w:spacing w:before="20" w:after="20" w:line="200" w:lineRule="atLeast"/>
      <w:jc w:val="left"/>
    </w:pPr>
    <w:rPr>
      <w:sz w:val="18"/>
    </w:rPr>
  </w:style>
  <w:style w:type="character" w:customStyle="1" w:styleId="HeaderChar">
    <w:name w:val="Header Char"/>
    <w:basedOn w:val="DefaultParagraphFont"/>
    <w:link w:val="Header"/>
    <w:semiHidden/>
    <w:rPr>
      <w:rFonts w:ascii="Arial" w:hAnsi="Arial"/>
      <w:sz w:val="18"/>
    </w:rPr>
  </w:style>
  <w:style w:type="paragraph" w:styleId="Footer">
    <w:name w:val="footer"/>
    <w:basedOn w:val="Normal"/>
    <w:link w:val="FooterChar"/>
    <w:uiPriority w:val="20"/>
    <w:semiHidden/>
    <w:pPr>
      <w:tabs>
        <w:tab w:val="center" w:pos="4536"/>
        <w:tab w:val="right" w:pos="9072"/>
      </w:tabs>
      <w:spacing w:after="0" w:line="240" w:lineRule="auto"/>
    </w:pPr>
    <w:rPr>
      <w:sz w:val="18"/>
    </w:rPr>
  </w:style>
  <w:style w:type="character" w:customStyle="1" w:styleId="FooterChar">
    <w:name w:val="Footer Char"/>
    <w:basedOn w:val="DefaultParagraphFont"/>
    <w:link w:val="Footer"/>
    <w:uiPriority w:val="20"/>
    <w:semiHidden/>
    <w:rPr>
      <w:rFonts w:ascii="Arial" w:hAnsi="Arial"/>
      <w:sz w:val="18"/>
    </w:rPr>
  </w:style>
  <w:style w:type="character" w:styleId="Strong">
    <w:name w:val="Strong"/>
    <w:basedOn w:val="DefaultParagraphFont"/>
    <w:uiPriority w:val="16"/>
    <w:semiHidden/>
    <w:qFormat/>
    <w:rPr>
      <w:b/>
      <w:bCs/>
    </w:rPr>
  </w:style>
  <w:style w:type="paragraph" w:customStyle="1" w:styleId="Angebotsuntertitel">
    <w:name w:val="Angebotsuntertitel"/>
    <w:basedOn w:val="Normal"/>
    <w:semiHidden/>
    <w:qFormat/>
    <w:pPr>
      <w:spacing w:after="0"/>
      <w:jc w:val="left"/>
    </w:pPr>
  </w:style>
  <w:style w:type="paragraph" w:customStyle="1" w:styleId="DatumI">
    <w:name w:val="Datum_ÖI"/>
    <w:basedOn w:val="Normal"/>
    <w:semiHidden/>
    <w:qFormat/>
    <w:pPr>
      <w:jc w:val="left"/>
    </w:pPr>
  </w:style>
  <w:style w:type="paragraph" w:customStyle="1" w:styleId="Fusszeile2I">
    <w:name w:val="Fusszeile_2_ÖI"/>
    <w:basedOn w:val="Fusszeile1I"/>
    <w:semiHidden/>
    <w:qFormat/>
    <w:pPr>
      <w:spacing w:before="20" w:after="20"/>
    </w:pPr>
    <w:rPr>
      <w:b w:val="0"/>
      <w:szCs w:val="12"/>
    </w:rPr>
  </w:style>
  <w:style w:type="paragraph" w:customStyle="1" w:styleId="Fusszeile1I">
    <w:name w:val="Fusszeile_1_ÖI"/>
    <w:basedOn w:val="Normal"/>
    <w:next w:val="Fusszeile2I"/>
    <w:semiHidden/>
    <w:qFormat/>
    <w:pPr>
      <w:spacing w:before="40" w:after="0" w:line="200" w:lineRule="exact"/>
      <w:jc w:val="left"/>
    </w:pPr>
    <w:rPr>
      <w:b/>
      <w:sz w:val="16"/>
    </w:rPr>
  </w:style>
  <w:style w:type="paragraph" w:customStyle="1" w:styleId="PartnerI">
    <w:name w:val="Partner_ÖI"/>
    <w:basedOn w:val="Normal"/>
    <w:semiHidden/>
    <w:pPr>
      <w:spacing w:before="180" w:line="220" w:lineRule="atLeast"/>
      <w:jc w:val="left"/>
    </w:pPr>
    <w:rPr>
      <w:rFonts w:eastAsia="Times New Roman"/>
      <w:iCs/>
      <w:sz w:val="16"/>
      <w:szCs w:val="16"/>
    </w:rPr>
  </w:style>
  <w:style w:type="paragraph" w:customStyle="1" w:styleId="AutorenI">
    <w:name w:val="Autoren_ÖI"/>
    <w:basedOn w:val="Normal"/>
    <w:semiHidden/>
    <w:qFormat/>
    <w:pPr>
      <w:spacing w:before="40" w:after="40" w:line="240" w:lineRule="atLeast"/>
      <w:jc w:val="left"/>
    </w:pPr>
    <w:rPr>
      <w:sz w:val="20"/>
    </w:rPr>
  </w:style>
  <w:style w:type="paragraph" w:customStyle="1" w:styleId="berschrift1oNum">
    <w:name w:val="Überschrift 1 oNum"/>
    <w:basedOn w:val="Heading1"/>
    <w:next w:val="Standardtext"/>
    <w:link w:val="berschrift1oNumChar"/>
    <w:uiPriority w:val="1"/>
    <w:qFormat/>
    <w:pPr>
      <w:numPr>
        <w:numId w:val="0"/>
      </w:numPr>
    </w:pPr>
    <w:rPr>
      <w:rFonts w:eastAsiaTheme="minorHAnsi" w:cstheme="minorBidi"/>
      <w:bCs w:val="0"/>
      <w:szCs w:val="22"/>
    </w:rPr>
  </w:style>
  <w:style w:type="paragraph" w:customStyle="1" w:styleId="Angebotstitel">
    <w:name w:val="Angebotstitel"/>
    <w:basedOn w:val="Normal"/>
    <w:semiHidden/>
    <w:qFormat/>
    <w:pPr>
      <w:spacing w:after="0" w:line="400" w:lineRule="atLeast"/>
      <w:jc w:val="left"/>
    </w:pPr>
    <w:rPr>
      <w:color w:val="006AA4" w:themeColor="accent1"/>
      <w:sz w:val="36"/>
    </w:rPr>
  </w:style>
  <w:style w:type="paragraph" w:customStyle="1" w:styleId="TabellentextkleinlinksbndigI">
    <w:name w:val="Tabellentext klein linksbündig_ÖI"/>
    <w:basedOn w:val="TabellentextlinksbndigI"/>
    <w:uiPriority w:val="8"/>
    <w:semiHidden/>
    <w:qFormat/>
    <w:pPr>
      <w:spacing w:before="20" w:after="20" w:line="200" w:lineRule="atLeast"/>
    </w:pPr>
    <w:rPr>
      <w:sz w:val="16"/>
      <w:lang w:val="en-US"/>
    </w:rPr>
  </w:style>
  <w:style w:type="paragraph" w:customStyle="1" w:styleId="HiddenText">
    <w:name w:val="Hidden Text"/>
    <w:basedOn w:val="Standardtext"/>
    <w:uiPriority w:val="99"/>
    <w:semiHidden/>
    <w:qFormat/>
    <w:rPr>
      <w:vanish/>
      <w:color w:val="FF0000"/>
    </w:rPr>
  </w:style>
  <w:style w:type="character" w:customStyle="1" w:styleId="Heading1Char">
    <w:name w:val="Heading 1 Char"/>
    <w:basedOn w:val="DefaultParagraphFont"/>
    <w:link w:val="Heading1"/>
    <w:rPr>
      <w:rFonts w:eastAsiaTheme="majorEastAsia" w:cstheme="majorBidi"/>
      <w:b/>
      <w:bCs/>
      <w:color w:val="006AA4" w:themeColor="accent1"/>
      <w:szCs w:val="28"/>
    </w:rPr>
  </w:style>
  <w:style w:type="paragraph" w:styleId="TOCHeading">
    <w:name w:val="TOC Heading"/>
    <w:basedOn w:val="Normal"/>
    <w:next w:val="Normal"/>
    <w:qFormat/>
    <w:pPr>
      <w:keepNext/>
      <w:spacing w:before="240" w:after="240" w:line="240" w:lineRule="auto"/>
      <w:jc w:val="center"/>
    </w:pPr>
    <w:rPr>
      <w:rFonts w:eastAsia="Times New Roman"/>
      <w:b/>
    </w:rPr>
  </w:style>
  <w:style w:type="paragraph" w:styleId="TOC1">
    <w:name w:val="toc 1"/>
    <w:basedOn w:val="Normal"/>
    <w:next w:val="Normal"/>
    <w:uiPriority w:val="39"/>
    <w:pPr>
      <w:tabs>
        <w:tab w:val="right" w:leader="dot" w:pos="8640"/>
      </w:tabs>
      <w:spacing w:before="120" w:after="120" w:line="240" w:lineRule="auto"/>
      <w:ind w:left="482" w:right="720" w:hanging="482"/>
    </w:pPr>
    <w:rPr>
      <w:rFonts w:eastAsia="Times New Roman"/>
      <w:caps/>
    </w:rPr>
  </w:style>
  <w:style w:type="paragraph" w:styleId="TOC2">
    <w:name w:val="toc 2"/>
    <w:basedOn w:val="Normal"/>
    <w:next w:val="Normal"/>
    <w:pPr>
      <w:tabs>
        <w:tab w:val="right" w:leader="dot" w:pos="8640"/>
      </w:tabs>
      <w:spacing w:before="60" w:after="60" w:line="240" w:lineRule="auto"/>
      <w:ind w:left="1077" w:right="720" w:hanging="595"/>
    </w:pPr>
    <w:rPr>
      <w:rFonts w:eastAsia="Times New Roman"/>
    </w:rPr>
  </w:style>
  <w:style w:type="paragraph" w:styleId="TOC3">
    <w:name w:val="toc 3"/>
    <w:basedOn w:val="Normal"/>
    <w:next w:val="Normal"/>
    <w:pPr>
      <w:tabs>
        <w:tab w:val="right" w:leader="dot" w:pos="8640"/>
      </w:tabs>
      <w:spacing w:before="60" w:after="60" w:line="240" w:lineRule="auto"/>
      <w:ind w:left="1916" w:right="720" w:hanging="839"/>
    </w:pPr>
    <w:rPr>
      <w:rFonts w:eastAsia="Times New Roman"/>
    </w:rPr>
  </w:style>
  <w:style w:type="character" w:styleId="Hyperlink">
    <w:name w:val="Hyperlink"/>
    <w:basedOn w:val="DefaultParagraphFont"/>
    <w:uiPriority w:val="99"/>
    <w:rPr>
      <w:noProof/>
      <w:color w:val="006AA4" w:themeColor="hyperlink"/>
      <w:u w:val="single"/>
    </w:rPr>
  </w:style>
  <w:style w:type="paragraph" w:styleId="TOC4">
    <w:name w:val="toc 4"/>
    <w:basedOn w:val="Normal"/>
    <w:next w:val="Normal"/>
    <w:pPr>
      <w:tabs>
        <w:tab w:val="right" w:leader="dot" w:pos="8641"/>
      </w:tabs>
      <w:spacing w:before="60" w:after="60" w:line="240" w:lineRule="auto"/>
      <w:ind w:left="2880" w:right="720" w:hanging="964"/>
    </w:pPr>
    <w:rPr>
      <w:rFonts w:eastAsia="Times New Roman"/>
    </w:rPr>
  </w:style>
  <w:style w:type="paragraph" w:customStyle="1" w:styleId="Verzeichnistitel">
    <w:name w:val="Verzeichnistitel"/>
    <w:basedOn w:val="Normal"/>
    <w:next w:val="Standardtext"/>
    <w:uiPriority w:val="19"/>
    <w:semiHidden/>
    <w:qFormat/>
    <w:pPr>
      <w:pageBreakBefore/>
      <w:spacing w:after="400" w:line="400" w:lineRule="atLeast"/>
      <w:outlineLvl w:val="0"/>
    </w:pPr>
    <w:rPr>
      <w:b/>
      <w:color w:val="006AA4" w:themeColor="accent1"/>
      <w:sz w:val="36"/>
    </w:rPr>
  </w:style>
  <w:style w:type="paragraph" w:styleId="TableofFigures">
    <w:name w:val="table of figures"/>
    <w:basedOn w:val="Normal"/>
    <w:next w:val="Standardtext"/>
    <w:uiPriority w:val="99"/>
    <w:pPr>
      <w:tabs>
        <w:tab w:val="right" w:pos="9639"/>
      </w:tabs>
      <w:spacing w:after="60"/>
      <w:ind w:left="1814" w:right="851" w:hanging="1814"/>
      <w:jc w:val="left"/>
    </w:pPr>
    <w:rPr>
      <w:rFonts w:cs="Arial"/>
      <w:bCs/>
    </w:rPr>
  </w:style>
  <w:style w:type="paragraph" w:customStyle="1" w:styleId="AnhangI">
    <w:name w:val="Anhang_ÖI"/>
    <w:basedOn w:val="Normal"/>
    <w:next w:val="Standardtext"/>
    <w:uiPriority w:val="12"/>
    <w:semiHidden/>
    <w:qFormat/>
    <w:pPr>
      <w:spacing w:after="120"/>
    </w:pPr>
    <w:rPr>
      <w:b/>
      <w:bCs/>
      <w:color w:val="006AA4" w:themeColor="accent1"/>
    </w:rPr>
  </w:style>
  <w:style w:type="paragraph" w:customStyle="1" w:styleId="AnhangnummerierungI">
    <w:name w:val="Anhangnummerierung_ÖI"/>
    <w:basedOn w:val="Heading1"/>
    <w:next w:val="Standardtext"/>
    <w:uiPriority w:val="12"/>
    <w:semiHidden/>
    <w:qFormat/>
    <w:pPr>
      <w:keepNext w:val="0"/>
      <w:keepLines w:val="0"/>
      <w:numPr>
        <w:numId w:val="1"/>
      </w:numPr>
    </w:pPr>
    <w:rPr>
      <w:rFonts w:eastAsiaTheme="minorHAnsi" w:cstheme="minorBidi"/>
      <w:bCs w:val="0"/>
      <w:szCs w:val="22"/>
    </w:rPr>
  </w:style>
  <w:style w:type="numbering" w:customStyle="1" w:styleId="Aufzhlungerweitert">
    <w:name w:val="Aufzählung erweitert"/>
    <w:uiPriority w:val="99"/>
    <w:pPr>
      <w:numPr>
        <w:numId w:val="2"/>
      </w:numPr>
    </w:pPr>
  </w:style>
  <w:style w:type="paragraph" w:customStyle="1" w:styleId="Aufzhlung1I">
    <w:name w:val="Aufzählung_1_ÖI"/>
    <w:basedOn w:val="Normal"/>
    <w:uiPriority w:val="2"/>
    <w:qFormat/>
    <w:pPr>
      <w:numPr>
        <w:numId w:val="15"/>
      </w:numPr>
      <w:tabs>
        <w:tab w:val="left" w:pos="227"/>
      </w:tabs>
      <w:spacing w:after="120"/>
    </w:pPr>
    <w:rPr>
      <w:rFonts w:cs="Arial"/>
    </w:rPr>
  </w:style>
  <w:style w:type="paragraph" w:customStyle="1" w:styleId="Aufzhlung2I">
    <w:name w:val="Aufzählung_2_ÖI"/>
    <w:basedOn w:val="Aufzhlung1I"/>
    <w:uiPriority w:val="2"/>
    <w:qFormat/>
    <w:pPr>
      <w:numPr>
        <w:ilvl w:val="1"/>
      </w:numPr>
    </w:pPr>
  </w:style>
  <w:style w:type="paragraph" w:customStyle="1" w:styleId="Aufzhlung3I">
    <w:name w:val="Aufzählung_3_ÖI"/>
    <w:basedOn w:val="Normal"/>
    <w:uiPriority w:val="2"/>
    <w:qFormat/>
    <w:pPr>
      <w:numPr>
        <w:numId w:val="16"/>
      </w:numPr>
      <w:tabs>
        <w:tab w:val="left" w:pos="227"/>
      </w:tabs>
      <w:spacing w:after="120"/>
    </w:pPr>
    <w:rPr>
      <w:rFonts w:cs="Arial"/>
    </w:rPr>
  </w:style>
  <w:style w:type="table" w:styleId="LightShading">
    <w:name w:val="Light Shading"/>
    <w:aliases w:val="Öko-Institut,Helle Schattierung1"/>
    <w:basedOn w:val="TableNormal"/>
    <w:uiPriority w:val="60"/>
    <w:pPr>
      <w:keepNext/>
      <w:keepLines/>
      <w:spacing w:after="0" w:line="240" w:lineRule="auto"/>
      <w:ind w:right="113"/>
    </w:pPr>
    <w:rPr>
      <w:rFonts w:ascii="Arial" w:hAnsi="Arial"/>
      <w:color w:val="000000" w:themeColor="text1" w:themeShade="BF"/>
      <w:sz w:val="20"/>
    </w:rPr>
    <w:tblPr>
      <w:tblStyleRowBandSize w:val="1"/>
      <w:tblStyleColBandSize w:val="1"/>
      <w:tblInd w:w="0" w:type="dxa"/>
      <w:tblBorders>
        <w:top w:val="single" w:sz="8" w:space="0" w:color="000000" w:themeColor="text1"/>
        <w:bottom w:val="single" w:sz="8" w:space="0" w:color="000000" w:themeColor="text1"/>
      </w:tblBorders>
      <w:tblCellMar>
        <w:top w:w="0" w:type="dxa"/>
        <w:left w:w="0" w:type="dxa"/>
        <w:bottom w:w="0" w:type="dxa"/>
        <w:right w:w="0" w:type="dxa"/>
      </w:tblCellMar>
    </w:tblPr>
    <w:tcPr>
      <w:shd w:val="clear" w:color="auto" w:fill="auto"/>
    </w:tcPr>
    <w:tblStylePr w:type="firstRow">
      <w:pPr>
        <w:spacing w:before="0" w:after="0" w:line="240" w:lineRule="auto"/>
      </w:pPr>
      <w:rPr>
        <w:rFonts w:ascii="Arial" w:hAnsi="Arial"/>
        <w:b/>
        <w:bCs/>
        <w:i w:val="0"/>
        <w:sz w:val="20"/>
      </w:rPr>
      <w:tblPr/>
      <w:tcPr>
        <w:tcBorders>
          <w:top w:val="nil"/>
          <w:left w:val="nil"/>
          <w:bottom w:val="single" w:sz="12" w:space="0" w:color="97BF0D" w:themeColor="accent3"/>
          <w:right w:val="nil"/>
          <w:insideH w:val="nil"/>
          <w:insideV w:val="nil"/>
          <w:tl2br w:val="nil"/>
          <w:tr2bl w:val="nil"/>
        </w:tcBorders>
        <w:shd w:val="clear" w:color="auto" w:fill="auto"/>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single" w:sz="4" w:space="0" w:color="868686"/>
          <w:left w:val="nil"/>
          <w:bottom w:val="single" w:sz="4" w:space="0" w:color="868686"/>
          <w:right w:val="nil"/>
        </w:tcBorders>
        <w:shd w:val="clear" w:color="auto" w:fill="auto"/>
      </w:tcPr>
    </w:tblStylePr>
    <w:tblStylePr w:type="band2Horz">
      <w:tblPr/>
      <w:tcPr>
        <w:tcBorders>
          <w:top w:val="single" w:sz="4" w:space="0" w:color="868686"/>
          <w:left w:val="nil"/>
          <w:bottom w:val="single" w:sz="4" w:space="0" w:color="868686"/>
          <w:right w:val="nil"/>
          <w:insideH w:val="nil"/>
          <w:insideV w:val="nil"/>
          <w:tl2br w:val="nil"/>
          <w:tr2bl w:val="nil"/>
        </w:tcBorders>
        <w:shd w:val="clear" w:color="auto" w:fill="auto"/>
      </w:tcPr>
    </w:tblStylePr>
  </w:style>
  <w:style w:type="paragraph" w:customStyle="1" w:styleId="HinweistextblauI">
    <w:name w:val="Hinweistext blau_ÖI"/>
    <w:basedOn w:val="Normal"/>
    <w:uiPriority w:val="13"/>
    <w:qFormat/>
    <w:pPr>
      <w:spacing w:before="60" w:after="60"/>
    </w:pPr>
    <w:rPr>
      <w:color w:val="006AA4"/>
    </w:rPr>
  </w:style>
  <w:style w:type="numbering" w:customStyle="1" w:styleId="Liste1erweitert">
    <w:name w:val="Liste 1 erweitert"/>
    <w:uiPriority w:val="99"/>
    <w:pPr>
      <w:numPr>
        <w:numId w:val="5"/>
      </w:numPr>
    </w:pPr>
  </w:style>
  <w:style w:type="paragraph" w:customStyle="1" w:styleId="Liste123I">
    <w:name w:val="Liste 123_ÖI"/>
    <w:basedOn w:val="Standardtext"/>
    <w:uiPriority w:val="3"/>
    <w:qFormat/>
    <w:pPr>
      <w:numPr>
        <w:numId w:val="6"/>
      </w:numPr>
      <w:spacing w:after="120"/>
    </w:pPr>
  </w:style>
  <w:style w:type="numbering" w:customStyle="1" w:styleId="Listeaerweitert">
    <w:name w:val="Liste a erweitert"/>
    <w:uiPriority w:val="99"/>
    <w:pPr>
      <w:numPr>
        <w:numId w:val="7"/>
      </w:numPr>
    </w:pPr>
  </w:style>
  <w:style w:type="paragraph" w:customStyle="1" w:styleId="ListeabcI">
    <w:name w:val="Liste abc_ÖI"/>
    <w:basedOn w:val="Normal"/>
    <w:uiPriority w:val="3"/>
    <w:qFormat/>
    <w:pPr>
      <w:numPr>
        <w:numId w:val="8"/>
      </w:numPr>
      <w:spacing w:after="120"/>
    </w:pPr>
  </w:style>
  <w:style w:type="paragraph" w:customStyle="1" w:styleId="Listeblau123I">
    <w:name w:val="Liste blau 123_ÖI"/>
    <w:basedOn w:val="Standardtext"/>
    <w:uiPriority w:val="3"/>
    <w:qFormat/>
    <w:pPr>
      <w:numPr>
        <w:numId w:val="9"/>
      </w:numPr>
      <w:spacing w:after="120"/>
    </w:pPr>
    <w:rPr>
      <w:b/>
      <w:bCs/>
      <w:color w:val="006AA4" w:themeColor="accent1"/>
      <w:szCs w:val="24"/>
    </w:rPr>
  </w:style>
  <w:style w:type="numbering" w:customStyle="1" w:styleId="Listeblauerweitert">
    <w:name w:val="Liste blau erweitert"/>
    <w:uiPriority w:val="99"/>
    <w:pPr>
      <w:numPr>
        <w:numId w:val="10"/>
      </w:numPr>
    </w:pPr>
  </w:style>
  <w:style w:type="paragraph" w:styleId="Bibliography">
    <w:name w:val="Bibliography"/>
    <w:basedOn w:val="Normal"/>
    <w:next w:val="Normal"/>
    <w:uiPriority w:val="37"/>
    <w:semiHidden/>
    <w:pPr>
      <w:spacing w:after="113"/>
    </w:pPr>
  </w:style>
  <w:style w:type="paragraph" w:customStyle="1" w:styleId="TababstandKopfzeileOI">
    <w:name w:val="Tababstand_Kopfzeile_OI"/>
    <w:basedOn w:val="Normal"/>
    <w:semiHidden/>
    <w:qFormat/>
    <w:pPr>
      <w:spacing w:after="0" w:line="40" w:lineRule="exact"/>
    </w:pPr>
    <w:rPr>
      <w:sz w:val="4"/>
    </w:rPr>
  </w:style>
  <w:style w:type="paragraph" w:customStyle="1" w:styleId="TabellenAufzhlungI">
    <w:name w:val="Tabellen_Aufzählung_ÖI"/>
    <w:basedOn w:val="Normal"/>
    <w:uiPriority w:val="8"/>
    <w:qFormat/>
    <w:pPr>
      <w:numPr>
        <w:numId w:val="13"/>
      </w:numPr>
      <w:spacing w:before="60" w:after="60" w:line="260" w:lineRule="atLeast"/>
      <w:ind w:right="113"/>
      <w:jc w:val="left"/>
    </w:pPr>
    <w:rPr>
      <w:sz w:val="20"/>
    </w:rPr>
  </w:style>
  <w:style w:type="numbering" w:customStyle="1" w:styleId="Tabellenliste">
    <w:name w:val="Tabellenliste"/>
    <w:uiPriority w:val="99"/>
    <w:pPr>
      <w:numPr>
        <w:numId w:val="14"/>
      </w:numPr>
    </w:pPr>
  </w:style>
  <w:style w:type="paragraph" w:customStyle="1" w:styleId="TabellentextkleinrechtsbndigI">
    <w:name w:val="Tabellentext klein rechtsbündig_ÖI"/>
    <w:basedOn w:val="TabellentextkleinlinksbndigI"/>
    <w:uiPriority w:val="8"/>
    <w:semiHidden/>
    <w:qFormat/>
    <w:pPr>
      <w:jc w:val="right"/>
    </w:pPr>
  </w:style>
  <w:style w:type="paragraph" w:customStyle="1" w:styleId="TabellentextzentriertI">
    <w:name w:val="Tabellentext zentriert_ÖI"/>
    <w:basedOn w:val="TabellentextlinksbndigI"/>
    <w:uiPriority w:val="6"/>
    <w:semiHidden/>
    <w:qFormat/>
    <w:pPr>
      <w:ind w:left="113"/>
      <w:jc w:val="center"/>
    </w:pPr>
    <w:rPr>
      <w:rFonts w:cs="Arial"/>
      <w:lang w:val="en-US"/>
    </w:rPr>
  </w:style>
  <w:style w:type="paragraph" w:customStyle="1" w:styleId="TabellentitelkleinlinksbndigI">
    <w:name w:val="Tabellentitel klein linksbündig_ÖI"/>
    <w:basedOn w:val="Normal"/>
    <w:uiPriority w:val="7"/>
    <w:semiHidden/>
    <w:pPr>
      <w:spacing w:before="20" w:after="20" w:line="240" w:lineRule="auto"/>
      <w:ind w:right="57"/>
    </w:pPr>
    <w:rPr>
      <w:rFonts w:eastAsia="Times New Roman"/>
      <w:sz w:val="16"/>
      <w:szCs w:val="18"/>
    </w:rPr>
  </w:style>
  <w:style w:type="paragraph" w:customStyle="1" w:styleId="TabellentitelkleinrechtsbndigI">
    <w:name w:val="Tabellentitel klein rechtsbündig_ÖI"/>
    <w:basedOn w:val="TabellentitelkleinlinksbndigI"/>
    <w:uiPriority w:val="7"/>
    <w:semiHidden/>
    <w:qFormat/>
    <w:pPr>
      <w:jc w:val="right"/>
    </w:pPr>
  </w:style>
  <w:style w:type="paragraph" w:customStyle="1" w:styleId="TabellentitelkleinzentriertI">
    <w:name w:val="Tabellentitel klein zentriert_ÖI"/>
    <w:basedOn w:val="TabellentitelkleinlinksbndigI"/>
    <w:uiPriority w:val="7"/>
    <w:semiHidden/>
    <w:qFormat/>
    <w:pPr>
      <w:spacing w:line="200" w:lineRule="atLeast"/>
      <w:ind w:left="57"/>
      <w:jc w:val="center"/>
    </w:pPr>
  </w:style>
  <w:style w:type="paragraph" w:customStyle="1" w:styleId="TabellentitelzentriertI">
    <w:name w:val="Tabellentitel zentriert_ÖI"/>
    <w:basedOn w:val="TabellentitelrechtsbndigOI"/>
    <w:uiPriority w:val="5"/>
    <w:semiHidden/>
    <w:qFormat/>
    <w:pPr>
      <w:ind w:left="113"/>
      <w:jc w:val="center"/>
    </w:pPr>
  </w:style>
  <w:style w:type="paragraph" w:styleId="TOC5">
    <w:name w:val="toc 5"/>
    <w:basedOn w:val="Normal"/>
    <w:next w:val="Normal"/>
    <w:pPr>
      <w:tabs>
        <w:tab w:val="right" w:leader="dot" w:pos="8641"/>
      </w:tabs>
      <w:spacing w:before="240" w:after="120" w:line="240" w:lineRule="auto"/>
      <w:ind w:right="720"/>
    </w:pPr>
    <w:rPr>
      <w:rFonts w:eastAsia="Times New Roman"/>
      <w:caps/>
    </w:rPr>
  </w:style>
  <w:style w:type="paragraph" w:styleId="BodyTextIndent">
    <w:name w:val="Body Text Indent"/>
    <w:basedOn w:val="Normal"/>
    <w:link w:val="BodyTextIndentChar"/>
    <w:uiPriority w:val="99"/>
    <w:semiHidden/>
    <w:pPr>
      <w:spacing w:after="120"/>
      <w:ind w:left="283"/>
    </w:pPr>
  </w:style>
  <w:style w:type="character" w:customStyle="1" w:styleId="BodyTextIndentChar">
    <w:name w:val="Body Text Indent Char"/>
    <w:basedOn w:val="DefaultParagraphFont"/>
    <w:link w:val="BodyTextIndent"/>
    <w:uiPriority w:val="99"/>
    <w:semiHidden/>
    <w:rPr>
      <w:rFonts w:ascii="Arial" w:hAnsi="Arial"/>
    </w:rPr>
  </w:style>
  <w:style w:type="character" w:customStyle="1" w:styleId="Heading2Char">
    <w:name w:val="Heading 2 Char"/>
    <w:basedOn w:val="DefaultParagraphFont"/>
    <w:link w:val="Heading2"/>
    <w:rPr>
      <w:b/>
      <w:color w:val="006AA4" w:themeColor="accent1"/>
    </w:rPr>
  </w:style>
  <w:style w:type="character" w:customStyle="1" w:styleId="Heading3Char">
    <w:name w:val="Heading 3 Char"/>
    <w:basedOn w:val="DefaultParagraphFont"/>
    <w:link w:val="Heading3"/>
    <w:rPr>
      <w:b/>
    </w:rPr>
  </w:style>
  <w:style w:type="character" w:customStyle="1" w:styleId="Kursiv">
    <w:name w:val="Kursiv"/>
    <w:basedOn w:val="DefaultParagraphFont"/>
    <w:uiPriority w:val="17"/>
    <w:semiHidden/>
    <w:qFormat/>
    <w:rPr>
      <w:b w:val="0"/>
      <w:i/>
    </w:rPr>
  </w:style>
  <w:style w:type="paragraph" w:customStyle="1" w:styleId="TabellentextkleinzentiertI">
    <w:name w:val="Tabellentext klein zentiert_ÖI"/>
    <w:basedOn w:val="TabellentextkleinrechtsbndigI"/>
    <w:uiPriority w:val="8"/>
    <w:semiHidden/>
    <w:qFormat/>
    <w:pPr>
      <w:keepNext/>
      <w:keepLines/>
      <w:ind w:left="113"/>
      <w:jc w:val="center"/>
    </w:pPr>
  </w:style>
  <w:style w:type="paragraph" w:customStyle="1" w:styleId="verdichtet">
    <w:name w:val="verdichtet"/>
    <w:basedOn w:val="TabellentextkleinlinksbndigI"/>
    <w:uiPriority w:val="39"/>
    <w:semiHidden/>
    <w:rPr>
      <w:spacing w:val="-2"/>
    </w:rPr>
  </w:style>
  <w:style w:type="paragraph" w:styleId="NoSpacing">
    <w:name w:val="No Spacing"/>
    <w:uiPriority w:val="99"/>
    <w:semiHidden/>
    <w:qFormat/>
    <w:pPr>
      <w:spacing w:after="0" w:line="240" w:lineRule="auto"/>
    </w:pPr>
    <w:rPr>
      <w:rFonts w:ascii="Arial" w:hAnsi="Arial"/>
      <w:noProof/>
    </w:rPr>
  </w:style>
  <w:style w:type="paragraph" w:styleId="List">
    <w:name w:val="List"/>
    <w:basedOn w:val="Normal"/>
    <w:uiPriority w:val="99"/>
    <w:semiHidden/>
    <w:pPr>
      <w:ind w:left="283" w:hanging="283"/>
      <w:contextualSpacing/>
    </w:pPr>
  </w:style>
  <w:style w:type="paragraph" w:styleId="FootnoteText">
    <w:name w:val="footnote text"/>
    <w:aliases w:val="-E Fußnotentext,footnote text,Fußnotentext Ursprung,-E Fußnotentext1,-E Fußnotentext2,-E Fußnotentext3,Fußnotentextf,Footnote,Footnote Text Char1,Footnote1,footnote text1,Fußnotentext Ursprung1,Footnote Text Char2,Car,Footnote Text Char"/>
    <w:basedOn w:val="Normal"/>
    <w:link w:val="FootnoteTextChar3"/>
    <w:uiPriority w:val="99"/>
    <w:semiHidden/>
    <w:qFormat/>
    <w:pPr>
      <w:tabs>
        <w:tab w:val="left" w:pos="284"/>
      </w:tabs>
      <w:spacing w:before="60" w:after="0" w:line="240" w:lineRule="auto"/>
      <w:ind w:left="284" w:hanging="284"/>
    </w:pPr>
    <w:rPr>
      <w:sz w:val="18"/>
    </w:rPr>
  </w:style>
  <w:style w:type="character" w:customStyle="1" w:styleId="FootnoteTextChar3">
    <w:name w:val="Footnote Text Char3"/>
    <w:aliases w:val="-E Fußnotentext Char,footnote text Char,Fußnotentext Ursprung Char,-E Fußnotentext1 Char,-E Fußnotentext2 Char,-E Fußnotentext3 Char,Fußnotentextf Char,Footnote Char,Footnote Text Char1 Char,Footnote1 Char,footnote text1 Char"/>
    <w:basedOn w:val="DefaultParagraphFont"/>
    <w:link w:val="FootnoteText"/>
    <w:uiPriority w:val="99"/>
    <w:semiHidden/>
    <w:rPr>
      <w:rFonts w:ascii="Arial" w:hAnsi="Arial"/>
      <w:sz w:val="18"/>
      <w:szCs w:val="20"/>
    </w:rPr>
  </w:style>
  <w:style w:type="character" w:styleId="FootnoteReference">
    <w:name w:val="footnote reference"/>
    <w:aliases w:val="-E Fußnotenzeichen,Footnote Text1,number,Footnote reference number,Footnote symbol,note TESI,SUPERS,stylish,ftref,-E Fußnotenzeichen1,-E Fußnotenzeichen2,-E Fußnotenzeichen3,-E Fußnotenzeichen4,-E Fußnotenzeichen5,-E Fußnotenzeichen6"/>
    <w:basedOn w:val="DefaultParagraphFont"/>
    <w:uiPriority w:val="99"/>
    <w:semiHidden/>
    <w:rPr>
      <w:vertAlign w:val="superscript"/>
    </w:rPr>
  </w:style>
  <w:style w:type="paragraph" w:customStyle="1" w:styleId="Copyright">
    <w:name w:val="Copyright"/>
    <w:basedOn w:val="Standardtext"/>
    <w:uiPriority w:val="21"/>
    <w:semiHidden/>
    <w:qFormat/>
    <w:pPr>
      <w:framePr w:hSpace="142" w:wrap="around" w:hAnchor="text" w:x="1419" w:y="8790"/>
      <w:spacing w:before="20" w:after="20" w:line="200" w:lineRule="atLeast"/>
      <w:ind w:right="340"/>
      <w:suppressOverlap/>
    </w:pPr>
    <w:rPr>
      <w:sz w:val="16"/>
    </w:rPr>
  </w:style>
  <w:style w:type="character" w:styleId="PlaceholderText">
    <w:name w:val="Placeholder Text"/>
    <w:basedOn w:val="DefaultParagraphFont"/>
    <w:uiPriority w:val="99"/>
    <w:semiHidden/>
    <w:rPr>
      <w:color w:val="808080"/>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Arial" w:hAnsi="Arial"/>
    </w:rPr>
  </w:style>
  <w:style w:type="paragraph" w:styleId="ListBullet">
    <w:name w:val="List Bullet"/>
    <w:basedOn w:val="Normal"/>
    <w:pPr>
      <w:numPr>
        <w:numId w:val="19"/>
      </w:numPr>
      <w:spacing w:after="240" w:line="240" w:lineRule="auto"/>
    </w:pPr>
    <w:rPr>
      <w:rFonts w:eastAsia="Times New Roman"/>
    </w:rPr>
  </w:style>
  <w:style w:type="paragraph" w:styleId="ListBullet2">
    <w:name w:val="List Bullet 2"/>
    <w:basedOn w:val="Normal"/>
    <w:pPr>
      <w:numPr>
        <w:numId w:val="21"/>
      </w:numPr>
      <w:spacing w:after="240" w:line="240" w:lineRule="auto"/>
    </w:pPr>
    <w:rPr>
      <w:rFonts w:eastAsia="Times New Roman"/>
    </w:rPr>
  </w:style>
  <w:style w:type="paragraph" w:styleId="ListBullet3">
    <w:name w:val="List Bullet 3"/>
    <w:basedOn w:val="Normal"/>
    <w:pPr>
      <w:numPr>
        <w:numId w:val="22"/>
      </w:numPr>
      <w:spacing w:after="240" w:line="240" w:lineRule="auto"/>
    </w:pPr>
    <w:rPr>
      <w:rFonts w:eastAsia="Times New Roman"/>
    </w:rPr>
  </w:style>
  <w:style w:type="paragraph" w:styleId="ListBullet4">
    <w:name w:val="List Bullet 4"/>
    <w:basedOn w:val="Normal"/>
    <w:pPr>
      <w:numPr>
        <w:numId w:val="23"/>
      </w:numPr>
      <w:spacing w:after="240" w:line="240" w:lineRule="auto"/>
    </w:pPr>
    <w:rPr>
      <w:rFonts w:eastAsia="Times New Roman"/>
    </w:rPr>
  </w:style>
  <w:style w:type="paragraph" w:styleId="ListBullet5">
    <w:name w:val="List Bullet 5"/>
    <w:basedOn w:val="Normal"/>
    <w:uiPriority w:val="99"/>
    <w:semiHidden/>
    <w:pPr>
      <w:numPr>
        <w:numId w:val="3"/>
      </w:numPr>
      <w:contextualSpacing/>
    </w:pPr>
  </w:style>
  <w:style w:type="paragraph" w:styleId="BlockText">
    <w:name w:val="Block Text"/>
    <w:basedOn w:val="Normal"/>
    <w:uiPriority w:val="99"/>
    <w:semiHidden/>
    <w:pPr>
      <w:pBdr>
        <w:top w:val="single" w:sz="2" w:space="10" w:color="006AA4" w:themeColor="accent1"/>
        <w:left w:val="single" w:sz="2" w:space="10" w:color="006AA4" w:themeColor="accent1"/>
        <w:bottom w:val="single" w:sz="2" w:space="10" w:color="006AA4" w:themeColor="accent1"/>
        <w:right w:val="single" w:sz="2" w:space="10" w:color="006AA4" w:themeColor="accent1"/>
      </w:pBdr>
      <w:ind w:left="1152" w:right="1152"/>
    </w:pPr>
    <w:rPr>
      <w:rFonts w:asciiTheme="minorHAnsi" w:eastAsiaTheme="minorEastAsia" w:hAnsiTheme="minorHAnsi"/>
      <w:i/>
      <w:iCs/>
      <w:color w:val="006AA4" w:themeColor="accent1"/>
    </w:rPr>
  </w:style>
  <w:style w:type="paragraph" w:styleId="Date">
    <w:name w:val="Date"/>
    <w:basedOn w:val="Normal"/>
    <w:next w:val="Normal"/>
    <w:link w:val="DateChar"/>
    <w:uiPriority w:val="99"/>
    <w:semiHidden/>
  </w:style>
  <w:style w:type="character" w:customStyle="1" w:styleId="DateChar">
    <w:name w:val="Date Char"/>
    <w:basedOn w:val="DefaultParagraphFont"/>
    <w:link w:val="Date"/>
    <w:uiPriority w:val="99"/>
    <w:semiHidden/>
    <w:rPr>
      <w:rFonts w:ascii="Arial" w:hAnsi="Arial"/>
    </w:rPr>
  </w:style>
  <w:style w:type="paragraph" w:styleId="DocumentMap">
    <w:name w:val="Document Map"/>
    <w:basedOn w:val="Normal"/>
    <w:link w:val="DocumentMapChar"/>
    <w:uiPriority w:val="99"/>
    <w:semiHidden/>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pPr>
      <w:spacing w:after="0" w:line="240" w:lineRule="auto"/>
    </w:pPr>
  </w:style>
  <w:style w:type="character" w:customStyle="1" w:styleId="E-mailSignatureChar">
    <w:name w:val="E-mail Signature Char"/>
    <w:basedOn w:val="DefaultParagraphFont"/>
    <w:link w:val="E-mailSignature"/>
    <w:uiPriority w:val="99"/>
    <w:semiHidden/>
    <w:rPr>
      <w:rFonts w:ascii="Arial" w:hAnsi="Arial"/>
    </w:rPr>
  </w:style>
  <w:style w:type="paragraph" w:styleId="EndnoteText">
    <w:name w:val="endnote text"/>
    <w:basedOn w:val="Normal"/>
    <w:link w:val="EndnoteTextChar"/>
    <w:uiPriority w:val="99"/>
    <w:semiHidden/>
    <w:pPr>
      <w:spacing w:after="0" w:line="240" w:lineRule="auto"/>
    </w:pPr>
    <w:rPr>
      <w:sz w:val="20"/>
    </w:rPr>
  </w:style>
  <w:style w:type="character" w:customStyle="1" w:styleId="EndnoteTextChar">
    <w:name w:val="Endnote Text Char"/>
    <w:basedOn w:val="DefaultParagraphFont"/>
    <w:link w:val="EndnoteText"/>
    <w:uiPriority w:val="99"/>
    <w:semiHidden/>
    <w:rPr>
      <w:rFonts w:ascii="Arial" w:hAnsi="Arial"/>
      <w:sz w:val="20"/>
      <w:szCs w:val="20"/>
    </w:rPr>
  </w:style>
  <w:style w:type="paragraph" w:styleId="NoteHeading">
    <w:name w:val="Note Heading"/>
    <w:basedOn w:val="Normal"/>
    <w:next w:val="Normal"/>
    <w:link w:val="NoteHeadingChar"/>
    <w:uiPriority w:val="99"/>
    <w:semiHidden/>
    <w:pPr>
      <w:spacing w:after="0" w:line="240" w:lineRule="auto"/>
    </w:pPr>
  </w:style>
  <w:style w:type="character" w:customStyle="1" w:styleId="NoteHeadingChar">
    <w:name w:val="Note Heading Char"/>
    <w:basedOn w:val="DefaultParagraphFont"/>
    <w:link w:val="NoteHeading"/>
    <w:uiPriority w:val="99"/>
    <w:semiHidden/>
    <w:rPr>
      <w:rFonts w:ascii="Arial" w:hAnsi="Arial"/>
    </w:rPr>
  </w:style>
  <w:style w:type="paragraph" w:styleId="Closing">
    <w:name w:val="Closing"/>
    <w:basedOn w:val="Normal"/>
    <w:link w:val="ClosingChar"/>
    <w:uiPriority w:val="99"/>
    <w:semiHidden/>
    <w:pPr>
      <w:spacing w:after="0" w:line="240" w:lineRule="auto"/>
      <w:ind w:left="4252"/>
    </w:pPr>
  </w:style>
  <w:style w:type="character" w:customStyle="1" w:styleId="ClosingChar">
    <w:name w:val="Closing Char"/>
    <w:basedOn w:val="DefaultParagraphFont"/>
    <w:link w:val="Closing"/>
    <w:uiPriority w:val="99"/>
    <w:semiHidden/>
    <w:rPr>
      <w:rFonts w:ascii="Arial" w:hAnsi="Arial"/>
    </w:rPr>
  </w:style>
  <w:style w:type="paragraph" w:styleId="HTMLAddress">
    <w:name w:val="HTML Address"/>
    <w:basedOn w:val="Normal"/>
    <w:link w:val="HTMLAddressChar"/>
    <w:uiPriority w:val="99"/>
    <w:semiHidden/>
    <w:pPr>
      <w:spacing w:after="0" w:line="240" w:lineRule="auto"/>
    </w:pPr>
    <w:rPr>
      <w:i/>
      <w:iCs/>
    </w:rPr>
  </w:style>
  <w:style w:type="character" w:customStyle="1" w:styleId="HTMLAddressChar">
    <w:name w:val="HTML Address Char"/>
    <w:basedOn w:val="DefaultParagraphFont"/>
    <w:link w:val="HTMLAddress"/>
    <w:uiPriority w:val="99"/>
    <w:semiHidden/>
    <w:rPr>
      <w:rFonts w:ascii="Arial" w:hAnsi="Arial"/>
      <w:i/>
      <w:iCs/>
    </w:rPr>
  </w:style>
  <w:style w:type="paragraph" w:styleId="HTMLPreformatted">
    <w:name w:val="HTML Preformatted"/>
    <w:basedOn w:val="Normal"/>
    <w:link w:val="HTMLPreformattedChar"/>
    <w:uiPriority w:val="99"/>
    <w:semiHidden/>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paragraph" w:styleId="Index1">
    <w:name w:val="index 1"/>
    <w:basedOn w:val="Normal"/>
    <w:next w:val="Normal"/>
    <w:autoRedefine/>
    <w:uiPriority w:val="99"/>
    <w:semiHidden/>
    <w:pPr>
      <w:spacing w:after="0" w:line="240" w:lineRule="auto"/>
      <w:ind w:left="220" w:hanging="220"/>
    </w:pPr>
  </w:style>
  <w:style w:type="paragraph" w:styleId="Index2">
    <w:name w:val="index 2"/>
    <w:basedOn w:val="Normal"/>
    <w:next w:val="Normal"/>
    <w:autoRedefine/>
    <w:uiPriority w:val="99"/>
    <w:semiHidden/>
    <w:pPr>
      <w:spacing w:after="0" w:line="240" w:lineRule="auto"/>
      <w:ind w:left="440" w:hanging="220"/>
    </w:pPr>
  </w:style>
  <w:style w:type="paragraph" w:styleId="Index3">
    <w:name w:val="index 3"/>
    <w:basedOn w:val="Normal"/>
    <w:next w:val="Normal"/>
    <w:autoRedefine/>
    <w:uiPriority w:val="99"/>
    <w:semiHidden/>
    <w:pPr>
      <w:spacing w:after="0" w:line="240" w:lineRule="auto"/>
      <w:ind w:left="660" w:hanging="220"/>
    </w:pPr>
  </w:style>
  <w:style w:type="paragraph" w:styleId="Index4">
    <w:name w:val="index 4"/>
    <w:basedOn w:val="Normal"/>
    <w:next w:val="Normal"/>
    <w:autoRedefine/>
    <w:uiPriority w:val="99"/>
    <w:semiHidden/>
    <w:pPr>
      <w:spacing w:after="0" w:line="240" w:lineRule="auto"/>
      <w:ind w:left="880" w:hanging="220"/>
    </w:pPr>
  </w:style>
  <w:style w:type="paragraph" w:styleId="Index5">
    <w:name w:val="index 5"/>
    <w:basedOn w:val="Normal"/>
    <w:next w:val="Normal"/>
    <w:autoRedefine/>
    <w:uiPriority w:val="99"/>
    <w:semiHidden/>
    <w:pPr>
      <w:spacing w:after="0" w:line="240" w:lineRule="auto"/>
      <w:ind w:left="1100" w:hanging="220"/>
    </w:pPr>
  </w:style>
  <w:style w:type="paragraph" w:styleId="Index6">
    <w:name w:val="index 6"/>
    <w:basedOn w:val="Normal"/>
    <w:next w:val="Normal"/>
    <w:autoRedefine/>
    <w:uiPriority w:val="99"/>
    <w:semiHidden/>
    <w:pPr>
      <w:spacing w:after="0" w:line="240" w:lineRule="auto"/>
      <w:ind w:left="1320" w:hanging="220"/>
    </w:pPr>
  </w:style>
  <w:style w:type="paragraph" w:styleId="Index7">
    <w:name w:val="index 7"/>
    <w:basedOn w:val="Normal"/>
    <w:next w:val="Normal"/>
    <w:autoRedefine/>
    <w:uiPriority w:val="99"/>
    <w:semiHidden/>
    <w:pPr>
      <w:spacing w:after="0" w:line="240" w:lineRule="auto"/>
      <w:ind w:left="1540" w:hanging="220"/>
    </w:pPr>
  </w:style>
  <w:style w:type="paragraph" w:styleId="Index8">
    <w:name w:val="index 8"/>
    <w:basedOn w:val="Normal"/>
    <w:next w:val="Normal"/>
    <w:autoRedefine/>
    <w:uiPriority w:val="99"/>
    <w:semiHidden/>
    <w:pPr>
      <w:spacing w:after="0" w:line="240" w:lineRule="auto"/>
      <w:ind w:left="1760" w:hanging="220"/>
    </w:pPr>
  </w:style>
  <w:style w:type="paragraph" w:styleId="Index9">
    <w:name w:val="index 9"/>
    <w:basedOn w:val="Normal"/>
    <w:next w:val="Normal"/>
    <w:autoRedefine/>
    <w:uiPriority w:val="99"/>
    <w:semiHidden/>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pPr>
      <w:pBdr>
        <w:bottom w:val="single" w:sz="4" w:space="4" w:color="006AA4" w:themeColor="accent1"/>
      </w:pBdr>
      <w:spacing w:before="200" w:after="280"/>
      <w:ind w:left="936" w:right="936"/>
    </w:pPr>
    <w:rPr>
      <w:b/>
      <w:bCs/>
      <w:i/>
      <w:iCs/>
      <w:color w:val="006AA4" w:themeColor="accent1"/>
    </w:rPr>
  </w:style>
  <w:style w:type="character" w:customStyle="1" w:styleId="IntenseQuoteChar">
    <w:name w:val="Intense Quote Char"/>
    <w:basedOn w:val="DefaultParagraphFont"/>
    <w:link w:val="IntenseQuote"/>
    <w:uiPriority w:val="30"/>
    <w:semiHidden/>
    <w:rPr>
      <w:rFonts w:ascii="Arial" w:hAnsi="Arial"/>
      <w:b/>
      <w:bCs/>
      <w:i/>
      <w:iCs/>
      <w:color w:val="006AA4" w:themeColor="accent1"/>
    </w:rPr>
  </w:style>
  <w:style w:type="paragraph" w:styleId="CommentText">
    <w:name w:val="annotation text"/>
    <w:basedOn w:val="Normal"/>
    <w:link w:val="CommentTextChar"/>
    <w:uiPriority w:val="99"/>
    <w:semiHidden/>
    <w:pPr>
      <w:spacing w:line="240" w:lineRule="auto"/>
    </w:pPr>
    <w:rPr>
      <w:sz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styleId="List2">
    <w:name w:val="List 2"/>
    <w:basedOn w:val="Normal"/>
    <w:uiPriority w:val="99"/>
    <w:semiHidden/>
    <w:pPr>
      <w:ind w:left="566" w:hanging="283"/>
      <w:contextualSpacing/>
    </w:pPr>
  </w:style>
  <w:style w:type="paragraph" w:styleId="List3">
    <w:name w:val="List 3"/>
    <w:basedOn w:val="Normal"/>
    <w:uiPriority w:val="99"/>
    <w:semiHidden/>
    <w:pPr>
      <w:ind w:left="849" w:hanging="283"/>
      <w:contextualSpacing/>
    </w:pPr>
  </w:style>
  <w:style w:type="paragraph" w:styleId="List4">
    <w:name w:val="List 4"/>
    <w:basedOn w:val="Normal"/>
    <w:uiPriority w:val="99"/>
    <w:semiHidden/>
    <w:pPr>
      <w:ind w:left="1132" w:hanging="283"/>
      <w:contextualSpacing/>
    </w:pPr>
  </w:style>
  <w:style w:type="paragraph" w:styleId="List5">
    <w:name w:val="List 5"/>
    <w:basedOn w:val="Normal"/>
    <w:uiPriority w:val="99"/>
    <w:semiHidden/>
    <w:pPr>
      <w:ind w:left="1415" w:hanging="283"/>
      <w:contextualSpacing/>
    </w:pPr>
  </w:style>
  <w:style w:type="paragraph" w:styleId="ListParagraph">
    <w:name w:val="List Paragraph"/>
    <w:basedOn w:val="Normal"/>
    <w:uiPriority w:val="99"/>
    <w:qFormat/>
    <w:pPr>
      <w:ind w:left="720"/>
      <w:contextualSpacing/>
    </w:pPr>
  </w:style>
  <w:style w:type="paragraph" w:styleId="ListContinue">
    <w:name w:val="List Continue"/>
    <w:basedOn w:val="Normal"/>
    <w:uiPriority w:val="99"/>
    <w:semiHidden/>
    <w:pPr>
      <w:spacing w:after="120"/>
      <w:ind w:left="283"/>
      <w:contextualSpacing/>
    </w:pPr>
  </w:style>
  <w:style w:type="paragraph" w:styleId="ListContinue2">
    <w:name w:val="List Continue 2"/>
    <w:basedOn w:val="Normal"/>
    <w:uiPriority w:val="99"/>
    <w:semiHidden/>
    <w:pPr>
      <w:spacing w:after="120"/>
      <w:ind w:left="566"/>
      <w:contextualSpacing/>
    </w:pPr>
  </w:style>
  <w:style w:type="paragraph" w:styleId="ListContinue3">
    <w:name w:val="List Continue 3"/>
    <w:basedOn w:val="Normal"/>
    <w:uiPriority w:val="99"/>
    <w:semiHidden/>
    <w:pPr>
      <w:spacing w:after="120"/>
      <w:ind w:left="849"/>
      <w:contextualSpacing/>
    </w:pPr>
  </w:style>
  <w:style w:type="paragraph" w:styleId="ListContinue4">
    <w:name w:val="List Continue 4"/>
    <w:basedOn w:val="Normal"/>
    <w:uiPriority w:val="99"/>
    <w:semiHidden/>
    <w:pPr>
      <w:spacing w:after="120"/>
      <w:ind w:left="1132"/>
      <w:contextualSpacing/>
    </w:pPr>
  </w:style>
  <w:style w:type="paragraph" w:styleId="ListContinue5">
    <w:name w:val="List Continue 5"/>
    <w:basedOn w:val="Normal"/>
    <w:uiPriority w:val="99"/>
    <w:semiHidden/>
    <w:pPr>
      <w:spacing w:after="120"/>
      <w:ind w:left="1415"/>
      <w:contextualSpacing/>
    </w:pPr>
  </w:style>
  <w:style w:type="paragraph" w:styleId="ListNumber">
    <w:name w:val="List Number"/>
    <w:basedOn w:val="Normal"/>
    <w:pPr>
      <w:numPr>
        <w:numId w:val="29"/>
      </w:numPr>
      <w:spacing w:after="240" w:line="240" w:lineRule="auto"/>
    </w:pPr>
    <w:rPr>
      <w:rFonts w:eastAsia="Times New Roman"/>
    </w:rPr>
  </w:style>
  <w:style w:type="paragraph" w:styleId="ListNumber2">
    <w:name w:val="List Number 2"/>
    <w:basedOn w:val="Normal"/>
    <w:pPr>
      <w:numPr>
        <w:numId w:val="31"/>
      </w:numPr>
      <w:spacing w:after="240" w:line="240" w:lineRule="auto"/>
    </w:pPr>
    <w:rPr>
      <w:rFonts w:eastAsia="Times New Roman"/>
    </w:rPr>
  </w:style>
  <w:style w:type="paragraph" w:styleId="ListNumber3">
    <w:name w:val="List Number 3"/>
    <w:basedOn w:val="Normal"/>
    <w:pPr>
      <w:numPr>
        <w:numId w:val="32"/>
      </w:numPr>
      <w:spacing w:after="240" w:line="240" w:lineRule="auto"/>
    </w:pPr>
    <w:rPr>
      <w:rFonts w:eastAsia="Times New Roman"/>
    </w:rPr>
  </w:style>
  <w:style w:type="paragraph" w:styleId="ListNumber4">
    <w:name w:val="List Number 4"/>
    <w:basedOn w:val="Normal"/>
    <w:pPr>
      <w:numPr>
        <w:numId w:val="33"/>
      </w:numPr>
      <w:spacing w:after="240" w:line="240" w:lineRule="auto"/>
    </w:pPr>
    <w:rPr>
      <w:rFonts w:eastAsia="Times New Roman"/>
    </w:rPr>
  </w:style>
  <w:style w:type="paragraph" w:styleId="ListNumber5">
    <w:name w:val="List Number 5"/>
    <w:basedOn w:val="Normal"/>
    <w:uiPriority w:val="99"/>
    <w:semiHidden/>
    <w:pPr>
      <w:numPr>
        <w:numId w:val="11"/>
      </w:numPr>
      <w:contextualSpacing/>
    </w:pPr>
  </w:style>
  <w:style w:type="paragraph" w:styleId="MessageHeader">
    <w:name w:val="Message Header"/>
    <w:basedOn w:val="Normal"/>
    <w:link w:val="MessageHeaderChar"/>
    <w:uiPriority w:val="99"/>
    <w:semiHidden/>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semiHidden/>
    <w:unhideWhenUs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paragraph" w:styleId="TableofAuthorities">
    <w:name w:val="table of authorities"/>
    <w:basedOn w:val="Normal"/>
    <w:next w:val="Normal"/>
    <w:uiPriority w:val="99"/>
    <w:semiHidden/>
    <w:unhideWhenUsed/>
    <w:pPr>
      <w:spacing w:after="0"/>
      <w:ind w:left="220" w:hanging="220"/>
    </w:p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Cs w:val="24"/>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rPr>
      <w:szCs w:val="24"/>
    </w:rPr>
  </w:style>
  <w:style w:type="paragraph" w:styleId="NormalIndent">
    <w:name w:val="Normal Indent"/>
    <w:basedOn w:val="Normal"/>
    <w:uiPriority w:val="99"/>
    <w:semiHidden/>
    <w:pPr>
      <w:ind w:left="708"/>
    </w:p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Arial" w:hAnsi="Arial"/>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Arial" w:hAnsi="Arial"/>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Arial" w:hAnsi="Arial"/>
      <w:sz w:val="16"/>
      <w:szCs w:val="16"/>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Arial" w:hAnsi="Arial"/>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Arial" w:hAnsi="Arial"/>
      <w:sz w:val="16"/>
      <w:szCs w:val="16"/>
    </w:rPr>
  </w:style>
  <w:style w:type="paragraph" w:styleId="BodyTextFirstIndent">
    <w:name w:val="Body Text First Indent"/>
    <w:basedOn w:val="BodyText"/>
    <w:link w:val="BodyTextFirstIndentChar"/>
    <w:uiPriority w:val="99"/>
    <w:semiHidden/>
    <w:unhideWhenUsed/>
    <w:pPr>
      <w:spacing w:after="240"/>
      <w:ind w:firstLine="360"/>
    </w:pPr>
  </w:style>
  <w:style w:type="character" w:customStyle="1" w:styleId="BodyTextFirstIndentChar">
    <w:name w:val="Body Text First Indent Char"/>
    <w:basedOn w:val="BodyTextChar"/>
    <w:link w:val="BodyTextFirstIndent"/>
    <w:uiPriority w:val="99"/>
    <w:semiHidden/>
    <w:rPr>
      <w:rFonts w:ascii="Arial" w:hAnsi="Arial"/>
    </w:rPr>
  </w:style>
  <w:style w:type="paragraph" w:styleId="BodyTextFirstIndent2">
    <w:name w:val="Body Text First Indent 2"/>
    <w:basedOn w:val="BodyTextIndent"/>
    <w:link w:val="BodyTextFirstIndent2Char"/>
    <w:uiPriority w:val="99"/>
    <w:semiHidden/>
    <w:unhideWhenUsed/>
    <w:pPr>
      <w:spacing w:after="240"/>
      <w:ind w:left="360" w:firstLine="360"/>
    </w:pPr>
  </w:style>
  <w:style w:type="character" w:customStyle="1" w:styleId="BodyTextFirstIndent2Char">
    <w:name w:val="Body Text First Indent 2 Char"/>
    <w:basedOn w:val="BodyTextIndentChar"/>
    <w:link w:val="BodyTextFirstIndent2"/>
    <w:uiPriority w:val="99"/>
    <w:semiHidden/>
    <w:rPr>
      <w:rFonts w:ascii="Arial" w:hAnsi="Arial"/>
    </w:rPr>
  </w:style>
  <w:style w:type="paragraph" w:styleId="Title">
    <w:name w:val="Title"/>
    <w:basedOn w:val="Normal"/>
    <w:next w:val="Normal"/>
    <w:link w:val="TitleChar"/>
    <w:uiPriority w:val="41"/>
    <w:semiHidden/>
    <w:qFormat/>
    <w:pPr>
      <w:pBdr>
        <w:bottom w:val="single" w:sz="8" w:space="4" w:color="006AA4" w:themeColor="accent1"/>
      </w:pBdr>
      <w:spacing w:after="300" w:line="240" w:lineRule="auto"/>
      <w:contextualSpacing/>
    </w:pPr>
    <w:rPr>
      <w:rFonts w:asciiTheme="majorHAnsi" w:eastAsiaTheme="majorEastAsia" w:hAnsiTheme="majorHAnsi" w:cstheme="majorBidi"/>
      <w:color w:val="000072" w:themeColor="text2" w:themeShade="BF"/>
      <w:spacing w:val="5"/>
      <w:kern w:val="28"/>
      <w:sz w:val="52"/>
      <w:szCs w:val="52"/>
    </w:rPr>
  </w:style>
  <w:style w:type="character" w:customStyle="1" w:styleId="TitleChar">
    <w:name w:val="Title Char"/>
    <w:basedOn w:val="DefaultParagraphFont"/>
    <w:link w:val="Title"/>
    <w:uiPriority w:val="41"/>
    <w:semiHidden/>
    <w:rPr>
      <w:rFonts w:asciiTheme="majorHAnsi" w:eastAsiaTheme="majorEastAsia" w:hAnsiTheme="majorHAnsi" w:cstheme="majorBidi"/>
      <w:color w:val="000072" w:themeColor="text2" w:themeShade="BF"/>
      <w:spacing w:val="5"/>
      <w:kern w:val="28"/>
      <w:sz w:val="52"/>
      <w:szCs w:val="52"/>
    </w:rPr>
  </w:style>
  <w:style w:type="character" w:customStyle="1" w:styleId="Heading4Char">
    <w:name w:val="Heading 4 Char"/>
    <w:basedOn w:val="DefaultParagraphFont"/>
    <w:link w:val="Heading4"/>
    <w:rPr>
      <w:b/>
    </w:rPr>
  </w:style>
  <w:style w:type="character" w:customStyle="1" w:styleId="Heading5Char">
    <w:name w:val="Heading 5 Char"/>
    <w:basedOn w:val="DefaultParagraphFont"/>
    <w:link w:val="Heading5"/>
    <w:rPr>
      <w:rFonts w:ascii="Arial" w:eastAsiaTheme="majorEastAsia" w:hAnsi="Arial" w:cstheme="majorBidi"/>
      <w:b/>
      <w:lang w:val="en-GB"/>
    </w:rPr>
  </w:style>
  <w:style w:type="character" w:customStyle="1" w:styleId="Heading6Char">
    <w:name w:val="Heading 6 Char"/>
    <w:basedOn w:val="DefaultParagraphFont"/>
    <w:link w:val="Heading6"/>
    <w:uiPriority w:val="20"/>
    <w:semiHidden/>
    <w:rPr>
      <w:rFonts w:asciiTheme="majorHAnsi" w:eastAsiaTheme="majorEastAsia" w:hAnsiTheme="majorHAnsi" w:cstheme="majorBidi"/>
      <w:i/>
      <w:iCs/>
      <w:color w:val="003451" w:themeColor="accent1" w:themeShade="7F"/>
    </w:rPr>
  </w:style>
  <w:style w:type="character" w:customStyle="1" w:styleId="Heading7Char">
    <w:name w:val="Heading 7 Char"/>
    <w:basedOn w:val="DefaultParagraphFont"/>
    <w:link w:val="Heading7"/>
    <w:uiPriority w:val="20"/>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20"/>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20"/>
    <w:semiHidden/>
    <w:rPr>
      <w:rFonts w:asciiTheme="majorHAnsi" w:eastAsiaTheme="majorEastAsia" w:hAnsiTheme="majorHAnsi" w:cstheme="majorBidi"/>
      <w:i/>
      <w:iCs/>
      <w:color w:val="404040" w:themeColor="text1" w:themeTint="BF"/>
      <w:sz w:val="20"/>
      <w:szCs w:val="20"/>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sz w:val="20"/>
    </w:rPr>
  </w:style>
  <w:style w:type="paragraph" w:styleId="EnvelopeAddress">
    <w:name w:val="envelope address"/>
    <w:basedOn w:val="Normal"/>
    <w:uiPriority w:val="99"/>
    <w:semiHidden/>
    <w:unhideWhenUsed/>
    <w:pPr>
      <w:framePr w:w="4320" w:h="2160" w:hRule="exact" w:hSpace="141" w:wrap="auto" w:hAnchor="page" w:xAlign="center" w:yAlign="bottom"/>
      <w:spacing w:after="0" w:line="240" w:lineRule="auto"/>
      <w:ind w:left="1"/>
    </w:pPr>
    <w:rPr>
      <w:rFonts w:asciiTheme="majorHAnsi" w:eastAsiaTheme="majorEastAsia" w:hAnsiTheme="majorHAnsi" w:cstheme="majorBidi"/>
      <w:szCs w:val="24"/>
    </w:rPr>
  </w:style>
  <w:style w:type="paragraph" w:styleId="Signature">
    <w:name w:val="Signature"/>
    <w:basedOn w:val="Normal"/>
    <w:link w:val="SignatureChar"/>
    <w:uiPriority w:val="99"/>
    <w:semiHidden/>
    <w:unhideWhenUsed/>
    <w:pPr>
      <w:spacing w:after="0" w:line="240" w:lineRule="auto"/>
      <w:ind w:left="4252"/>
    </w:pPr>
  </w:style>
  <w:style w:type="character" w:customStyle="1" w:styleId="SignatureChar">
    <w:name w:val="Signature Char"/>
    <w:basedOn w:val="DefaultParagraphFont"/>
    <w:link w:val="Signature"/>
    <w:uiPriority w:val="99"/>
    <w:semiHidden/>
    <w:rPr>
      <w:rFonts w:ascii="Arial" w:hAnsi="Arial"/>
    </w:rPr>
  </w:style>
  <w:style w:type="paragraph" w:styleId="Subtitle">
    <w:name w:val="Subtitle"/>
    <w:basedOn w:val="Normal"/>
    <w:next w:val="Normal"/>
    <w:link w:val="SubtitleChar"/>
    <w:uiPriority w:val="40"/>
    <w:semiHidden/>
    <w:qFormat/>
    <w:pPr>
      <w:numPr>
        <w:ilvl w:val="1"/>
      </w:numPr>
    </w:pPr>
    <w:rPr>
      <w:rFonts w:asciiTheme="majorHAnsi" w:eastAsiaTheme="majorEastAsia" w:hAnsiTheme="majorHAnsi" w:cstheme="majorBidi"/>
      <w:i/>
      <w:iCs/>
      <w:color w:val="006AA4" w:themeColor="accent1"/>
      <w:spacing w:val="15"/>
      <w:szCs w:val="24"/>
    </w:rPr>
  </w:style>
  <w:style w:type="character" w:customStyle="1" w:styleId="SubtitleChar">
    <w:name w:val="Subtitle Char"/>
    <w:basedOn w:val="DefaultParagraphFont"/>
    <w:link w:val="Subtitle"/>
    <w:uiPriority w:val="40"/>
    <w:semiHidden/>
    <w:rPr>
      <w:rFonts w:asciiTheme="majorHAnsi" w:eastAsiaTheme="majorEastAsia" w:hAnsiTheme="majorHAnsi" w:cstheme="majorBidi"/>
      <w:i/>
      <w:iCs/>
      <w:color w:val="006AA4" w:themeColor="accent1"/>
      <w:spacing w:val="15"/>
      <w:sz w:val="24"/>
      <w:szCs w:val="24"/>
    </w:rPr>
  </w:style>
  <w:style w:type="paragraph" w:styleId="TOC6">
    <w:name w:val="toc 6"/>
    <w:basedOn w:val="Normal"/>
    <w:next w:val="Standardtext"/>
    <w:uiPriority w:val="39"/>
    <w:semiHidden/>
    <w:pPr>
      <w:tabs>
        <w:tab w:val="right" w:pos="9639"/>
      </w:tabs>
      <w:spacing w:before="260" w:after="120" w:line="260" w:lineRule="atLeast"/>
      <w:jc w:val="left"/>
    </w:pPr>
    <w:rPr>
      <w:b/>
      <w:color w:val="006AA4" w:themeColor="accent1"/>
    </w:rPr>
  </w:style>
  <w:style w:type="paragraph" w:styleId="TOC7">
    <w:name w:val="toc 7"/>
    <w:basedOn w:val="Normal"/>
    <w:next w:val="Standardtext"/>
    <w:uiPriority w:val="39"/>
    <w:pPr>
      <w:tabs>
        <w:tab w:val="right" w:pos="9628"/>
      </w:tabs>
      <w:spacing w:before="120" w:after="120" w:line="260" w:lineRule="atLeast"/>
      <w:jc w:val="left"/>
    </w:pPr>
    <w:rPr>
      <w:b/>
      <w:color w:val="006AA4" w:themeColor="accent1"/>
    </w:rPr>
  </w:style>
  <w:style w:type="paragraph" w:styleId="TOC8">
    <w:name w:val="toc 8"/>
    <w:basedOn w:val="Normal"/>
    <w:next w:val="Normal"/>
    <w:autoRedefine/>
    <w:uiPriority w:val="39"/>
    <w:semiHidden/>
    <w:pPr>
      <w:spacing w:after="100"/>
      <w:ind w:left="1540"/>
    </w:pPr>
  </w:style>
  <w:style w:type="paragraph" w:styleId="TOC9">
    <w:name w:val="toc 9"/>
    <w:basedOn w:val="Normal"/>
    <w:next w:val="Normal"/>
    <w:autoRedefine/>
    <w:uiPriority w:val="39"/>
    <w:semiHidden/>
    <w:pPr>
      <w:spacing w:after="100"/>
      <w:ind w:left="1760"/>
    </w:pPr>
  </w:style>
  <w:style w:type="paragraph" w:styleId="Quote">
    <w:name w:val="Quote"/>
    <w:basedOn w:val="Normal"/>
    <w:next w:val="Normal"/>
    <w:link w:val="QuoteChar"/>
    <w:uiPriority w:val="29"/>
    <w:semiHidden/>
    <w:qFormat/>
    <w:rPr>
      <w:i/>
      <w:iCs/>
      <w:color w:val="000000" w:themeColor="text1"/>
    </w:rPr>
  </w:style>
  <w:style w:type="character" w:customStyle="1" w:styleId="QuoteChar">
    <w:name w:val="Quote Char"/>
    <w:basedOn w:val="DefaultParagraphFont"/>
    <w:link w:val="Quote"/>
    <w:uiPriority w:val="29"/>
    <w:semiHidden/>
    <w:rPr>
      <w:rFonts w:ascii="Arial" w:hAnsi="Arial"/>
      <w:i/>
      <w:iCs/>
      <w:color w:val="000000" w:themeColor="text1"/>
    </w:rPr>
  </w:style>
  <w:style w:type="character" w:styleId="FollowedHyperlink">
    <w:name w:val="FollowedHyperlink"/>
    <w:basedOn w:val="DefaultParagraphFont"/>
    <w:uiPriority w:val="99"/>
    <w:semiHidden/>
    <w:rPr>
      <w:color w:val="E3004F" w:themeColor="followedHyperlink"/>
      <w:u w:val="single"/>
    </w:rPr>
  </w:style>
  <w:style w:type="character" w:customStyle="1" w:styleId="kursiv0">
    <w:name w:val="kursiv"/>
    <w:basedOn w:val="DefaultParagraphFont"/>
    <w:uiPriority w:val="99"/>
    <w:semiHidden/>
    <w:qFormat/>
    <w:rPr>
      <w:b w:val="0"/>
      <w:i/>
    </w:rPr>
  </w:style>
  <w:style w:type="character" w:styleId="CommentReference">
    <w:name w:val="annotation reference"/>
    <w:basedOn w:val="DefaultParagraphFont"/>
    <w:uiPriority w:val="99"/>
    <w:semiHidden/>
    <w:rPr>
      <w:sz w:val="16"/>
      <w:szCs w:val="16"/>
    </w:rPr>
  </w:style>
  <w:style w:type="paragraph" w:styleId="Revision">
    <w:name w:val="Revision"/>
    <w:hidden/>
    <w:uiPriority w:val="99"/>
    <w:semiHidden/>
    <w:pPr>
      <w:spacing w:after="0" w:line="240" w:lineRule="auto"/>
    </w:pPr>
    <w:rPr>
      <w:rFonts w:ascii="Arial" w:hAnsi="Arial"/>
      <w:noProof/>
    </w:rPr>
  </w:style>
  <w:style w:type="table" w:styleId="LightList-Accent1">
    <w:name w:val="Light List Accent 1"/>
    <w:basedOn w:val="TableNormal"/>
    <w:uiPriority w:val="61"/>
    <w:pPr>
      <w:spacing w:after="0" w:line="240" w:lineRule="auto"/>
    </w:pPr>
    <w:tblPr>
      <w:tblStyleRowBandSize w:val="1"/>
      <w:tblStyleColBandSize w:val="1"/>
      <w:tblInd w:w="0" w:type="dxa"/>
      <w:tblBorders>
        <w:top w:val="single" w:sz="8" w:space="0" w:color="006AA4" w:themeColor="accent1"/>
        <w:left w:val="single" w:sz="8" w:space="0" w:color="006AA4" w:themeColor="accent1"/>
        <w:bottom w:val="single" w:sz="8" w:space="0" w:color="006AA4" w:themeColor="accent1"/>
        <w:right w:val="single" w:sz="8" w:space="0" w:color="006AA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6AA4" w:themeFill="accent1"/>
      </w:tcPr>
    </w:tblStylePr>
    <w:tblStylePr w:type="lastRow">
      <w:pPr>
        <w:spacing w:before="0" w:after="0" w:line="240" w:lineRule="auto"/>
      </w:pPr>
      <w:rPr>
        <w:b/>
        <w:bCs/>
      </w:rPr>
      <w:tblPr/>
      <w:tcPr>
        <w:tcBorders>
          <w:top w:val="double" w:sz="6" w:space="0" w:color="006AA4" w:themeColor="accent1"/>
          <w:left w:val="single" w:sz="8" w:space="0" w:color="006AA4" w:themeColor="accent1"/>
          <w:bottom w:val="single" w:sz="8" w:space="0" w:color="006AA4" w:themeColor="accent1"/>
          <w:right w:val="single" w:sz="8" w:space="0" w:color="006AA4" w:themeColor="accent1"/>
        </w:tcBorders>
      </w:tcPr>
    </w:tblStylePr>
    <w:tblStylePr w:type="firstCol">
      <w:rPr>
        <w:b/>
        <w:bCs/>
      </w:rPr>
    </w:tblStylePr>
    <w:tblStylePr w:type="lastCol">
      <w:rPr>
        <w:b/>
        <w:bCs/>
      </w:rPr>
    </w:tblStylePr>
    <w:tblStylePr w:type="band1Vert">
      <w:tblPr/>
      <w:tcPr>
        <w:tcBorders>
          <w:top w:val="single" w:sz="8" w:space="0" w:color="006AA4" w:themeColor="accent1"/>
          <w:left w:val="single" w:sz="8" w:space="0" w:color="006AA4" w:themeColor="accent1"/>
          <w:bottom w:val="single" w:sz="8" w:space="0" w:color="006AA4" w:themeColor="accent1"/>
          <w:right w:val="single" w:sz="8" w:space="0" w:color="006AA4" w:themeColor="accent1"/>
        </w:tcBorders>
      </w:tcPr>
    </w:tblStylePr>
    <w:tblStylePr w:type="band1Horz">
      <w:pPr>
        <w:wordWrap/>
        <w:spacing w:beforeLines="0" w:before="0" w:beforeAutospacing="0" w:afterLines="0" w:after="0" w:afterAutospacing="0" w:line="240" w:lineRule="auto"/>
        <w:ind w:rightChars="0" w:right="0"/>
      </w:pPr>
      <w:tblPr/>
      <w:tcPr>
        <w:tcBorders>
          <w:top w:val="single" w:sz="8" w:space="0" w:color="006AA4" w:themeColor="accent1"/>
          <w:left w:val="single" w:sz="8" w:space="0" w:color="006AA4" w:themeColor="accent1"/>
          <w:bottom w:val="single" w:sz="8" w:space="0" w:color="006AA4" w:themeColor="accent1"/>
          <w:right w:val="single" w:sz="8" w:space="0" w:color="006AA4" w:themeColor="accent1"/>
        </w:tcBorders>
      </w:tcPr>
    </w:tblStylePr>
    <w:tblStylePr w:type="band2Horz">
      <w:pPr>
        <w:wordWrap/>
        <w:spacing w:beforeLines="0" w:before="0" w:beforeAutospacing="0" w:afterLines="0" w:after="0" w:afterAutospacing="0" w:line="240" w:lineRule="auto"/>
        <w:ind w:leftChars="0" w:left="0" w:rightChars="0" w:right="0" w:firstLineChars="0" w:firstLine="0"/>
      </w:pPr>
    </w:tblStylePr>
  </w:style>
  <w:style w:type="paragraph" w:customStyle="1" w:styleId="wwwoekode">
    <w:name w:val="www.oeko.de"/>
    <w:basedOn w:val="Standardtext"/>
    <w:semiHidden/>
    <w:qFormat/>
    <w:pPr>
      <w:spacing w:before="20" w:after="0" w:line="240" w:lineRule="auto"/>
      <w:jc w:val="right"/>
    </w:pPr>
    <w:rPr>
      <w:szCs w:val="24"/>
    </w:rPr>
  </w:style>
  <w:style w:type="table" w:customStyle="1" w:styleId="Oeko3">
    <w:name w:val="Oeko_3"/>
    <w:basedOn w:val="TableNormal"/>
    <w:uiPriority w:val="99"/>
    <w:pPr>
      <w:spacing w:before="40" w:after="40" w:line="240" w:lineRule="auto"/>
    </w:pPr>
    <w:rPr>
      <w:rFonts w:ascii="Arial" w:hAnsi="Arial"/>
      <w:sz w:val="20"/>
    </w:rPr>
    <w:tblPr>
      <w:tblInd w:w="0" w:type="dxa"/>
      <w:tblBorders>
        <w:top w:val="single" w:sz="4" w:space="0" w:color="97BF0D" w:themeColor="accent3"/>
        <w:bottom w:val="single" w:sz="4" w:space="0" w:color="97BF0D" w:themeColor="accent3"/>
        <w:insideH w:val="single" w:sz="4" w:space="0" w:color="97BF0D" w:themeColor="accent3"/>
      </w:tblBorders>
      <w:tblCellMar>
        <w:top w:w="0" w:type="dxa"/>
        <w:left w:w="0" w:type="dxa"/>
        <w:bottom w:w="0" w:type="dxa"/>
        <w:right w:w="0" w:type="dxa"/>
      </w:tblCellMar>
    </w:tblPr>
  </w:style>
  <w:style w:type="paragraph" w:customStyle="1" w:styleId="berschrift2oNum">
    <w:name w:val="Überschrift 2 oNum"/>
    <w:basedOn w:val="Normal"/>
    <w:next w:val="Standardtext"/>
    <w:uiPriority w:val="1"/>
    <w:semiHidden/>
    <w:qFormat/>
    <w:pPr>
      <w:keepNext/>
      <w:keepLines/>
      <w:spacing w:before="480"/>
      <w:jc w:val="left"/>
    </w:pPr>
    <w:rPr>
      <w:b/>
      <w:color w:val="006AA4" w:themeColor="accent1"/>
    </w:rPr>
  </w:style>
  <w:style w:type="table" w:customStyle="1" w:styleId="Oeko2">
    <w:name w:val="Oeko_2"/>
    <w:basedOn w:val="TableNormal"/>
    <w:uiPriority w:val="99"/>
    <w:pPr>
      <w:spacing w:before="40" w:after="40" w:line="240" w:lineRule="auto"/>
    </w:pPr>
    <w:rPr>
      <w:rFonts w:ascii="Arial" w:hAnsi="Arial"/>
    </w:rPr>
    <w:tblPr>
      <w:tblStyleRowBandSize w:val="1"/>
      <w:tblInd w:w="0" w:type="dxa"/>
      <w:tblBorders>
        <w:insideV w:val="single" w:sz="2" w:space="0" w:color="868686"/>
      </w:tblBorders>
      <w:tblCellMar>
        <w:top w:w="0" w:type="dxa"/>
        <w:left w:w="85" w:type="dxa"/>
        <w:bottom w:w="0" w:type="dxa"/>
        <w:right w:w="85" w:type="dxa"/>
      </w:tblCellMar>
    </w:tblPr>
    <w:tblStylePr w:type="firstRow">
      <w:rPr>
        <w:b/>
      </w:rPr>
      <w:tblPr/>
      <w:tcPr>
        <w:tcBorders>
          <w:bottom w:val="single" w:sz="12" w:space="0" w:color="97BF0D" w:themeColor="accent3"/>
        </w:tcBorders>
      </w:tcPr>
    </w:tblStylePr>
    <w:tblStylePr w:type="firstCol">
      <w:pPr>
        <w:wordWrap/>
        <w:ind w:leftChars="0" w:left="-85"/>
      </w:pPr>
      <w:tblPr/>
      <w:tcPr>
        <w:tcBorders>
          <w:right w:val="single" w:sz="4" w:space="0" w:color="868686"/>
          <w:insideV w:val="nil"/>
        </w:tcBorders>
      </w:tcPr>
    </w:tblStylePr>
    <w:tblStylePr w:type="band1Horz">
      <w:tblPr/>
      <w:tcPr>
        <w:tcBorders>
          <w:bottom w:val="single" w:sz="2" w:space="0" w:color="868686"/>
        </w:tcBorders>
      </w:tcPr>
    </w:tblStylePr>
    <w:tblStylePr w:type="band2Horz">
      <w:tblPr/>
      <w:tcPr>
        <w:tcBorders>
          <w:bottom w:val="single" w:sz="2" w:space="0" w:color="868686"/>
        </w:tcBorders>
      </w:tcPr>
    </w:tblStylePr>
  </w:style>
  <w:style w:type="paragraph" w:customStyle="1" w:styleId="AdressfeldUmschlagI">
    <w:name w:val="Adressfeld_Umschlag_ÖI"/>
    <w:basedOn w:val="Normal"/>
    <w:uiPriority w:val="5"/>
    <w:semiHidden/>
    <w:qFormat/>
    <w:pPr>
      <w:spacing w:before="60" w:after="60" w:line="200" w:lineRule="exact"/>
    </w:pPr>
    <w:rPr>
      <w:sz w:val="14"/>
    </w:rPr>
  </w:style>
  <w:style w:type="character" w:customStyle="1" w:styleId="Blau">
    <w:name w:val="Blau"/>
    <w:basedOn w:val="DefaultParagraphFont"/>
    <w:uiPriority w:val="99"/>
    <w:semiHidden/>
    <w:qFormat/>
    <w:rPr>
      <w:noProof/>
      <w:color w:val="006AA4"/>
      <w:lang w:eastAsia="de-DE"/>
    </w:rPr>
  </w:style>
  <w:style w:type="character" w:styleId="Emphasis">
    <w:name w:val="Emphasis"/>
    <w:basedOn w:val="DefaultParagraphFont"/>
    <w:uiPriority w:val="20"/>
    <w:semiHidden/>
    <w:unhideWhenUsed/>
    <w:qFormat/>
    <w:rPr>
      <w:i/>
      <w:iCs/>
    </w:rPr>
  </w:style>
  <w:style w:type="paragraph" w:customStyle="1" w:styleId="Hiddentext0">
    <w:name w:val="Hidden text"/>
    <w:basedOn w:val="Normal"/>
    <w:uiPriority w:val="1"/>
    <w:semiHidden/>
    <w:qFormat/>
    <w:rPr>
      <w:vanish/>
      <w:color w:val="FF0000"/>
    </w:rPr>
  </w:style>
  <w:style w:type="paragraph" w:customStyle="1" w:styleId="LiteraturI">
    <w:name w:val="Literatur_ÖI"/>
    <w:basedOn w:val="Standardtext"/>
    <w:uiPriority w:val="12"/>
    <w:qFormat/>
    <w:pPr>
      <w:ind w:left="851" w:hanging="851"/>
    </w:pPr>
    <w:rPr>
      <w:sz w:val="20"/>
    </w:rPr>
  </w:style>
  <w:style w:type="character" w:customStyle="1" w:styleId="MemoThema">
    <w:name w:val="Memo_Thema"/>
    <w:basedOn w:val="DefaultParagraphFont"/>
    <w:uiPriority w:val="1"/>
    <w:semiHidden/>
    <w:rPr>
      <w:rFonts w:asciiTheme="minorHAnsi" w:hAnsiTheme="minorHAnsi"/>
      <w:sz w:val="18"/>
    </w:rPr>
  </w:style>
  <w:style w:type="paragraph" w:customStyle="1" w:styleId="OekoBro2">
    <w:name w:val="Oeko_Büro_2"/>
    <w:basedOn w:val="Normal"/>
    <w:semiHidden/>
    <w:qFormat/>
    <w:locked/>
    <w:pPr>
      <w:spacing w:after="0" w:line="260" w:lineRule="exact"/>
      <w:jc w:val="left"/>
    </w:pPr>
    <w:rPr>
      <w:rFonts w:cs="Arial"/>
      <w:spacing w:val="-2"/>
      <w:sz w:val="16"/>
    </w:rPr>
  </w:style>
  <w:style w:type="paragraph" w:customStyle="1" w:styleId="Personen1I">
    <w:name w:val="Personen_1_ÖI"/>
    <w:basedOn w:val="Standardtext"/>
    <w:semiHidden/>
    <w:qFormat/>
    <w:locked/>
    <w:pPr>
      <w:spacing w:before="120" w:after="0" w:line="200" w:lineRule="exact"/>
      <w:jc w:val="left"/>
    </w:pPr>
    <w:rPr>
      <w:rFonts w:cs="Arial"/>
      <w:b/>
      <w:sz w:val="12"/>
    </w:rPr>
  </w:style>
  <w:style w:type="paragraph" w:customStyle="1" w:styleId="Personen2I">
    <w:name w:val="Personen_2_ÖI"/>
    <w:basedOn w:val="Personen1I"/>
    <w:semiHidden/>
    <w:qFormat/>
    <w:locked/>
    <w:pPr>
      <w:spacing w:before="0" w:line="160" w:lineRule="exact"/>
    </w:pPr>
    <w:rPr>
      <w:b w:val="0"/>
    </w:rPr>
  </w:style>
  <w:style w:type="paragraph" w:customStyle="1" w:styleId="RmischI">
    <w:name w:val="Römisch_ÖI"/>
    <w:basedOn w:val="Standardtext"/>
    <w:next w:val="Standardtext"/>
    <w:semiHidden/>
    <w:pPr>
      <w:numPr>
        <w:numId w:val="12"/>
      </w:numPr>
      <w:tabs>
        <w:tab w:val="left" w:pos="1247"/>
      </w:tabs>
      <w:spacing w:before="360"/>
      <w:jc w:val="left"/>
      <w:outlineLvl w:val="2"/>
    </w:pPr>
    <w:rPr>
      <w:b/>
      <w:color w:val="006AA4" w:themeColor="accent1"/>
    </w:rPr>
  </w:style>
  <w:style w:type="paragraph" w:customStyle="1" w:styleId="RomanI">
    <w:name w:val="Roman_ÖI"/>
    <w:basedOn w:val="RmischI"/>
    <w:next w:val="Standardtext"/>
    <w:pPr>
      <w:numPr>
        <w:numId w:val="17"/>
      </w:numPr>
    </w:pPr>
  </w:style>
  <w:style w:type="paragraph" w:customStyle="1" w:styleId="SeitenzahlI">
    <w:name w:val="Seitenzahl_ÖI"/>
    <w:basedOn w:val="Footer"/>
    <w:uiPriority w:val="99"/>
    <w:semiHidden/>
    <w:qFormat/>
    <w:rPr>
      <w:sz w:val="20"/>
    </w:rPr>
  </w:style>
  <w:style w:type="paragraph" w:customStyle="1" w:styleId="TabellentitelrechtsbndigI">
    <w:name w:val="Tabellentitel rechtsbündig_ÖI"/>
    <w:basedOn w:val="Normal"/>
    <w:uiPriority w:val="6"/>
    <w:semiHidden/>
    <w:qFormat/>
    <w:pPr>
      <w:jc w:val="right"/>
    </w:pPr>
  </w:style>
  <w:style w:type="paragraph" w:customStyle="1" w:styleId="ZitatI">
    <w:name w:val="Zitat_ÖI"/>
    <w:basedOn w:val="Standardtext"/>
    <w:next w:val="Standardtext"/>
    <w:uiPriority w:val="12"/>
    <w:pPr>
      <w:ind w:left="709"/>
    </w:pPr>
    <w:rPr>
      <w:i/>
    </w:rPr>
  </w:style>
  <w:style w:type="paragraph" w:customStyle="1" w:styleId="ZusfassSummary">
    <w:name w:val="Zus.fass/Summary"/>
    <w:basedOn w:val="Standardtext"/>
    <w:semiHidden/>
    <w:qFormat/>
    <w:pPr>
      <w:keepNext/>
      <w:pageBreakBefore/>
      <w:spacing w:before="600"/>
      <w:outlineLvl w:val="0"/>
    </w:pPr>
    <w:rPr>
      <w:b/>
      <w:color w:val="006AA4" w:themeColor="accent1"/>
    </w:rPr>
  </w:style>
  <w:style w:type="paragraph" w:customStyle="1" w:styleId="HeadlineI">
    <w:name w:val="Headline ÖI"/>
    <w:basedOn w:val="berschrift1oNum"/>
    <w:next w:val="Standardtext"/>
    <w:semiHidden/>
    <w:pPr>
      <w:spacing w:line="360" w:lineRule="atLeast"/>
    </w:pPr>
    <w:rPr>
      <w:sz w:val="28"/>
    </w:rPr>
  </w:style>
  <w:style w:type="paragraph" w:customStyle="1" w:styleId="Table-Contents">
    <w:name w:val="Table - Contents"/>
    <w:basedOn w:val="Normal"/>
    <w:pPr>
      <w:suppressAutoHyphens/>
      <w:spacing w:before="80" w:after="80" w:line="180" w:lineRule="exact"/>
      <w:jc w:val="left"/>
    </w:pPr>
    <w:rPr>
      <w:rFonts w:eastAsia="Times New Roman"/>
      <w:sz w:val="16"/>
    </w:rPr>
  </w:style>
  <w:style w:type="table" w:styleId="LightList-Accent3">
    <w:name w:val="Light List Accent 3"/>
    <w:basedOn w:val="TableNormal"/>
    <w:uiPriority w:val="61"/>
    <w:pPr>
      <w:spacing w:after="0" w:line="240" w:lineRule="auto"/>
    </w:pPr>
    <w:tblPr>
      <w:tblStyleRowBandSize w:val="1"/>
      <w:tblStyleColBandSize w:val="1"/>
      <w:tblInd w:w="0" w:type="dxa"/>
      <w:tblBorders>
        <w:top w:val="single" w:sz="8" w:space="0" w:color="97BF0D" w:themeColor="accent3"/>
        <w:left w:val="single" w:sz="8" w:space="0" w:color="97BF0D" w:themeColor="accent3"/>
        <w:bottom w:val="single" w:sz="8" w:space="0" w:color="97BF0D" w:themeColor="accent3"/>
        <w:right w:val="single" w:sz="8" w:space="0" w:color="97BF0D"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7BF0D" w:themeFill="accent3"/>
      </w:tcPr>
    </w:tblStylePr>
    <w:tblStylePr w:type="lastRow">
      <w:pPr>
        <w:spacing w:before="0" w:after="0" w:line="240" w:lineRule="auto"/>
      </w:pPr>
      <w:rPr>
        <w:b/>
        <w:bCs/>
      </w:rPr>
      <w:tblPr/>
      <w:tcPr>
        <w:tcBorders>
          <w:top w:val="double" w:sz="6" w:space="0" w:color="97BF0D" w:themeColor="accent3"/>
          <w:left w:val="single" w:sz="8" w:space="0" w:color="97BF0D" w:themeColor="accent3"/>
          <w:bottom w:val="single" w:sz="8" w:space="0" w:color="97BF0D" w:themeColor="accent3"/>
          <w:right w:val="single" w:sz="8" w:space="0" w:color="97BF0D" w:themeColor="accent3"/>
        </w:tcBorders>
      </w:tcPr>
    </w:tblStylePr>
    <w:tblStylePr w:type="firstCol">
      <w:rPr>
        <w:b/>
        <w:bCs/>
      </w:rPr>
    </w:tblStylePr>
    <w:tblStylePr w:type="lastCol">
      <w:rPr>
        <w:b/>
        <w:bCs/>
      </w:rPr>
    </w:tblStylePr>
    <w:tblStylePr w:type="band1Vert">
      <w:tblPr/>
      <w:tcPr>
        <w:tcBorders>
          <w:top w:val="single" w:sz="8" w:space="0" w:color="97BF0D" w:themeColor="accent3"/>
          <w:left w:val="single" w:sz="8" w:space="0" w:color="97BF0D" w:themeColor="accent3"/>
          <w:bottom w:val="single" w:sz="8" w:space="0" w:color="97BF0D" w:themeColor="accent3"/>
          <w:right w:val="single" w:sz="8" w:space="0" w:color="97BF0D" w:themeColor="accent3"/>
        </w:tcBorders>
      </w:tcPr>
    </w:tblStylePr>
    <w:tblStylePr w:type="band1Horz">
      <w:tblPr/>
      <w:tcPr>
        <w:tcBorders>
          <w:top w:val="single" w:sz="8" w:space="0" w:color="97BF0D" w:themeColor="accent3"/>
          <w:left w:val="single" w:sz="8" w:space="0" w:color="97BF0D" w:themeColor="accent3"/>
          <w:bottom w:val="single" w:sz="8" w:space="0" w:color="97BF0D" w:themeColor="accent3"/>
          <w:right w:val="single" w:sz="8" w:space="0" w:color="97BF0D" w:themeColor="accent3"/>
        </w:tcBorders>
      </w:tcPr>
    </w:tblStylePr>
  </w:style>
  <w:style w:type="character" w:customStyle="1" w:styleId="QuelleZchn">
    <w:name w:val="Quelle Zchn"/>
    <w:link w:val="Quelle"/>
    <w:locked/>
    <w:rPr>
      <w:rFonts w:ascii="Arial" w:hAnsi="Arial" w:cs="Arial"/>
      <w:iCs/>
      <w:lang w:val="en-GB"/>
    </w:rPr>
  </w:style>
  <w:style w:type="paragraph" w:customStyle="1" w:styleId="Quelle">
    <w:name w:val="Quelle"/>
    <w:basedOn w:val="Normal"/>
    <w:next w:val="Normal"/>
    <w:link w:val="QuelleZchn"/>
    <w:pPr>
      <w:tabs>
        <w:tab w:val="left" w:pos="1134"/>
      </w:tabs>
      <w:spacing w:after="360" w:line="300" w:lineRule="atLeast"/>
      <w:ind w:left="1134" w:hanging="1134"/>
      <w:contextualSpacing/>
    </w:pPr>
    <w:rPr>
      <w:rFonts w:cs="Arial"/>
      <w:iCs/>
    </w:rPr>
  </w:style>
  <w:style w:type="paragraph" w:customStyle="1" w:styleId="Standard1">
    <w:name w:val="Standard1"/>
    <w:pPr>
      <w:spacing w:after="120" w:line="300" w:lineRule="atLeast"/>
      <w:jc w:val="both"/>
    </w:pPr>
    <w:rPr>
      <w:rFonts w:ascii="Arial" w:eastAsia="ヒラギノ角ゴ Pro W3" w:hAnsi="Arial"/>
      <w:color w:val="000000"/>
      <w:lang w:val="en-GB" w:eastAsia="de-DE"/>
    </w:rPr>
  </w:style>
  <w:style w:type="paragraph" w:customStyle="1" w:styleId="Grafik">
    <w:name w:val="Grafik"/>
    <w:basedOn w:val="Normal"/>
    <w:next w:val="Quelle"/>
    <w:pPr>
      <w:spacing w:after="0" w:line="300" w:lineRule="atLeast"/>
    </w:pPr>
    <w:rPr>
      <w:rFonts w:eastAsia="Times New Roman"/>
      <w:lang w:eastAsia="de-DE"/>
    </w:rPr>
  </w:style>
  <w:style w:type="character" w:customStyle="1" w:styleId="CaptionChar">
    <w:name w:val="Caption Char"/>
    <w:aliases w:val="Beschriftung_tab Char,tab_überschrift Char Char,Tab_Überschrift Char,tab_überschrift Char1"/>
    <w:link w:val="Caption"/>
    <w:uiPriority w:val="35"/>
    <w:locked/>
    <w:rPr>
      <w:rFonts w:ascii="Arial" w:hAnsi="Arial"/>
      <w:b/>
      <w:bCs/>
      <w:color w:val="006AA4" w:themeColor="accent1"/>
      <w:szCs w:val="18"/>
      <w:lang w:val="en-GB"/>
    </w:rPr>
  </w:style>
  <w:style w:type="paragraph" w:customStyle="1" w:styleId="Tabelle">
    <w:name w:val="Tabelle"/>
    <w:basedOn w:val="Normal"/>
    <w:pPr>
      <w:keepNext/>
      <w:keepLines/>
      <w:spacing w:before="20" w:after="20" w:line="300" w:lineRule="atLeast"/>
    </w:pPr>
    <w:rPr>
      <w:rFonts w:eastAsia="Times New Roman"/>
      <w:color w:val="000000"/>
      <w:lang w:eastAsia="de-DE"/>
    </w:rPr>
  </w:style>
  <w:style w:type="character" w:customStyle="1" w:styleId="FontStyle59">
    <w:name w:val="Font Style59"/>
    <w:uiPriority w:val="99"/>
    <w:rPr>
      <w:rFonts w:ascii="Times New Roman" w:hAnsi="Times New Roman" w:cs="Times New Roman"/>
      <w:color w:val="000000"/>
      <w:sz w:val="22"/>
      <w:szCs w:val="22"/>
    </w:rPr>
  </w:style>
  <w:style w:type="paragraph" w:customStyle="1" w:styleId="Style36">
    <w:name w:val="Style36"/>
    <w:basedOn w:val="Normal"/>
    <w:uiPriority w:val="99"/>
    <w:pPr>
      <w:widowControl w:val="0"/>
      <w:autoSpaceDE w:val="0"/>
      <w:autoSpaceDN w:val="0"/>
      <w:adjustRightInd w:val="0"/>
      <w:spacing w:after="0" w:line="269" w:lineRule="exact"/>
      <w:jc w:val="left"/>
    </w:pPr>
    <w:rPr>
      <w:rFonts w:eastAsia="Times New Roman"/>
      <w:szCs w:val="24"/>
      <w:lang w:eastAsia="en-GB"/>
    </w:rPr>
  </w:style>
  <w:style w:type="paragraph" w:customStyle="1" w:styleId="Style37">
    <w:name w:val="Style37"/>
    <w:basedOn w:val="Normal"/>
    <w:uiPriority w:val="99"/>
    <w:pPr>
      <w:widowControl w:val="0"/>
      <w:autoSpaceDE w:val="0"/>
      <w:autoSpaceDN w:val="0"/>
      <w:adjustRightInd w:val="0"/>
      <w:spacing w:after="0" w:line="240" w:lineRule="auto"/>
      <w:jc w:val="left"/>
    </w:pPr>
    <w:rPr>
      <w:rFonts w:eastAsia="Times New Roman"/>
      <w:szCs w:val="24"/>
      <w:lang w:eastAsia="en-GB"/>
    </w:rPr>
  </w:style>
  <w:style w:type="character" w:customStyle="1" w:styleId="FontStyle57">
    <w:name w:val="Font Style57"/>
    <w:uiPriority w:val="99"/>
    <w:rPr>
      <w:rFonts w:ascii="Times New Roman" w:hAnsi="Times New Roman" w:cs="Times New Roman"/>
      <w:b/>
      <w:bCs/>
      <w:color w:val="000000"/>
      <w:sz w:val="22"/>
      <w:szCs w:val="22"/>
    </w:rPr>
  </w:style>
  <w:style w:type="paragraph" w:customStyle="1" w:styleId="Style44">
    <w:name w:val="Style44"/>
    <w:basedOn w:val="Normal"/>
    <w:uiPriority w:val="99"/>
    <w:pPr>
      <w:widowControl w:val="0"/>
      <w:autoSpaceDE w:val="0"/>
      <w:autoSpaceDN w:val="0"/>
      <w:adjustRightInd w:val="0"/>
      <w:spacing w:after="0" w:line="271" w:lineRule="exact"/>
      <w:ind w:firstLine="97"/>
      <w:jc w:val="left"/>
    </w:pPr>
    <w:rPr>
      <w:rFonts w:eastAsia="Times New Roman"/>
      <w:szCs w:val="24"/>
      <w:lang w:eastAsia="en-GB"/>
    </w:rPr>
  </w:style>
  <w:style w:type="paragraph" w:customStyle="1" w:styleId="1Spiegelstrich">
    <w:name w:val="1. Spiegelstrich"/>
    <w:pPr>
      <w:tabs>
        <w:tab w:val="left" w:pos="480"/>
        <w:tab w:val="center" w:pos="4536"/>
        <w:tab w:val="right" w:pos="9185"/>
      </w:tabs>
      <w:spacing w:after="0" w:line="360" w:lineRule="exact"/>
      <w:ind w:left="483" w:hanging="357"/>
      <w:jc w:val="both"/>
    </w:pPr>
    <w:rPr>
      <w:rFonts w:ascii="Tms Rmn" w:eastAsia="Times New Roman" w:hAnsi="Tms Rmn"/>
      <w:lang w:eastAsia="de-DE"/>
    </w:rPr>
  </w:style>
  <w:style w:type="paragraph" w:customStyle="1" w:styleId="Default">
    <w:name w:val="Default"/>
    <w:pPr>
      <w:autoSpaceDE w:val="0"/>
      <w:autoSpaceDN w:val="0"/>
      <w:adjustRightInd w:val="0"/>
      <w:spacing w:after="0" w:line="240" w:lineRule="auto"/>
    </w:pPr>
    <w:rPr>
      <w:rFonts w:ascii="EUAlbertina" w:hAnsi="EUAlbertina" w:cs="EUAlbertina"/>
      <w:color w:val="000000"/>
      <w:szCs w:val="24"/>
      <w:lang w:val="de-AT"/>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xl67">
    <w:name w:val="xl67"/>
    <w:basedOn w:val="Normal"/>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eastAsia="Times New Roman" w:cs="Arial"/>
      <w:b/>
      <w:bCs/>
      <w:sz w:val="16"/>
      <w:szCs w:val="16"/>
      <w:lang w:eastAsia="de-DE"/>
    </w:rPr>
  </w:style>
  <w:style w:type="paragraph" w:customStyle="1" w:styleId="xl68">
    <w:name w:val="xl68"/>
    <w:basedOn w:val="Normal"/>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eastAsia="Times New Roman" w:cs="Arial"/>
      <w:b/>
      <w:bCs/>
      <w:sz w:val="16"/>
      <w:szCs w:val="16"/>
      <w:lang w:eastAsia="de-DE"/>
    </w:rPr>
  </w:style>
  <w:style w:type="paragraph" w:customStyle="1" w:styleId="xl69">
    <w:name w:val="xl69"/>
    <w:basedOn w:val="Normal"/>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eastAsia="Times New Roman" w:cs="Arial"/>
      <w:b/>
      <w:bCs/>
      <w:sz w:val="16"/>
      <w:szCs w:val="16"/>
      <w:lang w:eastAsia="de-DE"/>
    </w:rPr>
  </w:style>
  <w:style w:type="paragraph" w:customStyle="1" w:styleId="xl70">
    <w:name w:val="xl70"/>
    <w:basedOn w:val="Normal"/>
    <w:pPr>
      <w:shd w:val="clear" w:color="FFFFFF" w:fill="FFFFFF"/>
      <w:spacing w:before="100" w:beforeAutospacing="1" w:after="100" w:afterAutospacing="1" w:line="240" w:lineRule="auto"/>
      <w:jc w:val="left"/>
      <w:textAlignment w:val="center"/>
    </w:pPr>
    <w:rPr>
      <w:rFonts w:eastAsia="Times New Roman" w:cs="Arial"/>
      <w:sz w:val="12"/>
      <w:szCs w:val="12"/>
      <w:lang w:eastAsia="de-DE"/>
    </w:rPr>
  </w:style>
  <w:style w:type="paragraph" w:customStyle="1" w:styleId="xl71">
    <w:name w:val="xl71"/>
    <w:basedOn w:val="Normal"/>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eastAsia="Times New Roman" w:cs="Arial"/>
      <w:b/>
      <w:bCs/>
      <w:sz w:val="16"/>
      <w:szCs w:val="16"/>
      <w:lang w:eastAsia="de-DE"/>
    </w:rPr>
  </w:style>
  <w:style w:type="paragraph" w:customStyle="1" w:styleId="xl72">
    <w:name w:val="xl72"/>
    <w:basedOn w:val="Normal"/>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eastAsia="Times New Roman" w:cs="Arial"/>
      <w:b/>
      <w:bCs/>
      <w:sz w:val="16"/>
      <w:szCs w:val="16"/>
      <w:lang w:eastAsia="de-DE"/>
    </w:rPr>
  </w:style>
  <w:style w:type="paragraph" w:customStyle="1" w:styleId="xl73">
    <w:name w:val="xl73"/>
    <w:basedOn w:val="Normal"/>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eastAsia="Times New Roman" w:cs="Arial"/>
      <w:b/>
      <w:bCs/>
      <w:sz w:val="16"/>
      <w:szCs w:val="16"/>
      <w:lang w:eastAsia="de-DE"/>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left"/>
      <w:textAlignment w:val="center"/>
    </w:pPr>
    <w:rPr>
      <w:rFonts w:eastAsia="Times New Roman" w:cs="Arial"/>
      <w:sz w:val="16"/>
      <w:szCs w:val="16"/>
      <w:lang w:eastAsia="de-DE"/>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left"/>
      <w:textAlignment w:val="center"/>
    </w:pPr>
    <w:rPr>
      <w:rFonts w:eastAsia="Times New Roman" w:cs="Arial"/>
      <w:sz w:val="16"/>
      <w:szCs w:val="16"/>
      <w:lang w:eastAsia="de-DE"/>
    </w:rPr>
  </w:style>
  <w:style w:type="paragraph" w:customStyle="1" w:styleId="xl76">
    <w:name w:val="xl76"/>
    <w:basedOn w:val="Normal"/>
    <w:pPr>
      <w:shd w:val="clear" w:color="000000" w:fill="FFFFFF"/>
      <w:spacing w:before="100" w:beforeAutospacing="1" w:after="100" w:afterAutospacing="1" w:line="240" w:lineRule="auto"/>
      <w:jc w:val="left"/>
    </w:pPr>
    <w:rPr>
      <w:rFonts w:eastAsia="Times New Roman" w:cs="Arial"/>
      <w:szCs w:val="24"/>
      <w:lang w:eastAsia="de-DE"/>
    </w:rPr>
  </w:style>
  <w:style w:type="paragraph" w:customStyle="1" w:styleId="xl66">
    <w:name w:val="xl66"/>
    <w:basedOn w:val="Normal"/>
    <w:pPr>
      <w:shd w:val="clear" w:color="000000" w:fill="FFFFFF"/>
      <w:spacing w:before="100" w:beforeAutospacing="1" w:after="100" w:afterAutospacing="1" w:line="240" w:lineRule="auto"/>
      <w:jc w:val="left"/>
      <w:textAlignment w:val="center"/>
    </w:pPr>
    <w:rPr>
      <w:rFonts w:eastAsia="Times New Roman" w:cs="Arial"/>
      <w:sz w:val="12"/>
      <w:szCs w:val="12"/>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eastAsiaTheme="majorEastAsia"/>
      <w:color w:val="006AA4" w:themeColor="accent1"/>
      <w:szCs w:val="28"/>
      <w:lang w:val="en-GB"/>
    </w:rPr>
  </w:style>
  <w:style w:type="character" w:customStyle="1" w:styleId="berschrift1oNumChar">
    <w:name w:val="Überschrift 1 oNum Char"/>
    <w:basedOn w:val="Heading1Char"/>
    <w:link w:val="berschrift1oNum"/>
    <w:uiPriority w:val="1"/>
    <w:rPr>
      <w:rFonts w:ascii="Arial" w:eastAsiaTheme="majorEastAsia" w:hAnsi="Arial" w:cstheme="majorBidi"/>
      <w:b/>
      <w:bCs w:val="0"/>
      <w:color w:val="006AA4" w:themeColor="accent1"/>
      <w:sz w:val="24"/>
      <w:szCs w:val="28"/>
      <w:lang w:val="en-GB"/>
    </w:rPr>
  </w:style>
  <w:style w:type="character" w:customStyle="1" w:styleId="FooterCoverPageChar">
    <w:name w:val="Footer Cover Page Char"/>
    <w:basedOn w:val="berschrift1oNumChar"/>
    <w:link w:val="FooterCoverPage"/>
    <w:rPr>
      <w:rFonts w:ascii="Arial" w:eastAsiaTheme="majorEastAsia" w:hAnsi="Arial" w:cstheme="majorBidi"/>
      <w:b w:val="0"/>
      <w:bCs w:val="0"/>
      <w:color w:val="006AA4" w:themeColor="accent1"/>
      <w:sz w:val="24"/>
      <w:szCs w:val="28"/>
      <w:lang w:val="en-GB"/>
    </w:rPr>
  </w:style>
  <w:style w:type="paragraph" w:customStyle="1" w:styleId="HeaderCoverPage">
    <w:name w:val="Header Cover Page"/>
    <w:basedOn w:val="Normal"/>
    <w:link w:val="HeaderCoverPageChar"/>
    <w:pPr>
      <w:tabs>
        <w:tab w:val="center" w:pos="4535"/>
        <w:tab w:val="right" w:pos="9071"/>
      </w:tabs>
      <w:spacing w:after="120" w:line="240" w:lineRule="auto"/>
    </w:pPr>
    <w:rPr>
      <w:rFonts w:eastAsiaTheme="majorEastAsia"/>
      <w:color w:val="006AA4" w:themeColor="accent1"/>
      <w:szCs w:val="28"/>
      <w:lang w:val="en-GB"/>
    </w:rPr>
  </w:style>
  <w:style w:type="character" w:customStyle="1" w:styleId="HeaderCoverPageChar">
    <w:name w:val="Header Cover Page Char"/>
    <w:basedOn w:val="berschrift1oNumChar"/>
    <w:link w:val="HeaderCoverPage"/>
    <w:rPr>
      <w:rFonts w:ascii="Arial" w:eastAsiaTheme="majorEastAsia" w:hAnsi="Arial" w:cstheme="majorBidi"/>
      <w:b w:val="0"/>
      <w:bCs w:val="0"/>
      <w:color w:val="006AA4" w:themeColor="accent1"/>
      <w:sz w:val="24"/>
      <w:szCs w:val="28"/>
      <w:lang w:val="en-GB"/>
    </w:rPr>
  </w:style>
  <w:style w:type="paragraph" w:customStyle="1" w:styleId="Contact">
    <w:name w:val="Contact"/>
    <w:basedOn w:val="Normal"/>
    <w:next w:val="Normal"/>
    <w:pPr>
      <w:spacing w:after="480" w:line="240" w:lineRule="auto"/>
      <w:ind w:left="567" w:hanging="567"/>
      <w:jc w:val="left"/>
    </w:pPr>
    <w:rPr>
      <w:rFonts w:eastAsia="Times New Roman"/>
    </w:rPr>
  </w:style>
  <w:style w:type="paragraph" w:customStyle="1" w:styleId="ListBullet1">
    <w:name w:val="List Bullet 1"/>
    <w:basedOn w:val="Normal"/>
    <w:pPr>
      <w:numPr>
        <w:numId w:val="20"/>
      </w:numPr>
      <w:spacing w:after="240" w:line="240" w:lineRule="auto"/>
    </w:pPr>
    <w:rPr>
      <w:rFonts w:eastAsia="Times New Roman"/>
    </w:rPr>
  </w:style>
  <w:style w:type="paragraph" w:customStyle="1" w:styleId="ListDash">
    <w:name w:val="List Dash"/>
    <w:basedOn w:val="Normal"/>
    <w:pPr>
      <w:numPr>
        <w:numId w:val="24"/>
      </w:numPr>
      <w:spacing w:after="240" w:line="240" w:lineRule="auto"/>
    </w:pPr>
    <w:rPr>
      <w:rFonts w:eastAsia="Times New Roman"/>
    </w:rPr>
  </w:style>
  <w:style w:type="paragraph" w:customStyle="1" w:styleId="ListDash1">
    <w:name w:val="List Dash 1"/>
    <w:basedOn w:val="Normal"/>
    <w:pPr>
      <w:numPr>
        <w:numId w:val="25"/>
      </w:numPr>
      <w:spacing w:after="240" w:line="240" w:lineRule="auto"/>
    </w:pPr>
    <w:rPr>
      <w:rFonts w:eastAsia="Times New Roman"/>
    </w:rPr>
  </w:style>
  <w:style w:type="paragraph" w:customStyle="1" w:styleId="ListDash2">
    <w:name w:val="List Dash 2"/>
    <w:basedOn w:val="Normal"/>
    <w:pPr>
      <w:numPr>
        <w:numId w:val="26"/>
      </w:numPr>
      <w:spacing w:after="240" w:line="240" w:lineRule="auto"/>
    </w:pPr>
    <w:rPr>
      <w:rFonts w:eastAsia="Times New Roman"/>
    </w:rPr>
  </w:style>
  <w:style w:type="paragraph" w:customStyle="1" w:styleId="ListDash3">
    <w:name w:val="List Dash 3"/>
    <w:basedOn w:val="Normal"/>
    <w:pPr>
      <w:numPr>
        <w:numId w:val="27"/>
      </w:numPr>
      <w:spacing w:after="240" w:line="240" w:lineRule="auto"/>
    </w:pPr>
    <w:rPr>
      <w:rFonts w:eastAsia="Times New Roman"/>
    </w:rPr>
  </w:style>
  <w:style w:type="paragraph" w:customStyle="1" w:styleId="ListDash4">
    <w:name w:val="List Dash 4"/>
    <w:basedOn w:val="Normal"/>
    <w:pPr>
      <w:numPr>
        <w:numId w:val="28"/>
      </w:numPr>
      <w:spacing w:after="240" w:line="240" w:lineRule="auto"/>
    </w:pPr>
    <w:rPr>
      <w:rFonts w:eastAsia="Times New Roman"/>
    </w:rPr>
  </w:style>
  <w:style w:type="paragraph" w:customStyle="1" w:styleId="ListNumber1">
    <w:name w:val="List Number 1"/>
    <w:basedOn w:val="Normal"/>
    <w:pPr>
      <w:numPr>
        <w:numId w:val="30"/>
      </w:numPr>
      <w:spacing w:after="240" w:line="240" w:lineRule="auto"/>
    </w:pPr>
    <w:rPr>
      <w:rFonts w:eastAsia="Times New Roman"/>
    </w:rPr>
  </w:style>
  <w:style w:type="paragraph" w:customStyle="1" w:styleId="ListNumberLevel2">
    <w:name w:val="List Number (Level 2)"/>
    <w:basedOn w:val="Normal"/>
    <w:pPr>
      <w:numPr>
        <w:ilvl w:val="1"/>
        <w:numId w:val="29"/>
      </w:numPr>
      <w:spacing w:after="240" w:line="240" w:lineRule="auto"/>
    </w:pPr>
    <w:rPr>
      <w:rFonts w:eastAsia="Times New Roman"/>
    </w:rPr>
  </w:style>
  <w:style w:type="paragraph" w:customStyle="1" w:styleId="ListNumber1Level2">
    <w:name w:val="List Number 1 (Level 2)"/>
    <w:basedOn w:val="Normal"/>
    <w:pPr>
      <w:numPr>
        <w:ilvl w:val="1"/>
        <w:numId w:val="30"/>
      </w:numPr>
      <w:spacing w:after="240" w:line="240" w:lineRule="auto"/>
    </w:pPr>
    <w:rPr>
      <w:rFonts w:eastAsia="Times New Roman"/>
    </w:rPr>
  </w:style>
  <w:style w:type="paragraph" w:customStyle="1" w:styleId="ListNumber2Level2">
    <w:name w:val="List Number 2 (Level 2)"/>
    <w:basedOn w:val="Normal"/>
    <w:pPr>
      <w:numPr>
        <w:ilvl w:val="1"/>
        <w:numId w:val="31"/>
      </w:numPr>
      <w:spacing w:after="240" w:line="240" w:lineRule="auto"/>
    </w:pPr>
    <w:rPr>
      <w:rFonts w:eastAsia="Times New Roman"/>
    </w:rPr>
  </w:style>
  <w:style w:type="paragraph" w:customStyle="1" w:styleId="ListNumber3Level2">
    <w:name w:val="List Number 3 (Level 2)"/>
    <w:basedOn w:val="Normal"/>
    <w:pPr>
      <w:numPr>
        <w:ilvl w:val="1"/>
        <w:numId w:val="32"/>
      </w:numPr>
      <w:spacing w:after="240" w:line="240" w:lineRule="auto"/>
    </w:pPr>
    <w:rPr>
      <w:rFonts w:eastAsia="Times New Roman"/>
    </w:rPr>
  </w:style>
  <w:style w:type="paragraph" w:customStyle="1" w:styleId="ListNumber4Level2">
    <w:name w:val="List Number 4 (Level 2)"/>
    <w:basedOn w:val="Normal"/>
    <w:pPr>
      <w:numPr>
        <w:ilvl w:val="1"/>
        <w:numId w:val="33"/>
      </w:numPr>
      <w:spacing w:after="240" w:line="240" w:lineRule="auto"/>
    </w:pPr>
    <w:rPr>
      <w:rFonts w:eastAsia="Times New Roman"/>
    </w:rPr>
  </w:style>
  <w:style w:type="paragraph" w:customStyle="1" w:styleId="ListNumberLevel3">
    <w:name w:val="List Number (Level 3)"/>
    <w:basedOn w:val="Normal"/>
    <w:pPr>
      <w:numPr>
        <w:ilvl w:val="2"/>
        <w:numId w:val="29"/>
      </w:numPr>
      <w:spacing w:after="240" w:line="240" w:lineRule="auto"/>
    </w:pPr>
    <w:rPr>
      <w:rFonts w:eastAsia="Times New Roman"/>
    </w:rPr>
  </w:style>
  <w:style w:type="paragraph" w:customStyle="1" w:styleId="ListNumber1Level3">
    <w:name w:val="List Number 1 (Level 3)"/>
    <w:basedOn w:val="Normal"/>
    <w:pPr>
      <w:numPr>
        <w:ilvl w:val="2"/>
        <w:numId w:val="30"/>
      </w:numPr>
      <w:spacing w:after="240" w:line="240" w:lineRule="auto"/>
    </w:pPr>
    <w:rPr>
      <w:rFonts w:eastAsia="Times New Roman"/>
    </w:rPr>
  </w:style>
  <w:style w:type="paragraph" w:customStyle="1" w:styleId="ListNumber2Level3">
    <w:name w:val="List Number 2 (Level 3)"/>
    <w:basedOn w:val="Normal"/>
    <w:pPr>
      <w:numPr>
        <w:ilvl w:val="2"/>
        <w:numId w:val="31"/>
      </w:numPr>
      <w:spacing w:after="240" w:line="240" w:lineRule="auto"/>
    </w:pPr>
    <w:rPr>
      <w:rFonts w:eastAsia="Times New Roman"/>
    </w:rPr>
  </w:style>
  <w:style w:type="paragraph" w:customStyle="1" w:styleId="ListNumber3Level3">
    <w:name w:val="List Number 3 (Level 3)"/>
    <w:basedOn w:val="Normal"/>
    <w:pPr>
      <w:numPr>
        <w:ilvl w:val="2"/>
        <w:numId w:val="32"/>
      </w:numPr>
      <w:spacing w:after="240" w:line="240" w:lineRule="auto"/>
    </w:pPr>
    <w:rPr>
      <w:rFonts w:eastAsia="Times New Roman"/>
    </w:rPr>
  </w:style>
  <w:style w:type="paragraph" w:customStyle="1" w:styleId="ListNumber4Level3">
    <w:name w:val="List Number 4 (Level 3)"/>
    <w:basedOn w:val="Normal"/>
    <w:pPr>
      <w:numPr>
        <w:ilvl w:val="2"/>
        <w:numId w:val="33"/>
      </w:numPr>
      <w:spacing w:after="240" w:line="240" w:lineRule="auto"/>
    </w:pPr>
    <w:rPr>
      <w:rFonts w:eastAsia="Times New Roman"/>
    </w:rPr>
  </w:style>
  <w:style w:type="paragraph" w:customStyle="1" w:styleId="ListNumberLevel4">
    <w:name w:val="List Number (Level 4)"/>
    <w:basedOn w:val="Normal"/>
    <w:pPr>
      <w:numPr>
        <w:ilvl w:val="3"/>
        <w:numId w:val="29"/>
      </w:numPr>
      <w:spacing w:after="240" w:line="240" w:lineRule="auto"/>
    </w:pPr>
    <w:rPr>
      <w:rFonts w:eastAsia="Times New Roman"/>
    </w:rPr>
  </w:style>
  <w:style w:type="paragraph" w:customStyle="1" w:styleId="ListNumber1Level4">
    <w:name w:val="List Number 1 (Level 4)"/>
    <w:basedOn w:val="Normal"/>
    <w:pPr>
      <w:numPr>
        <w:ilvl w:val="3"/>
        <w:numId w:val="30"/>
      </w:numPr>
      <w:spacing w:after="240" w:line="240" w:lineRule="auto"/>
    </w:pPr>
    <w:rPr>
      <w:rFonts w:eastAsia="Times New Roman"/>
    </w:rPr>
  </w:style>
  <w:style w:type="paragraph" w:customStyle="1" w:styleId="ListNumber2Level4">
    <w:name w:val="List Number 2 (Level 4)"/>
    <w:basedOn w:val="Normal"/>
    <w:pPr>
      <w:numPr>
        <w:ilvl w:val="3"/>
        <w:numId w:val="31"/>
      </w:numPr>
      <w:spacing w:after="240" w:line="240" w:lineRule="auto"/>
    </w:pPr>
    <w:rPr>
      <w:rFonts w:eastAsia="Times New Roman"/>
    </w:rPr>
  </w:style>
  <w:style w:type="paragraph" w:customStyle="1" w:styleId="ListNumber3Level4">
    <w:name w:val="List Number 3 (Level 4)"/>
    <w:basedOn w:val="Normal"/>
    <w:pPr>
      <w:numPr>
        <w:ilvl w:val="3"/>
        <w:numId w:val="32"/>
      </w:numPr>
      <w:spacing w:after="240" w:line="240" w:lineRule="auto"/>
    </w:pPr>
    <w:rPr>
      <w:rFonts w:eastAsia="Times New Roman"/>
    </w:rPr>
  </w:style>
  <w:style w:type="paragraph" w:customStyle="1" w:styleId="ListNumber4Level4">
    <w:name w:val="List Number 4 (Level 4)"/>
    <w:basedOn w:val="Normal"/>
    <w:pPr>
      <w:numPr>
        <w:ilvl w:val="3"/>
        <w:numId w:val="33"/>
      </w:numPr>
      <w:spacing w:after="240" w:line="240" w:lineRule="auto"/>
    </w:pPr>
    <w:rPr>
      <w:rFonts w:eastAsia="Times New Roman"/>
    </w:rPr>
  </w:style>
  <w:style w:type="table" w:customStyle="1" w:styleId="HelleListe-Akzent11">
    <w:name w:val="Helle Liste - Akzent 11"/>
    <w:basedOn w:val="TableNormal"/>
    <w:uiPriority w:val="61"/>
    <w:pPr>
      <w:spacing w:after="0" w:line="240" w:lineRule="auto"/>
    </w:pPr>
    <w:tblPr>
      <w:tblStyleRowBandSize w:val="1"/>
      <w:tblStyleColBandSize w:val="1"/>
      <w:tblInd w:w="0" w:type="dxa"/>
      <w:tblBorders>
        <w:top w:val="single" w:sz="8" w:space="0" w:color="006AA4" w:themeColor="accent1"/>
        <w:left w:val="single" w:sz="8" w:space="0" w:color="006AA4" w:themeColor="accent1"/>
        <w:bottom w:val="single" w:sz="8" w:space="0" w:color="006AA4" w:themeColor="accent1"/>
        <w:right w:val="single" w:sz="8" w:space="0" w:color="006AA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6AA4" w:themeFill="accent1"/>
      </w:tcPr>
    </w:tblStylePr>
    <w:tblStylePr w:type="lastRow">
      <w:pPr>
        <w:spacing w:before="0" w:after="0" w:line="240" w:lineRule="auto"/>
      </w:pPr>
      <w:rPr>
        <w:b/>
        <w:bCs/>
      </w:rPr>
      <w:tblPr/>
      <w:tcPr>
        <w:tcBorders>
          <w:top w:val="double" w:sz="6" w:space="0" w:color="006AA4" w:themeColor="accent1"/>
          <w:left w:val="single" w:sz="8" w:space="0" w:color="006AA4" w:themeColor="accent1"/>
          <w:bottom w:val="single" w:sz="8" w:space="0" w:color="006AA4" w:themeColor="accent1"/>
          <w:right w:val="single" w:sz="8" w:space="0" w:color="006AA4" w:themeColor="accent1"/>
        </w:tcBorders>
      </w:tcPr>
    </w:tblStylePr>
    <w:tblStylePr w:type="firstCol">
      <w:rPr>
        <w:b/>
        <w:bCs/>
      </w:rPr>
    </w:tblStylePr>
    <w:tblStylePr w:type="lastCol">
      <w:rPr>
        <w:b/>
        <w:bCs/>
      </w:rPr>
    </w:tblStylePr>
    <w:tblStylePr w:type="band1Vert">
      <w:tblPr/>
      <w:tcPr>
        <w:tcBorders>
          <w:top w:val="single" w:sz="8" w:space="0" w:color="006AA4" w:themeColor="accent1"/>
          <w:left w:val="single" w:sz="8" w:space="0" w:color="006AA4" w:themeColor="accent1"/>
          <w:bottom w:val="single" w:sz="8" w:space="0" w:color="006AA4" w:themeColor="accent1"/>
          <w:right w:val="single" w:sz="8" w:space="0" w:color="006AA4" w:themeColor="accent1"/>
        </w:tcBorders>
      </w:tcPr>
    </w:tblStylePr>
    <w:tblStylePr w:type="band1Horz">
      <w:pPr>
        <w:wordWrap/>
        <w:spacing w:beforeLines="0" w:beforeAutospacing="0" w:afterLines="0" w:afterAutospacing="0" w:line="240" w:lineRule="auto"/>
        <w:ind w:rightChars="0" w:right="0"/>
      </w:pPr>
      <w:tblPr/>
      <w:tcPr>
        <w:tcBorders>
          <w:top w:val="single" w:sz="8" w:space="0" w:color="006AA4" w:themeColor="accent1"/>
          <w:left w:val="single" w:sz="8" w:space="0" w:color="006AA4" w:themeColor="accent1"/>
          <w:bottom w:val="single" w:sz="8" w:space="0" w:color="006AA4" w:themeColor="accent1"/>
          <w:right w:val="single" w:sz="8" w:space="0" w:color="006AA4" w:themeColor="accent1"/>
        </w:tcBorders>
      </w:tcPr>
    </w:tblStylePr>
    <w:tblStylePr w:type="band2Horz">
      <w:pPr>
        <w:wordWrap/>
        <w:spacing w:beforeLines="0" w:beforeAutospacing="0" w:afterLines="0" w:afterAutospacing="0" w:line="240" w:lineRule="auto"/>
        <w:ind w:leftChars="0" w:left="0" w:rightChars="0" w:right="0" w:firstLineChars="0" w:firstLine="0"/>
      </w:pPr>
    </w:tblStylePr>
  </w:style>
  <w:style w:type="paragraph" w:customStyle="1" w:styleId="font5">
    <w:name w:val="font5"/>
    <w:basedOn w:val="Normal"/>
    <w:pPr>
      <w:spacing w:before="100" w:beforeAutospacing="1" w:after="100" w:afterAutospacing="1" w:line="240" w:lineRule="auto"/>
      <w:jc w:val="left"/>
    </w:pPr>
    <w:rPr>
      <w:rFonts w:ascii="Tahoma" w:eastAsia="Times New Roman" w:hAnsi="Tahoma" w:cs="Tahoma"/>
      <w:color w:val="000000"/>
      <w:sz w:val="18"/>
      <w:szCs w:val="18"/>
      <w:lang w:eastAsia="de-DE"/>
    </w:rPr>
  </w:style>
  <w:style w:type="paragraph" w:customStyle="1" w:styleId="font6">
    <w:name w:val="font6"/>
    <w:basedOn w:val="Normal"/>
    <w:pPr>
      <w:spacing w:before="100" w:beforeAutospacing="1" w:after="100" w:afterAutospacing="1" w:line="240" w:lineRule="auto"/>
      <w:jc w:val="left"/>
    </w:pPr>
    <w:rPr>
      <w:rFonts w:ascii="Tahoma" w:eastAsia="Times New Roman" w:hAnsi="Tahoma" w:cs="Tahoma"/>
      <w:b/>
      <w:bCs/>
      <w:color w:val="000000"/>
      <w:sz w:val="18"/>
      <w:szCs w:val="18"/>
      <w:lang w:eastAsia="de-DE"/>
    </w:rPr>
  </w:style>
  <w:style w:type="paragraph" w:customStyle="1" w:styleId="xl77">
    <w:name w:val="xl77"/>
    <w:basedOn w:val="Normal"/>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eastAsia="Times New Roman" w:cs="Arial"/>
      <w:b/>
      <w:bCs/>
      <w:sz w:val="16"/>
      <w:szCs w:val="16"/>
      <w:lang w:eastAsia="de-DE"/>
    </w:rPr>
  </w:style>
  <w:style w:type="paragraph" w:customStyle="1" w:styleId="xl78">
    <w:name w:val="xl78"/>
    <w:basedOn w:val="Normal"/>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left"/>
      <w:textAlignment w:val="center"/>
    </w:pPr>
    <w:rPr>
      <w:rFonts w:eastAsia="Times New Roman" w:cs="Arial"/>
      <w:sz w:val="16"/>
      <w:szCs w:val="16"/>
      <w:lang w:eastAsia="de-DE"/>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color w:val="000000"/>
      <w:sz w:val="16"/>
      <w:szCs w:val="16"/>
      <w:lang w:eastAsia="de-DE"/>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color w:val="000000"/>
      <w:sz w:val="16"/>
      <w:szCs w:val="16"/>
      <w:lang w:eastAsia="de-DE"/>
    </w:rPr>
  </w:style>
  <w:style w:type="paragraph" w:customStyle="1" w:styleId="xl81">
    <w:name w:val="xl81"/>
    <w:basedOn w:val="Normal"/>
    <w:pPr>
      <w:pBdr>
        <w:top w:val="single" w:sz="4" w:space="0" w:color="000000"/>
        <w:left w:val="single" w:sz="4" w:space="0" w:color="000000"/>
      </w:pBdr>
      <w:spacing w:before="100" w:beforeAutospacing="1" w:after="100" w:afterAutospacing="1" w:line="240" w:lineRule="auto"/>
      <w:jc w:val="center"/>
      <w:textAlignment w:val="center"/>
    </w:pPr>
    <w:rPr>
      <w:rFonts w:eastAsia="Times New Roman" w:cs="Arial"/>
      <w:b/>
      <w:bCs/>
      <w:sz w:val="16"/>
      <w:szCs w:val="16"/>
      <w:lang w:eastAsia="de-DE"/>
    </w:rPr>
  </w:style>
  <w:style w:type="paragraph" w:customStyle="1" w:styleId="xl82">
    <w:name w:val="xl82"/>
    <w:basedOn w:val="Normal"/>
    <w:pPr>
      <w:pBdr>
        <w:left w:val="single" w:sz="4" w:space="0" w:color="000000"/>
      </w:pBdr>
      <w:spacing w:before="100" w:beforeAutospacing="1" w:after="100" w:afterAutospacing="1" w:line="240" w:lineRule="auto"/>
      <w:jc w:val="center"/>
      <w:textAlignment w:val="center"/>
    </w:pPr>
    <w:rPr>
      <w:rFonts w:eastAsia="Times New Roman" w:cs="Arial"/>
      <w:b/>
      <w:bCs/>
      <w:sz w:val="16"/>
      <w:szCs w:val="16"/>
      <w:lang w:eastAsia="de-DE"/>
    </w:rPr>
  </w:style>
  <w:style w:type="paragraph" w:customStyle="1" w:styleId="xl83">
    <w:name w:val="xl83"/>
    <w:basedOn w:val="Normal"/>
    <w:pPr>
      <w:pBdr>
        <w:left w:val="single" w:sz="4" w:space="0" w:color="000000"/>
        <w:bottom w:val="single" w:sz="4" w:space="0" w:color="000000"/>
      </w:pBdr>
      <w:spacing w:before="100" w:beforeAutospacing="1" w:after="100" w:afterAutospacing="1" w:line="240" w:lineRule="auto"/>
      <w:jc w:val="center"/>
      <w:textAlignment w:val="center"/>
    </w:pPr>
    <w:rPr>
      <w:rFonts w:eastAsia="Times New Roman" w:cs="Arial"/>
      <w:b/>
      <w:bCs/>
      <w:sz w:val="16"/>
      <w:szCs w:val="16"/>
      <w:lang w:eastAsia="de-DE"/>
    </w:rPr>
  </w:style>
  <w:style w:type="paragraph" w:customStyle="1" w:styleId="xl84">
    <w:name w:val="xl84"/>
    <w:basedOn w:val="Normal"/>
    <w:pPr>
      <w:pBdr>
        <w:top w:val="single" w:sz="4" w:space="0" w:color="000000"/>
        <w:left w:val="single" w:sz="4" w:space="0" w:color="000000"/>
        <w:bottom w:val="single" w:sz="4" w:space="0" w:color="000000"/>
      </w:pBdr>
      <w:spacing w:before="100" w:beforeAutospacing="1" w:after="100" w:afterAutospacing="1" w:line="240" w:lineRule="auto"/>
      <w:jc w:val="left"/>
      <w:textAlignment w:val="center"/>
    </w:pPr>
    <w:rPr>
      <w:rFonts w:eastAsia="Times New Roman" w:cs="Arial"/>
      <w:sz w:val="16"/>
      <w:szCs w:val="16"/>
      <w:lang w:eastAsia="de-DE"/>
    </w:rPr>
  </w:style>
  <w:style w:type="paragraph" w:customStyle="1" w:styleId="xl85">
    <w:name w:val="xl85"/>
    <w:basedOn w:val="Normal"/>
    <w:pPr>
      <w:pBdr>
        <w:top w:val="single" w:sz="4" w:space="0" w:color="000000"/>
        <w:left w:val="single" w:sz="4" w:space="0" w:color="000000"/>
      </w:pBdr>
      <w:spacing w:before="100" w:beforeAutospacing="1" w:after="100" w:afterAutospacing="1" w:line="240" w:lineRule="auto"/>
      <w:jc w:val="left"/>
      <w:textAlignment w:val="center"/>
    </w:pPr>
    <w:rPr>
      <w:rFonts w:eastAsia="Times New Roman" w:cs="Arial"/>
      <w:sz w:val="16"/>
      <w:szCs w:val="16"/>
      <w:lang w:eastAsia="de-DE"/>
    </w:rPr>
  </w:style>
  <w:style w:type="paragraph" w:customStyle="1" w:styleId="xl86">
    <w:name w:val="xl86"/>
    <w:basedOn w:val="Normal"/>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cs="Arial"/>
      <w:color w:val="000000"/>
      <w:sz w:val="16"/>
      <w:szCs w:val="16"/>
      <w:lang w:eastAsia="de-DE"/>
    </w:rPr>
  </w:style>
  <w:style w:type="paragraph" w:customStyle="1" w:styleId="xl87">
    <w:name w:val="xl87"/>
    <w:basedOn w:val="Normal"/>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cs="Arial"/>
      <w:color w:val="000000"/>
      <w:sz w:val="16"/>
      <w:szCs w:val="16"/>
      <w:lang w:eastAsia="de-DE"/>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de-DE"/>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6"/>
      <w:szCs w:val="16"/>
      <w:lang w:eastAsia="de-DE"/>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Arial"/>
      <w:b/>
      <w:bCs/>
      <w:sz w:val="16"/>
      <w:szCs w:val="16"/>
      <w:lang w:eastAsia="de-DE"/>
    </w:rPr>
  </w:style>
  <w:style w:type="paragraph" w:customStyle="1" w:styleId="xl91">
    <w:name w:val="xl91"/>
    <w:basedOn w:val="Normal"/>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left"/>
      <w:textAlignment w:val="center"/>
    </w:pPr>
    <w:rPr>
      <w:rFonts w:eastAsia="Times New Roman" w:cs="Arial"/>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27088">
      <w:bodyDiv w:val="1"/>
      <w:marLeft w:val="0"/>
      <w:marRight w:val="0"/>
      <w:marTop w:val="0"/>
      <w:marBottom w:val="0"/>
      <w:divBdr>
        <w:top w:val="none" w:sz="0" w:space="0" w:color="auto"/>
        <w:left w:val="none" w:sz="0" w:space="0" w:color="auto"/>
        <w:bottom w:val="none" w:sz="0" w:space="0" w:color="auto"/>
        <w:right w:val="none" w:sz="0" w:space="0" w:color="auto"/>
      </w:divBdr>
    </w:div>
    <w:div w:id="267205537">
      <w:bodyDiv w:val="1"/>
      <w:marLeft w:val="0"/>
      <w:marRight w:val="0"/>
      <w:marTop w:val="0"/>
      <w:marBottom w:val="0"/>
      <w:divBdr>
        <w:top w:val="none" w:sz="0" w:space="0" w:color="auto"/>
        <w:left w:val="none" w:sz="0" w:space="0" w:color="auto"/>
        <w:bottom w:val="none" w:sz="0" w:space="0" w:color="auto"/>
        <w:right w:val="none" w:sz="0" w:space="0" w:color="auto"/>
      </w:divBdr>
    </w:div>
    <w:div w:id="293488953">
      <w:bodyDiv w:val="1"/>
      <w:marLeft w:val="0"/>
      <w:marRight w:val="0"/>
      <w:marTop w:val="0"/>
      <w:marBottom w:val="0"/>
      <w:divBdr>
        <w:top w:val="none" w:sz="0" w:space="0" w:color="auto"/>
        <w:left w:val="none" w:sz="0" w:space="0" w:color="auto"/>
        <w:bottom w:val="none" w:sz="0" w:space="0" w:color="auto"/>
        <w:right w:val="none" w:sz="0" w:space="0" w:color="auto"/>
      </w:divBdr>
    </w:div>
    <w:div w:id="304361379">
      <w:bodyDiv w:val="1"/>
      <w:marLeft w:val="0"/>
      <w:marRight w:val="0"/>
      <w:marTop w:val="0"/>
      <w:marBottom w:val="0"/>
      <w:divBdr>
        <w:top w:val="none" w:sz="0" w:space="0" w:color="auto"/>
        <w:left w:val="none" w:sz="0" w:space="0" w:color="auto"/>
        <w:bottom w:val="none" w:sz="0" w:space="0" w:color="auto"/>
        <w:right w:val="none" w:sz="0" w:space="0" w:color="auto"/>
      </w:divBdr>
    </w:div>
    <w:div w:id="315959723">
      <w:bodyDiv w:val="1"/>
      <w:marLeft w:val="0"/>
      <w:marRight w:val="0"/>
      <w:marTop w:val="0"/>
      <w:marBottom w:val="0"/>
      <w:divBdr>
        <w:top w:val="none" w:sz="0" w:space="0" w:color="auto"/>
        <w:left w:val="none" w:sz="0" w:space="0" w:color="auto"/>
        <w:bottom w:val="none" w:sz="0" w:space="0" w:color="auto"/>
        <w:right w:val="none" w:sz="0" w:space="0" w:color="auto"/>
      </w:divBdr>
    </w:div>
    <w:div w:id="330836062">
      <w:bodyDiv w:val="1"/>
      <w:marLeft w:val="0"/>
      <w:marRight w:val="0"/>
      <w:marTop w:val="0"/>
      <w:marBottom w:val="0"/>
      <w:divBdr>
        <w:top w:val="none" w:sz="0" w:space="0" w:color="auto"/>
        <w:left w:val="none" w:sz="0" w:space="0" w:color="auto"/>
        <w:bottom w:val="none" w:sz="0" w:space="0" w:color="auto"/>
        <w:right w:val="none" w:sz="0" w:space="0" w:color="auto"/>
      </w:divBdr>
    </w:div>
    <w:div w:id="356857073">
      <w:bodyDiv w:val="1"/>
      <w:marLeft w:val="0"/>
      <w:marRight w:val="0"/>
      <w:marTop w:val="0"/>
      <w:marBottom w:val="0"/>
      <w:divBdr>
        <w:top w:val="none" w:sz="0" w:space="0" w:color="auto"/>
        <w:left w:val="none" w:sz="0" w:space="0" w:color="auto"/>
        <w:bottom w:val="none" w:sz="0" w:space="0" w:color="auto"/>
        <w:right w:val="none" w:sz="0" w:space="0" w:color="auto"/>
      </w:divBdr>
    </w:div>
    <w:div w:id="361708275">
      <w:bodyDiv w:val="1"/>
      <w:marLeft w:val="0"/>
      <w:marRight w:val="0"/>
      <w:marTop w:val="0"/>
      <w:marBottom w:val="0"/>
      <w:divBdr>
        <w:top w:val="none" w:sz="0" w:space="0" w:color="auto"/>
        <w:left w:val="none" w:sz="0" w:space="0" w:color="auto"/>
        <w:bottom w:val="none" w:sz="0" w:space="0" w:color="auto"/>
        <w:right w:val="none" w:sz="0" w:space="0" w:color="auto"/>
      </w:divBdr>
    </w:div>
    <w:div w:id="377555792">
      <w:bodyDiv w:val="1"/>
      <w:marLeft w:val="0"/>
      <w:marRight w:val="0"/>
      <w:marTop w:val="0"/>
      <w:marBottom w:val="0"/>
      <w:divBdr>
        <w:top w:val="none" w:sz="0" w:space="0" w:color="auto"/>
        <w:left w:val="none" w:sz="0" w:space="0" w:color="auto"/>
        <w:bottom w:val="none" w:sz="0" w:space="0" w:color="auto"/>
        <w:right w:val="none" w:sz="0" w:space="0" w:color="auto"/>
      </w:divBdr>
    </w:div>
    <w:div w:id="450589867">
      <w:bodyDiv w:val="1"/>
      <w:marLeft w:val="0"/>
      <w:marRight w:val="0"/>
      <w:marTop w:val="0"/>
      <w:marBottom w:val="0"/>
      <w:divBdr>
        <w:top w:val="none" w:sz="0" w:space="0" w:color="auto"/>
        <w:left w:val="none" w:sz="0" w:space="0" w:color="auto"/>
        <w:bottom w:val="none" w:sz="0" w:space="0" w:color="auto"/>
        <w:right w:val="none" w:sz="0" w:space="0" w:color="auto"/>
      </w:divBdr>
    </w:div>
    <w:div w:id="473911279">
      <w:bodyDiv w:val="1"/>
      <w:marLeft w:val="0"/>
      <w:marRight w:val="0"/>
      <w:marTop w:val="0"/>
      <w:marBottom w:val="0"/>
      <w:divBdr>
        <w:top w:val="none" w:sz="0" w:space="0" w:color="auto"/>
        <w:left w:val="none" w:sz="0" w:space="0" w:color="auto"/>
        <w:bottom w:val="none" w:sz="0" w:space="0" w:color="auto"/>
        <w:right w:val="none" w:sz="0" w:space="0" w:color="auto"/>
      </w:divBdr>
    </w:div>
    <w:div w:id="490364825">
      <w:bodyDiv w:val="1"/>
      <w:marLeft w:val="0"/>
      <w:marRight w:val="0"/>
      <w:marTop w:val="0"/>
      <w:marBottom w:val="0"/>
      <w:divBdr>
        <w:top w:val="none" w:sz="0" w:space="0" w:color="auto"/>
        <w:left w:val="none" w:sz="0" w:space="0" w:color="auto"/>
        <w:bottom w:val="none" w:sz="0" w:space="0" w:color="auto"/>
        <w:right w:val="none" w:sz="0" w:space="0" w:color="auto"/>
      </w:divBdr>
    </w:div>
    <w:div w:id="554396748">
      <w:bodyDiv w:val="1"/>
      <w:marLeft w:val="0"/>
      <w:marRight w:val="0"/>
      <w:marTop w:val="0"/>
      <w:marBottom w:val="0"/>
      <w:divBdr>
        <w:top w:val="none" w:sz="0" w:space="0" w:color="auto"/>
        <w:left w:val="none" w:sz="0" w:space="0" w:color="auto"/>
        <w:bottom w:val="none" w:sz="0" w:space="0" w:color="auto"/>
        <w:right w:val="none" w:sz="0" w:space="0" w:color="auto"/>
      </w:divBdr>
    </w:div>
    <w:div w:id="566646240">
      <w:bodyDiv w:val="1"/>
      <w:marLeft w:val="0"/>
      <w:marRight w:val="0"/>
      <w:marTop w:val="0"/>
      <w:marBottom w:val="0"/>
      <w:divBdr>
        <w:top w:val="none" w:sz="0" w:space="0" w:color="auto"/>
        <w:left w:val="none" w:sz="0" w:space="0" w:color="auto"/>
        <w:bottom w:val="none" w:sz="0" w:space="0" w:color="auto"/>
        <w:right w:val="none" w:sz="0" w:space="0" w:color="auto"/>
      </w:divBdr>
    </w:div>
    <w:div w:id="601300112">
      <w:bodyDiv w:val="1"/>
      <w:marLeft w:val="0"/>
      <w:marRight w:val="0"/>
      <w:marTop w:val="0"/>
      <w:marBottom w:val="0"/>
      <w:divBdr>
        <w:top w:val="none" w:sz="0" w:space="0" w:color="auto"/>
        <w:left w:val="none" w:sz="0" w:space="0" w:color="auto"/>
        <w:bottom w:val="none" w:sz="0" w:space="0" w:color="auto"/>
        <w:right w:val="none" w:sz="0" w:space="0" w:color="auto"/>
      </w:divBdr>
    </w:div>
    <w:div w:id="832532293">
      <w:bodyDiv w:val="1"/>
      <w:marLeft w:val="0"/>
      <w:marRight w:val="0"/>
      <w:marTop w:val="0"/>
      <w:marBottom w:val="0"/>
      <w:divBdr>
        <w:top w:val="none" w:sz="0" w:space="0" w:color="auto"/>
        <w:left w:val="none" w:sz="0" w:space="0" w:color="auto"/>
        <w:bottom w:val="none" w:sz="0" w:space="0" w:color="auto"/>
        <w:right w:val="none" w:sz="0" w:space="0" w:color="auto"/>
      </w:divBdr>
    </w:div>
    <w:div w:id="835801861">
      <w:bodyDiv w:val="1"/>
      <w:marLeft w:val="0"/>
      <w:marRight w:val="0"/>
      <w:marTop w:val="0"/>
      <w:marBottom w:val="0"/>
      <w:divBdr>
        <w:top w:val="none" w:sz="0" w:space="0" w:color="auto"/>
        <w:left w:val="none" w:sz="0" w:space="0" w:color="auto"/>
        <w:bottom w:val="none" w:sz="0" w:space="0" w:color="auto"/>
        <w:right w:val="none" w:sz="0" w:space="0" w:color="auto"/>
      </w:divBdr>
    </w:div>
    <w:div w:id="843010803">
      <w:bodyDiv w:val="1"/>
      <w:marLeft w:val="0"/>
      <w:marRight w:val="0"/>
      <w:marTop w:val="0"/>
      <w:marBottom w:val="0"/>
      <w:divBdr>
        <w:top w:val="none" w:sz="0" w:space="0" w:color="auto"/>
        <w:left w:val="none" w:sz="0" w:space="0" w:color="auto"/>
        <w:bottom w:val="none" w:sz="0" w:space="0" w:color="auto"/>
        <w:right w:val="none" w:sz="0" w:space="0" w:color="auto"/>
      </w:divBdr>
    </w:div>
    <w:div w:id="881677027">
      <w:bodyDiv w:val="1"/>
      <w:marLeft w:val="0"/>
      <w:marRight w:val="0"/>
      <w:marTop w:val="0"/>
      <w:marBottom w:val="0"/>
      <w:divBdr>
        <w:top w:val="none" w:sz="0" w:space="0" w:color="auto"/>
        <w:left w:val="none" w:sz="0" w:space="0" w:color="auto"/>
        <w:bottom w:val="none" w:sz="0" w:space="0" w:color="auto"/>
        <w:right w:val="none" w:sz="0" w:space="0" w:color="auto"/>
      </w:divBdr>
    </w:div>
    <w:div w:id="883443012">
      <w:bodyDiv w:val="1"/>
      <w:marLeft w:val="0"/>
      <w:marRight w:val="0"/>
      <w:marTop w:val="0"/>
      <w:marBottom w:val="0"/>
      <w:divBdr>
        <w:top w:val="none" w:sz="0" w:space="0" w:color="auto"/>
        <w:left w:val="none" w:sz="0" w:space="0" w:color="auto"/>
        <w:bottom w:val="none" w:sz="0" w:space="0" w:color="auto"/>
        <w:right w:val="none" w:sz="0" w:space="0" w:color="auto"/>
      </w:divBdr>
    </w:div>
    <w:div w:id="906189396">
      <w:bodyDiv w:val="1"/>
      <w:marLeft w:val="0"/>
      <w:marRight w:val="0"/>
      <w:marTop w:val="0"/>
      <w:marBottom w:val="0"/>
      <w:divBdr>
        <w:top w:val="none" w:sz="0" w:space="0" w:color="auto"/>
        <w:left w:val="none" w:sz="0" w:space="0" w:color="auto"/>
        <w:bottom w:val="none" w:sz="0" w:space="0" w:color="auto"/>
        <w:right w:val="none" w:sz="0" w:space="0" w:color="auto"/>
      </w:divBdr>
    </w:div>
    <w:div w:id="907300642">
      <w:bodyDiv w:val="1"/>
      <w:marLeft w:val="0"/>
      <w:marRight w:val="0"/>
      <w:marTop w:val="0"/>
      <w:marBottom w:val="0"/>
      <w:divBdr>
        <w:top w:val="none" w:sz="0" w:space="0" w:color="auto"/>
        <w:left w:val="none" w:sz="0" w:space="0" w:color="auto"/>
        <w:bottom w:val="none" w:sz="0" w:space="0" w:color="auto"/>
        <w:right w:val="none" w:sz="0" w:space="0" w:color="auto"/>
      </w:divBdr>
      <w:divsChild>
        <w:div w:id="1261452981">
          <w:marLeft w:val="0"/>
          <w:marRight w:val="0"/>
          <w:marTop w:val="0"/>
          <w:marBottom w:val="0"/>
          <w:divBdr>
            <w:top w:val="none" w:sz="0" w:space="0" w:color="auto"/>
            <w:left w:val="none" w:sz="0" w:space="0" w:color="auto"/>
            <w:bottom w:val="none" w:sz="0" w:space="0" w:color="auto"/>
            <w:right w:val="none" w:sz="0" w:space="0" w:color="auto"/>
          </w:divBdr>
          <w:divsChild>
            <w:div w:id="13349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97944">
      <w:bodyDiv w:val="1"/>
      <w:marLeft w:val="0"/>
      <w:marRight w:val="0"/>
      <w:marTop w:val="0"/>
      <w:marBottom w:val="0"/>
      <w:divBdr>
        <w:top w:val="none" w:sz="0" w:space="0" w:color="auto"/>
        <w:left w:val="none" w:sz="0" w:space="0" w:color="auto"/>
        <w:bottom w:val="none" w:sz="0" w:space="0" w:color="auto"/>
        <w:right w:val="none" w:sz="0" w:space="0" w:color="auto"/>
      </w:divBdr>
    </w:div>
    <w:div w:id="994142721">
      <w:bodyDiv w:val="1"/>
      <w:marLeft w:val="0"/>
      <w:marRight w:val="0"/>
      <w:marTop w:val="0"/>
      <w:marBottom w:val="0"/>
      <w:divBdr>
        <w:top w:val="none" w:sz="0" w:space="0" w:color="auto"/>
        <w:left w:val="none" w:sz="0" w:space="0" w:color="auto"/>
        <w:bottom w:val="none" w:sz="0" w:space="0" w:color="auto"/>
        <w:right w:val="none" w:sz="0" w:space="0" w:color="auto"/>
      </w:divBdr>
    </w:div>
    <w:div w:id="1034497077">
      <w:bodyDiv w:val="1"/>
      <w:marLeft w:val="0"/>
      <w:marRight w:val="0"/>
      <w:marTop w:val="0"/>
      <w:marBottom w:val="0"/>
      <w:divBdr>
        <w:top w:val="none" w:sz="0" w:space="0" w:color="auto"/>
        <w:left w:val="none" w:sz="0" w:space="0" w:color="auto"/>
        <w:bottom w:val="none" w:sz="0" w:space="0" w:color="auto"/>
        <w:right w:val="none" w:sz="0" w:space="0" w:color="auto"/>
      </w:divBdr>
    </w:div>
    <w:div w:id="1108239804">
      <w:bodyDiv w:val="1"/>
      <w:marLeft w:val="0"/>
      <w:marRight w:val="0"/>
      <w:marTop w:val="0"/>
      <w:marBottom w:val="0"/>
      <w:divBdr>
        <w:top w:val="none" w:sz="0" w:space="0" w:color="auto"/>
        <w:left w:val="none" w:sz="0" w:space="0" w:color="auto"/>
        <w:bottom w:val="none" w:sz="0" w:space="0" w:color="auto"/>
        <w:right w:val="none" w:sz="0" w:space="0" w:color="auto"/>
      </w:divBdr>
    </w:div>
    <w:div w:id="1134179289">
      <w:bodyDiv w:val="1"/>
      <w:marLeft w:val="0"/>
      <w:marRight w:val="0"/>
      <w:marTop w:val="0"/>
      <w:marBottom w:val="0"/>
      <w:divBdr>
        <w:top w:val="none" w:sz="0" w:space="0" w:color="auto"/>
        <w:left w:val="none" w:sz="0" w:space="0" w:color="auto"/>
        <w:bottom w:val="none" w:sz="0" w:space="0" w:color="auto"/>
        <w:right w:val="none" w:sz="0" w:space="0" w:color="auto"/>
      </w:divBdr>
    </w:div>
    <w:div w:id="1174497087">
      <w:bodyDiv w:val="1"/>
      <w:marLeft w:val="0"/>
      <w:marRight w:val="0"/>
      <w:marTop w:val="0"/>
      <w:marBottom w:val="0"/>
      <w:divBdr>
        <w:top w:val="none" w:sz="0" w:space="0" w:color="auto"/>
        <w:left w:val="none" w:sz="0" w:space="0" w:color="auto"/>
        <w:bottom w:val="none" w:sz="0" w:space="0" w:color="auto"/>
        <w:right w:val="none" w:sz="0" w:space="0" w:color="auto"/>
      </w:divBdr>
    </w:div>
    <w:div w:id="1208839371">
      <w:bodyDiv w:val="1"/>
      <w:marLeft w:val="0"/>
      <w:marRight w:val="0"/>
      <w:marTop w:val="0"/>
      <w:marBottom w:val="0"/>
      <w:divBdr>
        <w:top w:val="none" w:sz="0" w:space="0" w:color="auto"/>
        <w:left w:val="none" w:sz="0" w:space="0" w:color="auto"/>
        <w:bottom w:val="none" w:sz="0" w:space="0" w:color="auto"/>
        <w:right w:val="none" w:sz="0" w:space="0" w:color="auto"/>
      </w:divBdr>
    </w:div>
    <w:div w:id="1213882054">
      <w:bodyDiv w:val="1"/>
      <w:marLeft w:val="0"/>
      <w:marRight w:val="0"/>
      <w:marTop w:val="0"/>
      <w:marBottom w:val="0"/>
      <w:divBdr>
        <w:top w:val="none" w:sz="0" w:space="0" w:color="auto"/>
        <w:left w:val="none" w:sz="0" w:space="0" w:color="auto"/>
        <w:bottom w:val="none" w:sz="0" w:space="0" w:color="auto"/>
        <w:right w:val="none" w:sz="0" w:space="0" w:color="auto"/>
      </w:divBdr>
    </w:div>
    <w:div w:id="1226913865">
      <w:bodyDiv w:val="1"/>
      <w:marLeft w:val="0"/>
      <w:marRight w:val="0"/>
      <w:marTop w:val="0"/>
      <w:marBottom w:val="0"/>
      <w:divBdr>
        <w:top w:val="none" w:sz="0" w:space="0" w:color="auto"/>
        <w:left w:val="none" w:sz="0" w:space="0" w:color="auto"/>
        <w:bottom w:val="none" w:sz="0" w:space="0" w:color="auto"/>
        <w:right w:val="none" w:sz="0" w:space="0" w:color="auto"/>
      </w:divBdr>
    </w:div>
    <w:div w:id="1246846085">
      <w:bodyDiv w:val="1"/>
      <w:marLeft w:val="0"/>
      <w:marRight w:val="0"/>
      <w:marTop w:val="0"/>
      <w:marBottom w:val="0"/>
      <w:divBdr>
        <w:top w:val="none" w:sz="0" w:space="0" w:color="auto"/>
        <w:left w:val="none" w:sz="0" w:space="0" w:color="auto"/>
        <w:bottom w:val="none" w:sz="0" w:space="0" w:color="auto"/>
        <w:right w:val="none" w:sz="0" w:space="0" w:color="auto"/>
      </w:divBdr>
    </w:div>
    <w:div w:id="1273246731">
      <w:bodyDiv w:val="1"/>
      <w:marLeft w:val="0"/>
      <w:marRight w:val="0"/>
      <w:marTop w:val="0"/>
      <w:marBottom w:val="0"/>
      <w:divBdr>
        <w:top w:val="none" w:sz="0" w:space="0" w:color="auto"/>
        <w:left w:val="none" w:sz="0" w:space="0" w:color="auto"/>
        <w:bottom w:val="none" w:sz="0" w:space="0" w:color="auto"/>
        <w:right w:val="none" w:sz="0" w:space="0" w:color="auto"/>
      </w:divBdr>
      <w:divsChild>
        <w:div w:id="1203445627">
          <w:marLeft w:val="0"/>
          <w:marRight w:val="0"/>
          <w:marTop w:val="0"/>
          <w:marBottom w:val="0"/>
          <w:divBdr>
            <w:top w:val="none" w:sz="0" w:space="0" w:color="auto"/>
            <w:left w:val="none" w:sz="0" w:space="0" w:color="auto"/>
            <w:bottom w:val="none" w:sz="0" w:space="0" w:color="auto"/>
            <w:right w:val="none" w:sz="0" w:space="0" w:color="auto"/>
          </w:divBdr>
        </w:div>
      </w:divsChild>
    </w:div>
    <w:div w:id="1295909421">
      <w:bodyDiv w:val="1"/>
      <w:marLeft w:val="0"/>
      <w:marRight w:val="0"/>
      <w:marTop w:val="0"/>
      <w:marBottom w:val="0"/>
      <w:divBdr>
        <w:top w:val="none" w:sz="0" w:space="0" w:color="auto"/>
        <w:left w:val="none" w:sz="0" w:space="0" w:color="auto"/>
        <w:bottom w:val="none" w:sz="0" w:space="0" w:color="auto"/>
        <w:right w:val="none" w:sz="0" w:space="0" w:color="auto"/>
      </w:divBdr>
    </w:div>
    <w:div w:id="1325812987">
      <w:bodyDiv w:val="1"/>
      <w:marLeft w:val="0"/>
      <w:marRight w:val="0"/>
      <w:marTop w:val="0"/>
      <w:marBottom w:val="0"/>
      <w:divBdr>
        <w:top w:val="none" w:sz="0" w:space="0" w:color="auto"/>
        <w:left w:val="none" w:sz="0" w:space="0" w:color="auto"/>
        <w:bottom w:val="none" w:sz="0" w:space="0" w:color="auto"/>
        <w:right w:val="none" w:sz="0" w:space="0" w:color="auto"/>
      </w:divBdr>
    </w:div>
    <w:div w:id="1409764664">
      <w:bodyDiv w:val="1"/>
      <w:marLeft w:val="0"/>
      <w:marRight w:val="0"/>
      <w:marTop w:val="0"/>
      <w:marBottom w:val="0"/>
      <w:divBdr>
        <w:top w:val="none" w:sz="0" w:space="0" w:color="auto"/>
        <w:left w:val="none" w:sz="0" w:space="0" w:color="auto"/>
        <w:bottom w:val="none" w:sz="0" w:space="0" w:color="auto"/>
        <w:right w:val="none" w:sz="0" w:space="0" w:color="auto"/>
      </w:divBdr>
    </w:div>
    <w:div w:id="1593196408">
      <w:bodyDiv w:val="1"/>
      <w:marLeft w:val="0"/>
      <w:marRight w:val="0"/>
      <w:marTop w:val="0"/>
      <w:marBottom w:val="0"/>
      <w:divBdr>
        <w:top w:val="none" w:sz="0" w:space="0" w:color="auto"/>
        <w:left w:val="none" w:sz="0" w:space="0" w:color="auto"/>
        <w:bottom w:val="none" w:sz="0" w:space="0" w:color="auto"/>
        <w:right w:val="none" w:sz="0" w:space="0" w:color="auto"/>
      </w:divBdr>
    </w:div>
    <w:div w:id="1618174850">
      <w:bodyDiv w:val="1"/>
      <w:marLeft w:val="0"/>
      <w:marRight w:val="0"/>
      <w:marTop w:val="0"/>
      <w:marBottom w:val="0"/>
      <w:divBdr>
        <w:top w:val="none" w:sz="0" w:space="0" w:color="auto"/>
        <w:left w:val="none" w:sz="0" w:space="0" w:color="auto"/>
        <w:bottom w:val="none" w:sz="0" w:space="0" w:color="auto"/>
        <w:right w:val="none" w:sz="0" w:space="0" w:color="auto"/>
      </w:divBdr>
    </w:div>
    <w:div w:id="1703437427">
      <w:bodyDiv w:val="1"/>
      <w:marLeft w:val="0"/>
      <w:marRight w:val="0"/>
      <w:marTop w:val="0"/>
      <w:marBottom w:val="0"/>
      <w:divBdr>
        <w:top w:val="none" w:sz="0" w:space="0" w:color="auto"/>
        <w:left w:val="none" w:sz="0" w:space="0" w:color="auto"/>
        <w:bottom w:val="none" w:sz="0" w:space="0" w:color="auto"/>
        <w:right w:val="none" w:sz="0" w:space="0" w:color="auto"/>
      </w:divBdr>
    </w:div>
    <w:div w:id="1758019815">
      <w:bodyDiv w:val="1"/>
      <w:marLeft w:val="0"/>
      <w:marRight w:val="0"/>
      <w:marTop w:val="0"/>
      <w:marBottom w:val="0"/>
      <w:divBdr>
        <w:top w:val="none" w:sz="0" w:space="0" w:color="auto"/>
        <w:left w:val="none" w:sz="0" w:space="0" w:color="auto"/>
        <w:bottom w:val="none" w:sz="0" w:space="0" w:color="auto"/>
        <w:right w:val="none" w:sz="0" w:space="0" w:color="auto"/>
      </w:divBdr>
    </w:div>
    <w:div w:id="1804157399">
      <w:bodyDiv w:val="1"/>
      <w:marLeft w:val="0"/>
      <w:marRight w:val="0"/>
      <w:marTop w:val="0"/>
      <w:marBottom w:val="0"/>
      <w:divBdr>
        <w:top w:val="none" w:sz="0" w:space="0" w:color="auto"/>
        <w:left w:val="none" w:sz="0" w:space="0" w:color="auto"/>
        <w:bottom w:val="none" w:sz="0" w:space="0" w:color="auto"/>
        <w:right w:val="none" w:sz="0" w:space="0" w:color="auto"/>
      </w:divBdr>
    </w:div>
    <w:div w:id="1829512270">
      <w:bodyDiv w:val="1"/>
      <w:marLeft w:val="0"/>
      <w:marRight w:val="0"/>
      <w:marTop w:val="0"/>
      <w:marBottom w:val="0"/>
      <w:divBdr>
        <w:top w:val="none" w:sz="0" w:space="0" w:color="auto"/>
        <w:left w:val="none" w:sz="0" w:space="0" w:color="auto"/>
        <w:bottom w:val="none" w:sz="0" w:space="0" w:color="auto"/>
        <w:right w:val="none" w:sz="0" w:space="0" w:color="auto"/>
      </w:divBdr>
    </w:div>
    <w:div w:id="1869873935">
      <w:bodyDiv w:val="1"/>
      <w:marLeft w:val="0"/>
      <w:marRight w:val="0"/>
      <w:marTop w:val="0"/>
      <w:marBottom w:val="0"/>
      <w:divBdr>
        <w:top w:val="none" w:sz="0" w:space="0" w:color="auto"/>
        <w:left w:val="none" w:sz="0" w:space="0" w:color="auto"/>
        <w:bottom w:val="none" w:sz="0" w:space="0" w:color="auto"/>
        <w:right w:val="none" w:sz="0" w:space="0" w:color="auto"/>
      </w:divBdr>
    </w:div>
    <w:div w:id="1957561993">
      <w:bodyDiv w:val="1"/>
      <w:marLeft w:val="0"/>
      <w:marRight w:val="0"/>
      <w:marTop w:val="0"/>
      <w:marBottom w:val="0"/>
      <w:divBdr>
        <w:top w:val="none" w:sz="0" w:space="0" w:color="auto"/>
        <w:left w:val="none" w:sz="0" w:space="0" w:color="auto"/>
        <w:bottom w:val="none" w:sz="0" w:space="0" w:color="auto"/>
        <w:right w:val="none" w:sz="0" w:space="0" w:color="auto"/>
      </w:divBdr>
    </w:div>
    <w:div w:id="2099019392">
      <w:bodyDiv w:val="1"/>
      <w:marLeft w:val="0"/>
      <w:marRight w:val="0"/>
      <w:marTop w:val="0"/>
      <w:marBottom w:val="0"/>
      <w:divBdr>
        <w:top w:val="none" w:sz="0" w:space="0" w:color="auto"/>
        <w:left w:val="none" w:sz="0" w:space="0" w:color="auto"/>
        <w:bottom w:val="none" w:sz="0" w:space="0" w:color="auto"/>
        <w:right w:val="none" w:sz="0" w:space="0" w:color="auto"/>
      </w:divBdr>
    </w:div>
    <w:div w:id="21024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header" Target="header13.xml"/><Relationship Id="rId21" Type="http://schemas.openxmlformats.org/officeDocument/2006/relationships/footer" Target="footer6.xml"/><Relationship Id="rId34" Type="http://schemas.openxmlformats.org/officeDocument/2006/relationships/header" Target="header11.xml"/><Relationship Id="rId42" Type="http://schemas.openxmlformats.org/officeDocument/2006/relationships/footer" Target="footer14.xml"/><Relationship Id="rId47" Type="http://schemas.openxmlformats.org/officeDocument/2006/relationships/header" Target="header17.xml"/><Relationship Id="rId50" Type="http://schemas.openxmlformats.org/officeDocument/2006/relationships/header" Target="header18.xml"/><Relationship Id="rId55" Type="http://schemas.openxmlformats.org/officeDocument/2006/relationships/header" Target="header19.xml"/><Relationship Id="rId63" Type="http://schemas.openxmlformats.org/officeDocument/2006/relationships/header" Target="header23.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image" Target="media/image8.png"/><Relationship Id="rId53" Type="http://schemas.openxmlformats.org/officeDocument/2006/relationships/image" Target="cid:image002.png@01D12B6F.EB241630" TargetMode="External"/><Relationship Id="rId58" Type="http://schemas.openxmlformats.org/officeDocument/2006/relationships/footer" Target="footer20.xml"/><Relationship Id="rId66" Type="http://schemas.openxmlformats.org/officeDocument/2006/relationships/header" Target="header2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footer" Target="footer17.xml"/><Relationship Id="rId57" Type="http://schemas.openxmlformats.org/officeDocument/2006/relationships/footer" Target="footer19.xml"/><Relationship Id="rId61" Type="http://schemas.openxmlformats.org/officeDocument/2006/relationships/image" Target="media/image12.png"/><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9.xml"/><Relationship Id="rId44" Type="http://schemas.openxmlformats.org/officeDocument/2006/relationships/footer" Target="footer15.xml"/><Relationship Id="rId52" Type="http://schemas.openxmlformats.org/officeDocument/2006/relationships/image" Target="media/image10.png"/><Relationship Id="rId60" Type="http://schemas.openxmlformats.org/officeDocument/2006/relationships/footer" Target="footer21.xml"/><Relationship Id="rId65" Type="http://schemas.openxmlformats.org/officeDocument/2006/relationships/footer" Target="footer2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15.xml"/><Relationship Id="rId48" Type="http://schemas.openxmlformats.org/officeDocument/2006/relationships/footer" Target="footer16.xml"/><Relationship Id="rId56" Type="http://schemas.openxmlformats.org/officeDocument/2006/relationships/header" Target="header20.xml"/><Relationship Id="rId64" Type="http://schemas.openxmlformats.org/officeDocument/2006/relationships/footer" Target="footer22.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1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header" Target="header16.xml"/><Relationship Id="rId59" Type="http://schemas.openxmlformats.org/officeDocument/2006/relationships/header" Target="header21.xml"/><Relationship Id="rId67" Type="http://schemas.openxmlformats.org/officeDocument/2006/relationships/footer" Target="footer24.xml"/><Relationship Id="rId20" Type="http://schemas.openxmlformats.org/officeDocument/2006/relationships/header" Target="header6.xml"/><Relationship Id="rId41" Type="http://schemas.openxmlformats.org/officeDocument/2006/relationships/footer" Target="footer13.xml"/><Relationship Id="rId54" Type="http://schemas.openxmlformats.org/officeDocument/2006/relationships/image" Target="media/image11.emf"/><Relationship Id="rId62" Type="http://schemas.openxmlformats.org/officeDocument/2006/relationships/header" Target="header22.xml"/></Relationships>
</file>

<file path=word/_rels/footnotes.xml.rels><?xml version="1.0" encoding="UTF-8" standalone="yes"?>
<Relationships xmlns="http://schemas.openxmlformats.org/package/2006/relationships"><Relationship Id="rId1" Type="http://schemas.openxmlformats.org/officeDocument/2006/relationships/hyperlink" Target="http://unfccc.int/national_reports/annex_i_ghg_inventories/national_inventories_submissions/items/8812.php"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2.jpg"/></Relationships>
</file>

<file path=word/_rels/header13.xml.rels><?xml version="1.0" encoding="UTF-8" standalone="yes"?>
<Relationships xmlns="http://schemas.openxmlformats.org/package/2006/relationships"><Relationship Id="rId1" Type="http://schemas.openxmlformats.org/officeDocument/2006/relationships/image" Target="media/image2.jpg"/></Relationships>
</file>

<file path=word/_rels/header16.xml.rels><?xml version="1.0" encoding="UTF-8" standalone="yes"?>
<Relationships xmlns="http://schemas.openxmlformats.org/package/2006/relationships"><Relationship Id="rId1" Type="http://schemas.openxmlformats.org/officeDocument/2006/relationships/image" Target="media/image9.emf"/></Relationships>
</file>

<file path=word/_rels/header19.xml.rels><?xml version="1.0" encoding="UTF-8" standalone="yes"?>
<Relationships xmlns="http://schemas.openxmlformats.org/package/2006/relationships"><Relationship Id="rId1" Type="http://schemas.openxmlformats.org/officeDocument/2006/relationships/image" Target="media/image9.emf"/></Relationships>
</file>

<file path=word/_rels/header22.xml.rels><?xml version="1.0" encoding="UTF-8" standalone="yes"?>
<Relationships xmlns="http://schemas.openxmlformats.org/package/2006/relationships"><Relationship Id="rId1" Type="http://schemas.openxmlformats.org/officeDocument/2006/relationships/image" Target="media/image9.emf"/></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Larissa">
  <a:themeElements>
    <a:clrScheme name="Oeko-Institut">
      <a:dk1>
        <a:sysClr val="windowText" lastClr="000000"/>
      </a:dk1>
      <a:lt1>
        <a:sysClr val="window" lastClr="FFFFFF"/>
      </a:lt1>
      <a:dk2>
        <a:srgbClr val="000099"/>
      </a:dk2>
      <a:lt2>
        <a:srgbClr val="B8D4FF"/>
      </a:lt2>
      <a:accent1>
        <a:srgbClr val="006AA4"/>
      </a:accent1>
      <a:accent2>
        <a:srgbClr val="00BEE1"/>
      </a:accent2>
      <a:accent3>
        <a:srgbClr val="97BF0D"/>
      </a:accent3>
      <a:accent4>
        <a:srgbClr val="DCDB1F"/>
      </a:accent4>
      <a:accent5>
        <a:srgbClr val="6586C3"/>
      </a:accent5>
      <a:accent6>
        <a:srgbClr val="009791"/>
      </a:accent6>
      <a:hlink>
        <a:srgbClr val="006AA4"/>
      </a:hlink>
      <a:folHlink>
        <a:srgbClr val="E3004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9897806-6286-45BD-83E0-030452DF1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46</Pages>
  <Words>21158</Words>
  <Characters>122928</Characters>
  <Application>Microsoft Office Word</Application>
  <DocSecurity>0</DocSecurity>
  <Lines>6469</Lines>
  <Paragraphs>4968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139118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2015-11-30T10:34:00Z</cp:lastPrinted>
  <dcterms:created xsi:type="dcterms:W3CDTF">2015-12-01T06:44:00Z</dcterms:created>
  <dcterms:modified xsi:type="dcterms:W3CDTF">2015-12-14T11:18:00Z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2</vt:lpwstr>
  </property>
  <property fmtid="{D5CDD505-2E9C-101B-9397-08002B2CF9AE}" pid="3" name="Total parts">
    <vt:lpwstr>2</vt:lpwstr>
  </property>
  <property fmtid="{D5CDD505-2E9C-101B-9397-08002B2CF9AE}" pid="4" name="Classification">
    <vt:lpwstr> </vt:lpwstr>
  </property>
  <property fmtid="{D5CDD505-2E9C-101B-9397-08002B2CF9AE}" pid="5" name="ELDocType">
    <vt:lpwstr>REP.DOT</vt:lpwstr>
  </property>
  <property fmtid="{D5CDD505-2E9C-101B-9397-08002B2CF9AE}" pid="6" name="Created using">
    <vt:lpwstr>3.0</vt:lpwstr>
  </property>
  <property fmtid="{D5CDD505-2E9C-101B-9397-08002B2CF9AE}" pid="7" name="Last edited using">
    <vt:lpwstr>EL </vt:lpwstr>
  </property>
  <property fmtid="{D5CDD505-2E9C-101B-9397-08002B2CF9AE}" pid="8" name="Formatting">
    <vt:lpwstr>4.1</vt:lpwstr>
  </property>
  <property fmtid="{D5CDD505-2E9C-101B-9397-08002B2CF9AE}" pid="9" name="DocStatus">
    <vt:lpwstr>Green</vt:lpwstr>
  </property>
</Properties>
</file>