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E7" w:rsidRDefault="00851AF3" w:rsidP="00851AF3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37D89491A59444D6AA4C2910028569C0" style="width:450.75pt;height:384pt">
            <v:imagedata r:id="rId9" o:title=""/>
          </v:shape>
        </w:pict>
      </w:r>
    </w:p>
    <w:p w:rsidR="002E63E7" w:rsidRDefault="002E63E7">
      <w:pPr>
        <w:pStyle w:val="Pagedecouverture"/>
        <w:rPr>
          <w:noProof/>
        </w:rPr>
        <w:sectPr w:rsidR="002E63E7" w:rsidSect="00851A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E63E7" w:rsidRDefault="00851AF3"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 I</w:t>
      </w:r>
    </w:p>
    <w:p w:rsidR="002E63E7" w:rsidRDefault="00851AF3">
      <w:pPr>
        <w:pStyle w:val="NormalCentered"/>
        <w:rPr>
          <w:b/>
          <w:noProof/>
        </w:rPr>
      </w:pPr>
      <w:r>
        <w:rPr>
          <w:b/>
          <w:noProof/>
        </w:rPr>
        <w:t>Живачни съединения и смеси в обхвата на членове 3 и 4</w:t>
      </w:r>
    </w:p>
    <w:p w:rsidR="002E63E7" w:rsidRDefault="002E63E7">
      <w:pPr>
        <w:rPr>
          <w:noProof/>
        </w:rPr>
      </w:pPr>
    </w:p>
    <w:p w:rsidR="002E63E7" w:rsidRDefault="00851AF3">
      <w:pPr>
        <w:rPr>
          <w:noProof/>
        </w:rPr>
      </w:pPr>
      <w:r>
        <w:rPr>
          <w:b/>
          <w:i/>
          <w:noProof/>
        </w:rPr>
        <w:t>Живачни съединения</w:t>
      </w:r>
      <w:r>
        <w:rPr>
          <w:noProof/>
        </w:rPr>
        <w:t xml:space="preserve">: </w:t>
      </w:r>
    </w:p>
    <w:p w:rsidR="002E63E7" w:rsidRDefault="00851AF3">
      <w:pPr>
        <w:rPr>
          <w:noProof/>
        </w:rPr>
      </w:pPr>
      <w:r>
        <w:rPr>
          <w:noProof/>
        </w:rPr>
        <w:t>живачен(I)</w:t>
      </w:r>
      <w:r>
        <w:rPr>
          <w:noProof/>
        </w:rPr>
        <w:t xml:space="preserve"> хлорид (Hg</w:t>
      </w:r>
      <w:r>
        <w:rPr>
          <w:noProof/>
          <w:vertAlign w:val="subscript"/>
        </w:rPr>
        <w:t>2</w:t>
      </w:r>
      <w:r>
        <w:rPr>
          <w:noProof/>
        </w:rPr>
        <w:t>Cl</w:t>
      </w:r>
      <w:r>
        <w:rPr>
          <w:noProof/>
          <w:vertAlign w:val="subscript"/>
        </w:rPr>
        <w:t>2</w:t>
      </w:r>
      <w:r>
        <w:rPr>
          <w:noProof/>
        </w:rPr>
        <w:t>, CAS № 10112-91-1)</w:t>
      </w:r>
    </w:p>
    <w:p w:rsidR="002E63E7" w:rsidRDefault="00851AF3">
      <w:pPr>
        <w:rPr>
          <w:noProof/>
        </w:rPr>
      </w:pPr>
      <w:r>
        <w:rPr>
          <w:noProof/>
        </w:rPr>
        <w:t>живачен(II) оксид (HgO, CAS № 21908-53-2)</w:t>
      </w:r>
    </w:p>
    <w:p w:rsidR="002E63E7" w:rsidRDefault="00851AF3">
      <w:pPr>
        <w:rPr>
          <w:noProof/>
        </w:rPr>
      </w:pPr>
      <w:r>
        <w:rPr>
          <w:noProof/>
        </w:rPr>
        <w:t>цинабарит</w:t>
      </w:r>
    </w:p>
    <w:p w:rsidR="002E63E7" w:rsidRDefault="002E63E7">
      <w:pPr>
        <w:rPr>
          <w:noProof/>
        </w:rPr>
      </w:pPr>
    </w:p>
    <w:p w:rsidR="002E63E7" w:rsidRDefault="00851AF3">
      <w:pPr>
        <w:rPr>
          <w:b/>
          <w:i/>
          <w:noProof/>
        </w:rPr>
      </w:pPr>
      <w:r>
        <w:rPr>
          <w:b/>
          <w:i/>
          <w:noProof/>
        </w:rPr>
        <w:t>Смеси:</w:t>
      </w:r>
    </w:p>
    <w:p w:rsidR="002E63E7" w:rsidRDefault="00851AF3">
      <w:pPr>
        <w:rPr>
          <w:noProof/>
        </w:rPr>
      </w:pPr>
      <w:r>
        <w:rPr>
          <w:noProof/>
        </w:rPr>
        <w:t>смеси на живака с други вещества, включително живачни сплави, при които концентрацията на живак е най-малко 95 тегловни процента.</w:t>
      </w:r>
    </w:p>
    <w:p w:rsidR="002E63E7" w:rsidRDefault="00851AF3">
      <w:pPr>
        <w:pStyle w:val="Annexetitre"/>
        <w:rPr>
          <w:noProof/>
          <w:u w:val="none"/>
        </w:rPr>
      </w:pPr>
      <w:r>
        <w:rPr>
          <w:noProof/>
        </w:rPr>
        <w:br w:type="page"/>
      </w:r>
      <w:r>
        <w:rPr>
          <w:noProof/>
          <w:u w:val="none"/>
        </w:rPr>
        <w:lastRenderedPageBreak/>
        <w:t>ПРИЛОЖЕНИЕ II</w:t>
      </w:r>
    </w:p>
    <w:p w:rsidR="002E63E7" w:rsidRDefault="00851AF3">
      <w:pPr>
        <w:pStyle w:val="NormalCentered"/>
        <w:rPr>
          <w:b/>
          <w:noProof/>
        </w:rPr>
      </w:pPr>
      <w:r>
        <w:rPr>
          <w:b/>
          <w:noProof/>
        </w:rPr>
        <w:t xml:space="preserve">Продукти с добавен живак, посочени в член 5 </w:t>
      </w:r>
    </w:p>
    <w:p w:rsidR="002E63E7" w:rsidRDefault="002E63E7">
      <w:pPr>
        <w:ind w:left="1440" w:firstLine="720"/>
        <w:rPr>
          <w:noProof/>
        </w:rPr>
      </w:pPr>
    </w:p>
    <w:p w:rsidR="002E63E7" w:rsidRDefault="00851AF3">
      <w:pPr>
        <w:rPr>
          <w:b/>
          <w:noProof/>
        </w:rPr>
      </w:pPr>
      <w:r>
        <w:rPr>
          <w:b/>
          <w:noProof/>
        </w:rPr>
        <w:t>Част А — продукти с добавен живак</w:t>
      </w:r>
    </w:p>
    <w:p w:rsidR="002E63E7" w:rsidRDefault="002E63E7">
      <w:pPr>
        <w:rPr>
          <w:noProof/>
        </w:rPr>
      </w:pPr>
    </w:p>
    <w:tbl>
      <w:tblPr>
        <w:tblW w:w="9786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86"/>
      </w:tblGrid>
      <w:tr w:rsidR="002E63E7"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E7" w:rsidRDefault="00851AF3">
            <w:pPr>
              <w:snapToGrid w:val="0"/>
              <w:ind w:left="252" w:hanging="240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1.</w:t>
            </w:r>
            <w:r>
              <w:rPr>
                <w:noProof/>
              </w:rPr>
              <w:t xml:space="preserve"> Батерии, с изключение на дискови цинково-сребърно-оксидни батерии със съдържание на живак &lt; 2 %, дискови цинково-въздушни батерии със съдържание на живак &lt; 2 %</w:t>
            </w:r>
          </w:p>
        </w:tc>
      </w:tr>
      <w:tr w:rsidR="002E63E7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E7" w:rsidRDefault="00851AF3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2.</w:t>
            </w:r>
            <w:r>
              <w:rPr>
                <w:noProof/>
              </w:rPr>
              <w:t xml:space="preserve"> Комутато</w:t>
            </w:r>
            <w:r>
              <w:rPr>
                <w:noProof/>
              </w:rPr>
              <w:t>ри и релета, с изключение на мостове с висока точност за измерване на загуби и капацитет и високочестотни радиочестотни комутатори и релета в контролни и регулиращи прибори, с максимално съдържание на живак от 20 mg на мост, комутатор или реле.</w:t>
            </w:r>
          </w:p>
        </w:tc>
      </w:tr>
      <w:tr w:rsidR="002E63E7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E7" w:rsidRDefault="00851AF3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3.</w:t>
            </w:r>
            <w:r>
              <w:rPr>
                <w:noProof/>
              </w:rPr>
              <w:t xml:space="preserve"> Компактни луминесцентни лампи за общо осветление, които са ≤ 30 вата със съдържание на живак, надвишаващо 5 mg на лампова горелка.</w:t>
            </w:r>
          </w:p>
        </w:tc>
      </w:tr>
      <w:tr w:rsidR="002E63E7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E7" w:rsidRDefault="00851AF3">
            <w:pPr>
              <w:snapToGrid w:val="0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4.</w:t>
            </w:r>
            <w:r>
              <w:rPr>
                <w:noProof/>
              </w:rPr>
              <w:t xml:space="preserve"> Следните линейни луминесцентни лампи за общо осветление:</w:t>
            </w:r>
          </w:p>
          <w:p w:rsidR="002E63E7" w:rsidRDefault="00851AF3">
            <w:pPr>
              <w:numPr>
                <w:ilvl w:val="0"/>
                <w:numId w:val="5"/>
              </w:numPr>
              <w:suppressAutoHyphens/>
              <w:jc w:val="left"/>
              <w:rPr>
                <w:rFonts w:eastAsia="SimSun"/>
                <w:noProof/>
              </w:rPr>
            </w:pPr>
            <w:r>
              <w:rPr>
                <w:noProof/>
              </w:rPr>
              <w:t xml:space="preserve">трилентови фосфорни &lt; 60 вата със съдържание на живак, </w:t>
            </w:r>
            <w:r>
              <w:rPr>
                <w:noProof/>
              </w:rPr>
              <w:t>надвишаващо 5 mg на лампа;</w:t>
            </w:r>
          </w:p>
          <w:p w:rsidR="002E63E7" w:rsidRDefault="00851AF3">
            <w:pPr>
              <w:numPr>
                <w:ilvl w:val="0"/>
                <w:numId w:val="5"/>
              </w:numPr>
              <w:suppressAutoHyphens/>
              <w:jc w:val="left"/>
              <w:rPr>
                <w:rFonts w:eastAsia="SimSun"/>
                <w:noProof/>
              </w:rPr>
            </w:pPr>
            <w:r>
              <w:rPr>
                <w:noProof/>
              </w:rPr>
              <w:t>халофосфатни фосфорни ≤ 40 вата със съдържание на живак, надвишаващо 10 mg на лампа.</w:t>
            </w:r>
          </w:p>
        </w:tc>
      </w:tr>
      <w:tr w:rsidR="002E63E7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E7" w:rsidRDefault="00851AF3">
            <w:pPr>
              <w:snapToGrid w:val="0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5.</w:t>
            </w:r>
            <w:r>
              <w:rPr>
                <w:noProof/>
              </w:rPr>
              <w:t xml:space="preserve"> Живачни лампи с високо налягане за общо осветление</w:t>
            </w:r>
          </w:p>
        </w:tc>
      </w:tr>
      <w:tr w:rsidR="002E63E7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E7" w:rsidRDefault="00851AF3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6.</w:t>
            </w:r>
            <w:r>
              <w:rPr>
                <w:noProof/>
              </w:rPr>
              <w:t xml:space="preserve"> Следните луминесцентни лампи със студен катод и луминесцентни лампи с външен електрод</w:t>
            </w:r>
            <w:r>
              <w:rPr>
                <w:noProof/>
              </w:rPr>
              <w:t xml:space="preserve"> (CCFL и EEFL) с добавен живак за електронни екрани: </w:t>
            </w:r>
          </w:p>
          <w:p w:rsidR="002E63E7" w:rsidRDefault="00851AF3">
            <w:pPr>
              <w:rPr>
                <w:rFonts w:eastAsia="SimSun"/>
                <w:noProof/>
              </w:rPr>
            </w:pPr>
            <w:r>
              <w:rPr>
                <w:noProof/>
              </w:rPr>
              <w:t>а) малка дължина (≤ 500 mm) със съдържание на живак, надвишаващо 3,5 mg на лампа;</w:t>
            </w:r>
          </w:p>
          <w:p w:rsidR="002E63E7" w:rsidRDefault="00851AF3">
            <w:pPr>
              <w:rPr>
                <w:rFonts w:eastAsia="SimSun"/>
                <w:noProof/>
              </w:rPr>
            </w:pPr>
            <w:r>
              <w:rPr>
                <w:noProof/>
              </w:rPr>
              <w:t>б) средна дължина (&gt; 500 mm и ≤ 1500 mm) със съдържание на живак, надвишаващо 5 mg на лампа;</w:t>
            </w:r>
          </w:p>
          <w:p w:rsidR="002E63E7" w:rsidRDefault="00851AF3">
            <w:pPr>
              <w:rPr>
                <w:rFonts w:eastAsia="SimSun"/>
                <w:noProof/>
              </w:rPr>
            </w:pPr>
            <w:r>
              <w:rPr>
                <w:noProof/>
              </w:rPr>
              <w:t>в) голяма дължина (&gt; 1500 m</w:t>
            </w:r>
            <w:r>
              <w:rPr>
                <w:noProof/>
              </w:rPr>
              <w:t>m) със съдържание на живак, надвишаващо 13 mg на лампа.</w:t>
            </w:r>
          </w:p>
        </w:tc>
      </w:tr>
      <w:tr w:rsidR="002E63E7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E7" w:rsidRDefault="00851AF3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7.</w:t>
            </w:r>
            <w:r>
              <w:rPr>
                <w:noProof/>
              </w:rPr>
              <w:t xml:space="preserve"> Козметичните продукти, съдържащи живак и живачни съединения, с изключение на специалните случаи, включени в приложение V, вписване 17 от Регламент (ЕО) № 1223/2009 на Европейския парламент и на Съ</w:t>
            </w:r>
            <w:r>
              <w:rPr>
                <w:noProof/>
              </w:rPr>
              <w:t>вета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</w:rPr>
              <w:t>.</w:t>
            </w:r>
          </w:p>
        </w:tc>
      </w:tr>
      <w:tr w:rsidR="002E63E7"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E7" w:rsidRDefault="00851AF3">
            <w:pPr>
              <w:snapToGrid w:val="0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8.</w:t>
            </w:r>
            <w:r>
              <w:rPr>
                <w:noProof/>
              </w:rPr>
              <w:t xml:space="preserve"> Пестициди, биоциди и локални антисептици.</w:t>
            </w:r>
          </w:p>
        </w:tc>
      </w:tr>
      <w:tr w:rsidR="002E63E7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E7" w:rsidRDefault="00851AF3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9.</w:t>
            </w:r>
            <w:r>
              <w:rPr>
                <w:noProof/>
              </w:rPr>
              <w:t xml:space="preserve"> Следните неелектронни измервателни уреди, за които не е налице подходяща безживачна алтернатива:</w:t>
            </w:r>
          </w:p>
          <w:p w:rsidR="002E63E7" w:rsidRDefault="00851AF3">
            <w:pPr>
              <w:rPr>
                <w:rFonts w:eastAsia="SimSun"/>
                <w:noProof/>
              </w:rPr>
            </w:pPr>
            <w:r>
              <w:rPr>
                <w:noProof/>
              </w:rPr>
              <w:t xml:space="preserve">а) барометри; </w:t>
            </w:r>
          </w:p>
          <w:p w:rsidR="002E63E7" w:rsidRDefault="00851AF3">
            <w:pPr>
              <w:rPr>
                <w:rFonts w:eastAsia="SimSun"/>
                <w:noProof/>
              </w:rPr>
            </w:pPr>
            <w:r>
              <w:rPr>
                <w:noProof/>
              </w:rPr>
              <w:lastRenderedPageBreak/>
              <w:t xml:space="preserve">б) влагомери; </w:t>
            </w:r>
          </w:p>
          <w:p w:rsidR="002E63E7" w:rsidRDefault="00851AF3">
            <w:pPr>
              <w:rPr>
                <w:rFonts w:eastAsia="SimSun"/>
                <w:noProof/>
              </w:rPr>
            </w:pPr>
            <w:r>
              <w:rPr>
                <w:noProof/>
              </w:rPr>
              <w:t xml:space="preserve">в) манометри; </w:t>
            </w:r>
          </w:p>
          <w:p w:rsidR="002E63E7" w:rsidRDefault="00851AF3">
            <w:pPr>
              <w:rPr>
                <w:rFonts w:eastAsia="SimSun"/>
                <w:noProof/>
              </w:rPr>
            </w:pPr>
            <w:r>
              <w:rPr>
                <w:noProof/>
              </w:rPr>
              <w:t>г) термометри;</w:t>
            </w:r>
          </w:p>
          <w:p w:rsidR="002E63E7" w:rsidRDefault="00851AF3">
            <w:pPr>
              <w:rPr>
                <w:rFonts w:eastAsia="SimSun"/>
                <w:noProof/>
              </w:rPr>
            </w:pPr>
            <w:r>
              <w:rPr>
                <w:noProof/>
              </w:rPr>
              <w:t>д) сфигмоманометри;</w:t>
            </w:r>
          </w:p>
          <w:p w:rsidR="002E63E7" w:rsidRDefault="00851AF3">
            <w:pPr>
              <w:rPr>
                <w:rFonts w:eastAsia="SimSun"/>
                <w:noProof/>
              </w:rPr>
            </w:pPr>
            <w:r>
              <w:rPr>
                <w:noProof/>
              </w:rPr>
              <w:t xml:space="preserve">Това вписване не </w:t>
            </w:r>
            <w:r>
              <w:rPr>
                <w:noProof/>
              </w:rPr>
              <w:t>включва следните измервателни уреди:</w:t>
            </w:r>
          </w:p>
          <w:p w:rsidR="002E63E7" w:rsidRDefault="00851AF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72"/>
              <w:rPr>
                <w:rFonts w:eastAsia="SimSun"/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неелектронни измервателни уреди, инсталирани в широкомащабно оборудване или използвани за измерване с висока прецизност;</w:t>
            </w:r>
          </w:p>
          <w:p w:rsidR="002E63E7" w:rsidRDefault="00851AF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72"/>
              <w:rPr>
                <w:rFonts w:eastAsia="SimSun"/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измервателни уреди, които са произведени преди повече от 50 години към 3 октомври 2007 г.;</w:t>
            </w:r>
          </w:p>
          <w:p w:rsidR="002E63E7" w:rsidRDefault="00851AF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72"/>
              <w:rPr>
                <w:rFonts w:eastAsia="SimSun"/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измерва</w:t>
            </w:r>
            <w:r>
              <w:rPr>
                <w:noProof/>
                <w:sz w:val="24"/>
              </w:rPr>
              <w:t>телни уреди, които ще бъдат показвани в рамките на публични изложения с културна и историческа цел.</w:t>
            </w:r>
          </w:p>
        </w:tc>
      </w:tr>
    </w:tbl>
    <w:p w:rsidR="002E63E7" w:rsidRDefault="002E63E7">
      <w:pPr>
        <w:rPr>
          <w:noProof/>
        </w:rPr>
      </w:pPr>
    </w:p>
    <w:p w:rsidR="002E63E7" w:rsidRDefault="00851AF3">
      <w:pPr>
        <w:rPr>
          <w:b/>
          <w:noProof/>
        </w:rPr>
      </w:pPr>
      <w:r>
        <w:rPr>
          <w:b/>
          <w:noProof/>
        </w:rPr>
        <w:t>Част Б — допълнителни продукти, изключени от списъка в част А от настоящото приложение</w:t>
      </w:r>
    </w:p>
    <w:p w:rsidR="002E63E7" w:rsidRDefault="002E63E7">
      <w:pPr>
        <w:rPr>
          <w:noProof/>
        </w:rPr>
      </w:pPr>
    </w:p>
    <w:p w:rsidR="002E63E7" w:rsidRDefault="00851AF3">
      <w:pPr>
        <w:rPr>
          <w:noProof/>
        </w:rPr>
      </w:pPr>
      <w:r>
        <w:rPr>
          <w:noProof/>
        </w:rPr>
        <w:t xml:space="preserve">комутатори и релета, луминесцентни лампи със студен катод и </w:t>
      </w:r>
      <w:r>
        <w:rPr>
          <w:noProof/>
        </w:rPr>
        <w:t>луминесцентни лампи с външен електрод (CCFL и EEFL) за електронни екрани и измервателни уреди, когато те се използват за замяна на компонент от по-голям уред и при условие че не е налична безживачна алтернатива за този компонент, в съответствие с Директива</w:t>
      </w:r>
      <w:r>
        <w:rPr>
          <w:noProof/>
        </w:rPr>
        <w:t xml:space="preserve"> 2000/53/ЕО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Директива 2011/65/ЕС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 w:rsidR="002E63E7" w:rsidRDefault="00851AF3">
      <w:pPr>
        <w:pStyle w:val="Annexetitre"/>
        <w:rPr>
          <w:noProof/>
          <w:u w:val="none"/>
        </w:rPr>
      </w:pPr>
      <w:r>
        <w:rPr>
          <w:noProof/>
        </w:rPr>
        <w:br w:type="page"/>
      </w:r>
      <w:r>
        <w:rPr>
          <w:noProof/>
          <w:u w:val="none"/>
        </w:rPr>
        <w:t>ПРИЛОЖЕНИЕ III</w:t>
      </w:r>
    </w:p>
    <w:p w:rsidR="002E63E7" w:rsidRDefault="00851AF3">
      <w:pPr>
        <w:pStyle w:val="NormalCentered"/>
        <w:rPr>
          <w:b/>
          <w:noProof/>
        </w:rPr>
      </w:pPr>
      <w:r>
        <w:rPr>
          <w:b/>
          <w:noProof/>
        </w:rPr>
        <w:t xml:space="preserve">Свързани с живака изисквания, приложими към производствени процеси </w:t>
      </w:r>
    </w:p>
    <w:p w:rsidR="002E63E7" w:rsidRDefault="002E63E7">
      <w:pPr>
        <w:rPr>
          <w:b/>
          <w:noProof/>
          <w:szCs w:val="24"/>
        </w:rPr>
      </w:pPr>
    </w:p>
    <w:p w:rsidR="002E63E7" w:rsidRDefault="00851AF3">
      <w:pPr>
        <w:tabs>
          <w:tab w:val="left" w:pos="1080"/>
        </w:tabs>
        <w:ind w:left="960" w:hanging="960"/>
        <w:rPr>
          <w:b/>
          <w:noProof/>
          <w:szCs w:val="24"/>
        </w:rPr>
      </w:pPr>
      <w:r>
        <w:rPr>
          <w:b/>
          <w:noProof/>
        </w:rPr>
        <w:t xml:space="preserve">Част I: Забранена употреба на живак и живачни съединения в производствени процеси </w:t>
      </w:r>
    </w:p>
    <w:p w:rsidR="002E63E7" w:rsidRDefault="002E63E7">
      <w:pPr>
        <w:tabs>
          <w:tab w:val="left" w:pos="1080"/>
        </w:tabs>
        <w:ind w:left="960" w:hanging="960"/>
        <w:rPr>
          <w:b/>
          <w:noProof/>
          <w:szCs w:val="24"/>
        </w:rPr>
      </w:pPr>
    </w:p>
    <w:p w:rsidR="002E63E7" w:rsidRDefault="00851AF3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считано от 1 януари 2019 г.: производство на ацеталдехид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считано от 1 януари 2019 г.: производство на мономера винилхлорид</w:t>
      </w:r>
    </w:p>
    <w:p w:rsidR="002E63E7" w:rsidRDefault="002E63E7">
      <w:pPr>
        <w:rPr>
          <w:noProof/>
          <w:szCs w:val="24"/>
        </w:rPr>
      </w:pPr>
    </w:p>
    <w:p w:rsidR="002E63E7" w:rsidRDefault="00851AF3">
      <w:pPr>
        <w:tabs>
          <w:tab w:val="left" w:pos="1080"/>
        </w:tabs>
        <w:ind w:left="960" w:hanging="960"/>
        <w:rPr>
          <w:b/>
          <w:noProof/>
          <w:szCs w:val="24"/>
        </w:rPr>
      </w:pPr>
      <w:r>
        <w:rPr>
          <w:b/>
          <w:noProof/>
        </w:rPr>
        <w:t>Част II: Производствени процеси, подлежащи</w:t>
      </w:r>
      <w:r>
        <w:rPr>
          <w:b/>
          <w:noProof/>
        </w:rPr>
        <w:t xml:space="preserve"> на ограничения по отношение на употребата и изпусканията на живак и живачни съединения </w:t>
      </w:r>
    </w:p>
    <w:p w:rsidR="002E63E7" w:rsidRDefault="002E63E7">
      <w:pPr>
        <w:tabs>
          <w:tab w:val="left" w:pos="1080"/>
        </w:tabs>
        <w:ind w:left="960" w:hanging="960"/>
        <w:rPr>
          <w:b/>
          <w:noProof/>
          <w:szCs w:val="24"/>
        </w:rPr>
      </w:pPr>
    </w:p>
    <w:p w:rsidR="002E63E7" w:rsidRDefault="00851AF3">
      <w:pPr>
        <w:rPr>
          <w:b/>
          <w:i/>
          <w:noProof/>
          <w:szCs w:val="24"/>
        </w:rPr>
      </w:pPr>
      <w:r>
        <w:rPr>
          <w:b/>
          <w:i/>
          <w:noProof/>
        </w:rPr>
        <w:t xml:space="preserve">Производство на натриев или калиев метилат или етилат </w:t>
      </w:r>
    </w:p>
    <w:p w:rsidR="002E63E7" w:rsidRDefault="00851AF3">
      <w:pPr>
        <w:rPr>
          <w:noProof/>
          <w:szCs w:val="24"/>
        </w:rPr>
      </w:pPr>
      <w:r>
        <w:rPr>
          <w:noProof/>
        </w:rPr>
        <w:t xml:space="preserve">Производството на натриев или калиев метилат или етилат се извършва в съответствие със следните изисквания: </w:t>
      </w:r>
    </w:p>
    <w:p w:rsidR="002E63E7" w:rsidRDefault="00851AF3">
      <w:pPr>
        <w:pStyle w:val="Tiret0"/>
        <w:numPr>
          <w:ilvl w:val="0"/>
          <w:numId w:val="11"/>
        </w:numPr>
        <w:rPr>
          <w:noProof/>
        </w:rPr>
      </w:pPr>
      <w:r>
        <w:rPr>
          <w:noProof/>
        </w:rPr>
        <w:t>не</w:t>
      </w:r>
      <w:r>
        <w:rPr>
          <w:noProof/>
        </w:rPr>
        <w:t xml:space="preserve"> се употребява живак от първичен добив; </w:t>
      </w:r>
    </w:p>
    <w:p w:rsidR="002E63E7" w:rsidRDefault="00851AF3">
      <w:pPr>
        <w:pStyle w:val="Tiret0"/>
        <w:rPr>
          <w:noProof/>
        </w:rPr>
      </w:pPr>
      <w:r>
        <w:rPr>
          <w:noProof/>
        </w:rPr>
        <w:t>намаляване с 50 % до 2020 г., в сравнение с равнищата от 2010 г., на преките и непреки изпускания на живак и на живачни съединения във въздуха, водата и почвата, в тонове произведени вещества; и</w:t>
      </w:r>
    </w:p>
    <w:p w:rsidR="002E63E7" w:rsidRDefault="00851AF3">
      <w:pPr>
        <w:pStyle w:val="Tiret0"/>
        <w:rPr>
          <w:noProof/>
        </w:rPr>
      </w:pPr>
      <w:r>
        <w:rPr>
          <w:noProof/>
        </w:rPr>
        <w:t>към датата на влизан</w:t>
      </w:r>
      <w:r>
        <w:rPr>
          <w:noProof/>
        </w:rPr>
        <w:t>е в сила на настоящия регламент капацитетът на съоръженията, в които се употребяват живак или живачни съединения за производство на натриев или калиев метилат или етилат, които вече са били в експлоатация преди тази дата, не следва да се увеличават и не се</w:t>
      </w:r>
      <w:r>
        <w:rPr>
          <w:noProof/>
        </w:rPr>
        <w:t xml:space="preserve"> разрешават нови съоръжения.</w:t>
      </w:r>
    </w:p>
    <w:p w:rsidR="002E63E7" w:rsidRDefault="00851AF3">
      <w:pPr>
        <w:pStyle w:val="Annexetitre"/>
        <w:rPr>
          <w:noProof/>
          <w:u w:val="none"/>
        </w:rPr>
      </w:pPr>
      <w:r>
        <w:rPr>
          <w:noProof/>
        </w:rPr>
        <w:br w:type="page"/>
      </w:r>
      <w:r>
        <w:rPr>
          <w:noProof/>
          <w:u w:val="none"/>
        </w:rPr>
        <w:t>ПРИЛОЖЕНИЕ IV</w:t>
      </w:r>
    </w:p>
    <w:p w:rsidR="002E63E7" w:rsidRDefault="00851AF3">
      <w:pPr>
        <w:pStyle w:val="NormalCentered"/>
        <w:rPr>
          <w:b/>
          <w:noProof/>
        </w:rPr>
      </w:pPr>
      <w:r>
        <w:rPr>
          <w:b/>
          <w:noProof/>
        </w:rPr>
        <w:t>Съдържание на националния план относно ръчния и дребномащабния добив на злато, посочен в член 9</w:t>
      </w:r>
    </w:p>
    <w:p w:rsidR="002E63E7" w:rsidRDefault="002E63E7">
      <w:pPr>
        <w:autoSpaceDE w:val="0"/>
        <w:autoSpaceDN w:val="0"/>
        <w:adjustRightInd w:val="0"/>
        <w:spacing w:before="0" w:after="0"/>
        <w:rPr>
          <w:rFonts w:eastAsia="Calibri"/>
          <w:noProof/>
          <w:sz w:val="20"/>
          <w:szCs w:val="24"/>
        </w:rPr>
      </w:pPr>
    </w:p>
    <w:p w:rsidR="002E63E7" w:rsidRDefault="00851AF3">
      <w:pPr>
        <w:rPr>
          <w:noProof/>
        </w:rPr>
      </w:pPr>
      <w:r>
        <w:rPr>
          <w:noProof/>
        </w:rPr>
        <w:t>Националният план включва следната информация: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национални цели и цели за намаляване;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дейности за преустановяв</w:t>
      </w:r>
      <w:r>
        <w:rPr>
          <w:noProof/>
        </w:rPr>
        <w:t>ане на:</w:t>
      </w:r>
    </w:p>
    <w:p w:rsidR="002E63E7" w:rsidRDefault="00851AF3"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амалгамирането на нераздробена руда;</w:t>
      </w:r>
    </w:p>
    <w:p w:rsidR="002E63E7" w:rsidRDefault="00851AF3">
      <w:pPr>
        <w:pStyle w:val="Point1"/>
        <w:rPr>
          <w:noProof/>
        </w:rPr>
      </w:pPr>
      <w:r>
        <w:rPr>
          <w:noProof/>
        </w:rPr>
        <w:t>ii)</w:t>
      </w:r>
      <w:r>
        <w:rPr>
          <w:noProof/>
        </w:rPr>
        <w:tab/>
        <w:t>изгарянето на открито на амалгама или преработена амалгама;</w:t>
      </w:r>
    </w:p>
    <w:p w:rsidR="002E63E7" w:rsidRDefault="00851AF3">
      <w:pPr>
        <w:pStyle w:val="Point1"/>
        <w:rPr>
          <w:noProof/>
        </w:rPr>
      </w:pPr>
      <w:r>
        <w:rPr>
          <w:noProof/>
        </w:rPr>
        <w:t>iii)</w:t>
      </w:r>
      <w:r>
        <w:rPr>
          <w:noProof/>
        </w:rPr>
        <w:tab/>
        <w:t xml:space="preserve">изгарянето на амалгама в жилищни райони; и </w:t>
      </w:r>
    </w:p>
    <w:p w:rsidR="002E63E7" w:rsidRDefault="00851AF3">
      <w:pPr>
        <w:pStyle w:val="Point1"/>
        <w:rPr>
          <w:noProof/>
        </w:rPr>
      </w:pPr>
      <w:r>
        <w:rPr>
          <w:noProof/>
        </w:rPr>
        <w:t>iv)</w:t>
      </w:r>
      <w:r>
        <w:rPr>
          <w:noProof/>
        </w:rPr>
        <w:tab/>
        <w:t xml:space="preserve">цианидното излужване — без предварително отстраняване на живака — в седимент, руда или </w:t>
      </w:r>
      <w:r>
        <w:rPr>
          <w:noProof/>
        </w:rPr>
        <w:t>хвост, към които е добавен живак;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>стъпки за улесняване на формализирането или регулирането на отрасъла за ръчен и дребномащабен добив на злато;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>базови прогнозни стойности на употребените количества живак и използваните практики при ръчен и дребномаща</w:t>
      </w:r>
      <w:r>
        <w:rPr>
          <w:noProof/>
        </w:rPr>
        <w:t>бен добив и преработка на злато на територията на държавата;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и)</w:t>
      </w:r>
      <w:r>
        <w:rPr>
          <w:noProof/>
        </w:rPr>
        <w:tab/>
        <w:t>стратегии за насърчаване на намаляването на емисиите, изпусканията и експозицията на живак в ръчния и дребномащабния добив и преработка на злато, включително безживачни методи;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й)</w:t>
      </w:r>
      <w:r>
        <w:rPr>
          <w:noProof/>
        </w:rPr>
        <w:tab/>
        <w:t>стратегии за</w:t>
      </w:r>
      <w:r>
        <w:rPr>
          <w:noProof/>
        </w:rPr>
        <w:t xml:space="preserve"> управление на търговията и предотвратяване на отклоняването на живак и живачни съединения от чуждестранни и местни източници за употреба в ръчния и дребномащабния добив и преработка на злато;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к)</w:t>
      </w:r>
      <w:r>
        <w:rPr>
          <w:noProof/>
        </w:rPr>
        <w:tab/>
        <w:t>стратегии за включване на заинтересованите лица в реализация</w:t>
      </w:r>
      <w:r>
        <w:rPr>
          <w:noProof/>
        </w:rPr>
        <w:t>та и непрекъснатото развитие на националния план за действие;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л)</w:t>
      </w:r>
      <w:r>
        <w:rPr>
          <w:noProof/>
        </w:rPr>
        <w:tab/>
        <w:t xml:space="preserve">стратегия в областта на общественото здравеопазване относно експозицията на живак на миньорите, занимаващи се с ръчен и дребномащабен добив на злато, и техните общности, която включва, наред </w:t>
      </w:r>
      <w:r>
        <w:rPr>
          <w:noProof/>
        </w:rPr>
        <w:t>с другото, набиране на данни за здравето, обучение на здравни работници и повишаване на осведомеността чрез здравни заведения;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м)</w:t>
      </w:r>
      <w:r>
        <w:rPr>
          <w:noProof/>
        </w:rPr>
        <w:tab/>
        <w:t>стратегии за предотвратяване на експозицията на уязвими групи от населението — по-конкретно деца, жени в детеродна възраст и о</w:t>
      </w:r>
      <w:r>
        <w:rPr>
          <w:noProof/>
        </w:rPr>
        <w:t>собено бременни жени — на живак, използван в ръчния и дребномащабния добив на злато;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н)</w:t>
      </w:r>
      <w:r>
        <w:rPr>
          <w:noProof/>
        </w:rPr>
        <w:tab/>
        <w:t>стратегии за предоставяне на информация на миньорите, занимаващи се с ръчен и дребномащабен добив на злато, и на засегнатите общности;</w:t>
      </w:r>
    </w:p>
    <w:p w:rsidR="002E63E7" w:rsidRDefault="00851AF3">
      <w:pPr>
        <w:pStyle w:val="Point0"/>
        <w:rPr>
          <w:noProof/>
        </w:rPr>
      </w:pPr>
      <w:r>
        <w:rPr>
          <w:noProof/>
        </w:rPr>
        <w:t>о)</w:t>
      </w:r>
      <w:r>
        <w:rPr>
          <w:noProof/>
        </w:rPr>
        <w:tab/>
        <w:t>график за осъществяването на н</w:t>
      </w:r>
      <w:r>
        <w:rPr>
          <w:noProof/>
        </w:rPr>
        <w:t>ационалния план за действие.</w:t>
      </w:r>
    </w:p>
    <w:p w:rsidR="002E63E7" w:rsidRDefault="00851AF3">
      <w:pPr>
        <w:pStyle w:val="Annexetitre"/>
        <w:rPr>
          <w:noProof/>
          <w:u w:val="none"/>
        </w:rPr>
      </w:pPr>
      <w:r>
        <w:rPr>
          <w:noProof/>
        </w:rPr>
        <w:br w:type="page"/>
      </w:r>
      <w:r>
        <w:rPr>
          <w:noProof/>
          <w:u w:val="none"/>
        </w:rPr>
        <w:t>ПРИЛОЖЕНИЕ V</w:t>
      </w:r>
    </w:p>
    <w:p w:rsidR="002E63E7" w:rsidRDefault="00851AF3">
      <w:pPr>
        <w:pStyle w:val="NormalCentered"/>
        <w:rPr>
          <w:b/>
          <w:noProof/>
        </w:rPr>
      </w:pPr>
      <w:r>
        <w:rPr>
          <w:b/>
          <w:noProof/>
        </w:rPr>
        <w:t>Таблица на съответствието</w:t>
      </w:r>
    </w:p>
    <w:p w:rsidR="002E63E7" w:rsidRDefault="002E63E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2E63E7">
        <w:trPr>
          <w:trHeight w:val="968"/>
        </w:trPr>
        <w:tc>
          <w:tcPr>
            <w:tcW w:w="4644" w:type="dxa"/>
          </w:tcPr>
          <w:p w:rsidR="002E63E7" w:rsidRDefault="002E63E7">
            <w:pPr>
              <w:jc w:val="center"/>
              <w:rPr>
                <w:noProof/>
              </w:rPr>
            </w:pPr>
          </w:p>
          <w:p w:rsidR="002E63E7" w:rsidRDefault="00851AF3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Регламент (ЕО) № 1102/2008</w:t>
            </w:r>
          </w:p>
          <w:p w:rsidR="002E63E7" w:rsidRDefault="002E63E7">
            <w:pPr>
              <w:jc w:val="center"/>
              <w:rPr>
                <w:noProof/>
              </w:rPr>
            </w:pPr>
          </w:p>
          <w:p w:rsidR="002E63E7" w:rsidRDefault="002E63E7">
            <w:pPr>
              <w:jc w:val="center"/>
              <w:rPr>
                <w:noProof/>
              </w:rPr>
            </w:pPr>
          </w:p>
        </w:tc>
        <w:tc>
          <w:tcPr>
            <w:tcW w:w="4645" w:type="dxa"/>
          </w:tcPr>
          <w:p w:rsidR="002E63E7" w:rsidRDefault="002E63E7">
            <w:pPr>
              <w:jc w:val="center"/>
              <w:rPr>
                <w:b/>
                <w:noProof/>
                <w:szCs w:val="22"/>
              </w:rPr>
            </w:pPr>
          </w:p>
          <w:p w:rsidR="002E63E7" w:rsidRDefault="00851AF3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Настоящият регламент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1, параграф 1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3, параграф 1, първа алинея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1, параграф 2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3, параграф 1, втора алинея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1, параграф 3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3, параграф 2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2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11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 3, параграф 1, първа алинея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13, параграф 1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3, параграф 1, втора алинея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3, параграф 2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4, параграф 1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4, параграф 2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4, параграф 3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5, параграф 1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</w:t>
            </w:r>
            <w:r>
              <w:rPr>
                <w:noProof/>
              </w:rPr>
              <w:t xml:space="preserve"> 5, параграф 2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5, параграф 3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6, параграф 1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12, параграф 1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6, параграф 2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12, параграф 1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6, параграф 3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12, параграф 1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6, параграф 4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7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14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8, параграф 1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8, параграф 2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8, параграф 3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8, параграф 4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8, параграф 5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2E63E7">
        <w:tc>
          <w:tcPr>
            <w:tcW w:w="4644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Член 9</w:t>
            </w:r>
          </w:p>
          <w:p w:rsidR="002E63E7" w:rsidRDefault="002E63E7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2E63E7" w:rsidRDefault="00851AF3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</w:tbl>
    <w:p w:rsidR="002E63E7" w:rsidRDefault="002E63E7">
      <w:pPr>
        <w:rPr>
          <w:noProof/>
        </w:rPr>
      </w:pPr>
    </w:p>
    <w:sectPr w:rsidR="002E63E7" w:rsidSect="00851AF3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E7" w:rsidRDefault="00851AF3">
      <w:pPr>
        <w:spacing w:before="0" w:after="0"/>
      </w:pPr>
      <w:r>
        <w:separator/>
      </w:r>
    </w:p>
  </w:endnote>
  <w:endnote w:type="continuationSeparator" w:id="0">
    <w:p w:rsidR="002E63E7" w:rsidRDefault="00851A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F3" w:rsidRPr="00851AF3" w:rsidRDefault="00851AF3" w:rsidP="00851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E7" w:rsidRPr="00851AF3" w:rsidRDefault="00851AF3" w:rsidP="00851AF3">
    <w:pPr>
      <w:pStyle w:val="Footer"/>
      <w:rPr>
        <w:rFonts w:ascii="Arial" w:hAnsi="Arial" w:cs="Arial"/>
        <w:b/>
        <w:sz w:val="48"/>
      </w:rPr>
    </w:pPr>
    <w:r w:rsidRPr="00851AF3">
      <w:rPr>
        <w:rFonts w:ascii="Arial" w:hAnsi="Arial" w:cs="Arial"/>
        <w:b/>
        <w:sz w:val="48"/>
      </w:rPr>
      <w:t>BG</w:t>
    </w:r>
    <w:r w:rsidRPr="00851AF3">
      <w:rPr>
        <w:rFonts w:ascii="Arial" w:hAnsi="Arial" w:cs="Arial"/>
        <w:b/>
        <w:sz w:val="48"/>
      </w:rPr>
      <w:tab/>
    </w:r>
    <w:r w:rsidRPr="00851AF3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851AF3">
      <w:tab/>
    </w:r>
    <w:proofErr w:type="spellStart"/>
    <w:r w:rsidRPr="00851AF3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F3" w:rsidRPr="00851AF3" w:rsidRDefault="00851AF3" w:rsidP="00851AF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F3" w:rsidRPr="00851AF3" w:rsidRDefault="00851AF3" w:rsidP="00851AF3">
    <w:pPr>
      <w:pStyle w:val="Footer"/>
      <w:rPr>
        <w:rFonts w:ascii="Arial" w:hAnsi="Arial" w:cs="Arial"/>
        <w:b/>
        <w:sz w:val="48"/>
      </w:rPr>
    </w:pPr>
    <w:r w:rsidRPr="00851AF3">
      <w:rPr>
        <w:rFonts w:ascii="Arial" w:hAnsi="Arial" w:cs="Arial"/>
        <w:b/>
        <w:sz w:val="48"/>
      </w:rPr>
      <w:t>BG</w:t>
    </w:r>
    <w:r w:rsidRPr="00851AF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851AF3">
      <w:tab/>
    </w:r>
    <w:r w:rsidRPr="00851AF3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F3" w:rsidRPr="00851AF3" w:rsidRDefault="00851AF3" w:rsidP="00851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E7" w:rsidRDefault="00851AF3">
      <w:pPr>
        <w:spacing w:before="0" w:after="0"/>
      </w:pPr>
      <w:r>
        <w:separator/>
      </w:r>
    </w:p>
  </w:footnote>
  <w:footnote w:type="continuationSeparator" w:id="0">
    <w:p w:rsidR="002E63E7" w:rsidRDefault="00851AF3">
      <w:pPr>
        <w:spacing w:before="0" w:after="0"/>
      </w:pPr>
      <w:r>
        <w:continuationSeparator/>
      </w:r>
    </w:p>
  </w:footnote>
  <w:footnote w:id="1">
    <w:p w:rsidR="002E63E7" w:rsidRDefault="00851AF3">
      <w:pPr>
        <w:pStyle w:val="FootnoteText"/>
        <w:ind w:left="360" w:hanging="360"/>
      </w:pPr>
      <w:r>
        <w:rPr>
          <w:rStyle w:val="FootnoteReference"/>
        </w:rPr>
        <w:footnoteRef/>
      </w:r>
      <w:r>
        <w:tab/>
      </w:r>
      <w:r>
        <w:rPr>
          <w:rStyle w:val="Strong"/>
          <w:b w:val="0"/>
        </w:rPr>
        <w:t xml:space="preserve">Регламент (ЕО) № 1223/2009 на Европейския парламент и на Съвета от 30 ноември </w:t>
      </w:r>
      <w:r>
        <w:rPr>
          <w:rStyle w:val="Strong"/>
          <w:b w:val="0"/>
        </w:rPr>
        <w:t>2009 г. относно козметичните продукти (</w:t>
      </w:r>
      <w:r>
        <w:t xml:space="preserve">ОВ L 342, 22.12.2009 г., стр. 59). </w:t>
      </w:r>
    </w:p>
  </w:footnote>
  <w:footnote w:id="2">
    <w:p w:rsidR="002E63E7" w:rsidRDefault="00851AF3">
      <w:pPr>
        <w:pStyle w:val="FootnoteText"/>
        <w:ind w:left="360" w:hanging="360"/>
      </w:pPr>
      <w:r>
        <w:rPr>
          <w:rStyle w:val="FootnoteReference"/>
        </w:rPr>
        <w:footnoteRef/>
      </w:r>
      <w:r>
        <w:tab/>
      </w:r>
      <w:r>
        <w:t>Директива 2000/53/ЕО на Европейския парламент и на Съвета от 18 септември 2000 година относно излезлите от употреба превозни средства (ОВ L 269, 21.10.2000 г., стр. 34).</w:t>
      </w:r>
    </w:p>
  </w:footnote>
  <w:footnote w:id="3">
    <w:p w:rsidR="002E63E7" w:rsidRDefault="00851AF3">
      <w:pPr>
        <w:pStyle w:val="FootnoteText"/>
        <w:ind w:left="360" w:hanging="360"/>
      </w:pPr>
      <w:r>
        <w:rPr>
          <w:rStyle w:val="FootnoteReference"/>
        </w:rPr>
        <w:footnoteRef/>
      </w:r>
      <w:r>
        <w:tab/>
      </w:r>
      <w:r>
        <w:rPr>
          <w:rStyle w:val="Strong"/>
          <w:b w:val="0"/>
        </w:rPr>
        <w:t>Директи</w:t>
      </w:r>
      <w:r>
        <w:rPr>
          <w:rStyle w:val="Strong"/>
          <w:b w:val="0"/>
        </w:rPr>
        <w:t>ва 2011/65/ЕС на Европейския парламент и на Съвета от 8 юни 2011 г. относно ограничението за употребата на определени опасни вещества в електрическото и електронното оборудване</w:t>
      </w:r>
      <w:r>
        <w:rPr>
          <w:rStyle w:val="Strong"/>
        </w:rPr>
        <w:t xml:space="preserve"> (</w:t>
      </w:r>
      <w:r>
        <w:t>ОВ L 174, 1.7.2011 г., стр. 88).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F3" w:rsidRPr="00851AF3" w:rsidRDefault="00851AF3" w:rsidP="00851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F3" w:rsidRPr="00851AF3" w:rsidRDefault="00851AF3" w:rsidP="00851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F3" w:rsidRPr="00851AF3" w:rsidRDefault="00851AF3" w:rsidP="00851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AEA182"/>
    <w:lvl w:ilvl="0">
      <w:start w:val="1"/>
      <w:numFmt w:val="decimal"/>
      <w:pStyle w:val="ListNumber4"/>
      <w:lvlText w:val="%1."/>
      <w:lvlJc w:val="left"/>
      <w:pPr>
        <w:tabs>
          <w:tab w:val="num" w:pos="3405"/>
        </w:tabs>
        <w:ind w:left="3405" w:hanging="360"/>
      </w:pPr>
    </w:lvl>
  </w:abstractNum>
  <w:abstractNum w:abstractNumId="1">
    <w:nsid w:val="FFFFFF7E"/>
    <w:multiLevelType w:val="singleLevel"/>
    <w:tmpl w:val="1B062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FFCEF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31016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D2AD4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5F2AA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7CCD3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60C4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6"/>
    <w:multiLevelType w:val="singleLevel"/>
    <w:tmpl w:val="8C7CDEC0"/>
    <w:name w:val="Point"/>
    <w:lvl w:ilvl="0">
      <w:start w:val="1"/>
      <w:numFmt w:val="russianLower"/>
      <w:lvlText w:val="%1)"/>
      <w:lvlJc w:val="left"/>
      <w:pPr>
        <w:ind w:left="405" w:hanging="360"/>
      </w:pPr>
      <w:rPr>
        <w:rFonts w:cs="Times New Roman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4B1D4F8D"/>
    <w:multiLevelType w:val="hybridMultilevel"/>
    <w:tmpl w:val="E7BA5284"/>
    <w:lvl w:ilvl="0" w:tplc="8C7CDEC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20"/>
    <w:lvlOverride w:ilvl="0">
      <w:startOverride w:val="1"/>
    </w:lvlOverride>
  </w:num>
  <w:num w:numId="12">
    <w:abstractNumId w:val="20"/>
  </w:num>
  <w:num w:numId="13">
    <w:abstractNumId w:val="13"/>
  </w:num>
  <w:num w:numId="14">
    <w:abstractNumId w:val="22"/>
  </w:num>
  <w:num w:numId="15">
    <w:abstractNumId w:val="12"/>
  </w:num>
  <w:num w:numId="16">
    <w:abstractNumId w:val="14"/>
  </w:num>
  <w:num w:numId="17">
    <w:abstractNumId w:val="10"/>
  </w:num>
  <w:num w:numId="18">
    <w:abstractNumId w:val="21"/>
  </w:num>
  <w:num w:numId="19">
    <w:abstractNumId w:val="9"/>
  </w:num>
  <w:num w:numId="20">
    <w:abstractNumId w:val="15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01 09:40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 \u1055?\u1088?\u1077?\u1076?\u1083?\u1086?\u1078?\u1077?\u1085?\u1080?\u1077?\u1090?\u1086? \u1079?\u1072?"/>
    <w:docVar w:name="LW_ACCOMPAGNANT.CP" w:val="\u1082?\u1098?\u1084? \u1055?\u1088?\u1077?\u1076?\u1083?\u1086?\u1078?\u1077?\u1085?\u1080?\u1077?\u1090?\u1086? \u1079?\u1072?"/>
    <w:docVar w:name="LW_ANNEX_NBR_FIRST" w:val="1"/>
    <w:docVar w:name="LW_ANNEX_NBR_LAST" w:val="5"/>
    <w:docVar w:name="LW_CONFIDENCE" w:val=" "/>
    <w:docVar w:name="LW_CONST_RESTREINT_UE" w:val="RESTREINT UE/EU RESTRICTED"/>
    <w:docVar w:name="LW_CORRIGENDUM" w:val="&lt;UNUSED&gt;"/>
    <w:docVar w:name="LW_COVERPAGE_GUID" w:val="37D89491A59444D6AA4C2910028569C0"/>
    <w:docVar w:name="LW_CROSSREFERENCE" w:val="&lt;UNUSED&gt;"/>
    <w:docVar w:name="LW_DocType" w:val="ANNEX"/>
    <w:docVar w:name="LW_EMISSION" w:val="2.2.2016"/>
    <w:docVar w:name="LW_EMISSION_ISODATE" w:val="2016-02-0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5?\u1072? \u1045?\u1074?\u1088?\u1086?\u1087?\u1077?\u1081?\u1089?\u1082?\u1080?\u1103? \u1087?\u1072?\u1088?\u1083?\u1072?\u1084?\u1077?\u1085?\u1090? \u1080? \u1085?\u1072? \u1057?\u1098?\u1074?\u1077?\u1090?\u1072? \u1086?\u1090?\u1085?\u1086?\u1089?\u1085?\u1086? \u1078?\u1080?\u1074?\u1072?\u1082?\u1072? \u1080? \u1079?\u1072? \u1086?\u1090?\u1084?\u1103?\u1085?\u1072? \u1085?\u1072? \u1056?\u1077?\u1075?\u1083?\u1072?\u1084?\u1077?\u1085?\u1090? (\u1045?\u1054?) \u8470? 1102/2008"/>
    <w:docVar w:name="LW_OBJETACTEPRINCIPAL.CP" w:val="\u1085?\u1072? \u1045?\u1074?\u1088?\u1086?\u1087?\u1077?\u1081?\u1089?\u1082?\u1080?\u1103? \u1087?\u1072?\u1088?\u1083?\u1072?\u1084?\u1077?\u1085?\u1090? \u1080? \u1085?\u1072? \u1057?\u1098?\u1074?\u1077?\u1090?\u1072? \u1086?\u1090?\u1085?\u1086?\u1089?\u1085?\u1086? \u1078?\u1080?\u1074?\u1072?\u1082?\u1072? \u1080? \u1079?\u1072? \u1086?\u1090?\u1084?\u1103?\u1085?\u1072? \u1085?\u1072? \u1056?\u1077?\u1075?\u1083?\u1072?\u1084?\u1077?\u1085?\u1090? (\u1045?\u1054?) \u8470? 1102/2008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39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77?\u1075?\u1083?\u1072?\u1084?\u1077?\u1085?\u1090?"/>
    <w:docVar w:name="LW_TYPEACTEPRINCIPAL.CP" w:val="\u1056?\u1077?\u1075?\u1083?\u1072?\u1084?\u1077?\u1085?\u1090?"/>
  </w:docVars>
  <w:rsids>
    <w:rsidRoot w:val="002E63E7"/>
    <w:rsid w:val="002E63E7"/>
    <w:rsid w:val="008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eastAsia="Calibri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1">
    <w:name w:val="Style1"/>
    <w:basedOn w:val="FootnoteText"/>
    <w:qFormat/>
    <w:rPr>
      <w:color w:val="444444"/>
    </w:rPr>
  </w:style>
  <w:style w:type="paragraph" w:styleId="Header">
    <w:name w:val="header"/>
    <w:basedOn w:val="Normal"/>
    <w:link w:val="HeaderChar"/>
    <w:uiPriority w:val="99"/>
    <w:unhideWhenUsed/>
    <w:rsid w:val="00851AF3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51AF3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51AF3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eastAsia="Calibri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1">
    <w:name w:val="Style1"/>
    <w:basedOn w:val="FootnoteText"/>
    <w:qFormat/>
    <w:rPr>
      <w:color w:val="444444"/>
    </w:rPr>
  </w:style>
  <w:style w:type="paragraph" w:styleId="Header">
    <w:name w:val="header"/>
    <w:basedOn w:val="Normal"/>
    <w:link w:val="HeaderChar"/>
    <w:uiPriority w:val="99"/>
    <w:unhideWhenUsed/>
    <w:rsid w:val="00851AF3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51AF3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51AF3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B9FE-F7CC-483D-9A30-9378ACBE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8</Pages>
  <Words>1091</Words>
  <Characters>5799</Characters>
  <Application>Microsoft Office Word</Application>
  <DocSecurity>0</DocSecurity>
  <Lines>218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FORNASERO Stefania (ENV)</dc:creator>
  <cp:lastModifiedBy>LAGES CARVALHO Patrick (SG)</cp:lastModifiedBy>
  <cp:revision>9</cp:revision>
  <cp:lastPrinted>2016-01-12T15:15:00Z</cp:lastPrinted>
  <dcterms:created xsi:type="dcterms:W3CDTF">2016-01-29T15:17:00Z</dcterms:created>
  <dcterms:modified xsi:type="dcterms:W3CDTF">2016-02-01T09:00:00Z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5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