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3C5" w:rsidRDefault="00ED4E22">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45890577D87436E930E3713932DA5E1" style="width:450.45pt;height:424.5pt">
            <v:imagedata r:id="rId9" o:title=""/>
          </v:shape>
        </w:pict>
      </w:r>
    </w:p>
    <w:p w:rsidR="001F63C5" w:rsidRDefault="001F63C5">
      <w:pPr>
        <w:pStyle w:val="Pagedecouverture"/>
        <w:rPr>
          <w:noProof/>
        </w:rPr>
        <w:sectPr w:rsidR="001F63C5">
          <w:footerReference w:type="default" r:id="rId10"/>
          <w:pgSz w:w="11907" w:h="16839"/>
          <w:pgMar w:top="1134" w:right="1417" w:bottom="1134" w:left="1417" w:header="709" w:footer="709" w:gutter="0"/>
          <w:pgNumType w:start="1"/>
          <w:cols w:space="720"/>
          <w:docGrid w:linePitch="360"/>
        </w:sectPr>
      </w:pPr>
    </w:p>
    <w:p w:rsidR="001F63C5" w:rsidRDefault="00ED4E22">
      <w:pPr>
        <w:pStyle w:val="Annexetitre"/>
        <w:rPr>
          <w:noProof/>
          <w:u w:val="none"/>
        </w:rPr>
      </w:pPr>
      <w:r>
        <w:rPr>
          <w:noProof/>
          <w:u w:val="none"/>
        </w:rPr>
        <w:lastRenderedPageBreak/>
        <w:t>ANNEX I</w:t>
      </w:r>
    </w:p>
    <w:p w:rsidR="001F63C5" w:rsidRDefault="00ED4E22">
      <w:pPr>
        <w:pStyle w:val="NormalCentered"/>
        <w:rPr>
          <w:b/>
          <w:noProof/>
        </w:rPr>
      </w:pPr>
      <w:r>
        <w:rPr>
          <w:b/>
          <w:noProof/>
        </w:rPr>
        <w:t>Mercury compounds and mixtures subject to Articles 3 and 4</w:t>
      </w:r>
    </w:p>
    <w:p w:rsidR="001F63C5" w:rsidRDefault="001F63C5">
      <w:pPr>
        <w:rPr>
          <w:noProof/>
        </w:rPr>
      </w:pPr>
    </w:p>
    <w:p w:rsidR="001F63C5" w:rsidRDefault="00ED4E22">
      <w:pPr>
        <w:rPr>
          <w:noProof/>
        </w:rPr>
      </w:pPr>
      <w:r>
        <w:rPr>
          <w:b/>
          <w:i/>
          <w:noProof/>
        </w:rPr>
        <w:t>Mercury compounds</w:t>
      </w:r>
      <w:r>
        <w:rPr>
          <w:noProof/>
        </w:rPr>
        <w:t xml:space="preserve">: </w:t>
      </w:r>
    </w:p>
    <w:p w:rsidR="001F63C5" w:rsidRDefault="00ED4E22">
      <w:pPr>
        <w:rPr>
          <w:noProof/>
        </w:rPr>
      </w:pPr>
      <w:r>
        <w:rPr>
          <w:noProof/>
        </w:rPr>
        <w:t>Mercury (I)</w:t>
      </w:r>
      <w:r>
        <w:rPr>
          <w:noProof/>
        </w:rPr>
        <w:t xml:space="preserve"> chloride (Hg</w:t>
      </w:r>
      <w:r>
        <w:rPr>
          <w:noProof/>
          <w:vertAlign w:val="subscript"/>
        </w:rPr>
        <w:t>2</w:t>
      </w:r>
      <w:r>
        <w:rPr>
          <w:noProof/>
        </w:rPr>
        <w:t>Cl</w:t>
      </w:r>
      <w:r>
        <w:rPr>
          <w:noProof/>
          <w:vertAlign w:val="subscript"/>
        </w:rPr>
        <w:t>2</w:t>
      </w:r>
      <w:r>
        <w:rPr>
          <w:noProof/>
        </w:rPr>
        <w:t>, CAS RN 10112-91-1)</w:t>
      </w:r>
    </w:p>
    <w:p w:rsidR="001F63C5" w:rsidRDefault="00ED4E22">
      <w:pPr>
        <w:rPr>
          <w:noProof/>
        </w:rPr>
      </w:pPr>
      <w:r>
        <w:rPr>
          <w:noProof/>
        </w:rPr>
        <w:t>Mercury (II) oxide (HgO, CAS RN 21908-53-2)</w:t>
      </w:r>
    </w:p>
    <w:p w:rsidR="001F63C5" w:rsidRDefault="00ED4E22">
      <w:pPr>
        <w:rPr>
          <w:noProof/>
        </w:rPr>
      </w:pPr>
      <w:r>
        <w:rPr>
          <w:noProof/>
        </w:rPr>
        <w:t>Cinnabar ore</w:t>
      </w:r>
    </w:p>
    <w:p w:rsidR="001F63C5" w:rsidRDefault="001F63C5">
      <w:pPr>
        <w:rPr>
          <w:noProof/>
        </w:rPr>
      </w:pPr>
    </w:p>
    <w:p w:rsidR="001F63C5" w:rsidRDefault="00ED4E22">
      <w:pPr>
        <w:rPr>
          <w:b/>
          <w:i/>
          <w:noProof/>
        </w:rPr>
      </w:pPr>
      <w:r>
        <w:rPr>
          <w:b/>
          <w:i/>
          <w:noProof/>
        </w:rPr>
        <w:t>Mixtures:</w:t>
      </w:r>
    </w:p>
    <w:p w:rsidR="001F63C5" w:rsidRDefault="00ED4E22">
      <w:pPr>
        <w:rPr>
          <w:noProof/>
        </w:rPr>
      </w:pPr>
      <w:r>
        <w:rPr>
          <w:noProof/>
        </w:rPr>
        <w:t>Mixtures of mercury with other substances, including alloys of mercury, with a mercury concentration of at least 95 % weight by weight.</w:t>
      </w:r>
    </w:p>
    <w:p w:rsidR="001F63C5" w:rsidRDefault="00ED4E22">
      <w:pPr>
        <w:pStyle w:val="Annexetitre"/>
        <w:rPr>
          <w:noProof/>
          <w:u w:val="none"/>
        </w:rPr>
      </w:pPr>
      <w:r>
        <w:rPr>
          <w:noProof/>
        </w:rPr>
        <w:br w:type="page"/>
      </w:r>
      <w:r>
        <w:rPr>
          <w:noProof/>
          <w:u w:val="none"/>
        </w:rPr>
        <w:lastRenderedPageBreak/>
        <w:t>ANNEX II</w:t>
      </w:r>
    </w:p>
    <w:p w:rsidR="001F63C5" w:rsidRDefault="00ED4E22">
      <w:pPr>
        <w:pStyle w:val="NormalCentered"/>
        <w:rPr>
          <w:b/>
          <w:noProof/>
        </w:rPr>
      </w:pPr>
      <w:r>
        <w:rPr>
          <w:b/>
          <w:noProof/>
        </w:rPr>
        <w:t xml:space="preserve">Mercury-added products referred to in Article 5 </w:t>
      </w:r>
    </w:p>
    <w:p w:rsidR="001F63C5" w:rsidRDefault="001F63C5">
      <w:pPr>
        <w:ind w:left="1440" w:firstLine="720"/>
        <w:rPr>
          <w:noProof/>
        </w:rPr>
      </w:pPr>
    </w:p>
    <w:p w:rsidR="001F63C5" w:rsidRDefault="00ED4E22">
      <w:pPr>
        <w:rPr>
          <w:b/>
          <w:noProof/>
        </w:rPr>
      </w:pPr>
      <w:r>
        <w:rPr>
          <w:b/>
          <w:noProof/>
        </w:rPr>
        <w:t>Part A - Mercury-added products</w:t>
      </w:r>
    </w:p>
    <w:p w:rsidR="001F63C5" w:rsidRDefault="001F63C5">
      <w:pPr>
        <w:rPr>
          <w:noProof/>
          <w:lang w:val="en-US"/>
        </w:rPr>
      </w:pPr>
    </w:p>
    <w:tbl>
      <w:tblPr>
        <w:tblW w:w="9786" w:type="dxa"/>
        <w:tblInd w:w="108" w:type="dxa"/>
        <w:tblLayout w:type="fixed"/>
        <w:tblCellMar>
          <w:top w:w="57" w:type="dxa"/>
          <w:bottom w:w="57" w:type="dxa"/>
        </w:tblCellMar>
        <w:tblLook w:val="0000" w:firstRow="0" w:lastRow="0" w:firstColumn="0" w:lastColumn="0" w:noHBand="0" w:noVBand="0"/>
      </w:tblPr>
      <w:tblGrid>
        <w:gridCol w:w="9786"/>
      </w:tblGrid>
      <w:tr w:rsidR="001F63C5">
        <w:tc>
          <w:tcPr>
            <w:tcW w:w="9786" w:type="dxa"/>
            <w:tcBorders>
              <w:top w:val="single" w:sz="4" w:space="0" w:color="000000"/>
              <w:left w:val="single" w:sz="4" w:space="0" w:color="000000"/>
              <w:bottom w:val="single" w:sz="4" w:space="0" w:color="000000"/>
              <w:right w:val="single" w:sz="4" w:space="0" w:color="auto"/>
            </w:tcBorders>
          </w:tcPr>
          <w:p w:rsidR="001F63C5" w:rsidRDefault="00ED4E22">
            <w:pPr>
              <w:snapToGrid w:val="0"/>
              <w:ind w:left="252" w:hanging="240"/>
              <w:rPr>
                <w:rFonts w:eastAsia="SimSun"/>
                <w:noProof/>
                <w:lang w:val="en-US"/>
              </w:rPr>
            </w:pPr>
            <w:r>
              <w:rPr>
                <w:rFonts w:eastAsia="SimSun"/>
                <w:b/>
                <w:noProof/>
                <w:lang w:val="en-US"/>
              </w:rPr>
              <w:t>1.</w:t>
            </w:r>
            <w:r>
              <w:rPr>
                <w:rFonts w:eastAsia="SimSun"/>
                <w:noProof/>
                <w:lang w:val="en-US"/>
              </w:rPr>
              <w:t xml:space="preserve"> Batteries, except for button zinc silver oxide batteries with a mercury content &lt; 2%, button zinc air batteries with a mercury content  &lt; 2%.</w:t>
            </w:r>
          </w:p>
        </w:tc>
      </w:tr>
      <w:tr w:rsidR="001F63C5">
        <w:trPr>
          <w:trHeight w:val="170"/>
        </w:trPr>
        <w:tc>
          <w:tcPr>
            <w:tcW w:w="9786" w:type="dxa"/>
            <w:tcBorders>
              <w:top w:val="single" w:sz="4" w:space="0" w:color="000000"/>
              <w:left w:val="single" w:sz="4" w:space="0" w:color="000000"/>
              <w:bottom w:val="single" w:sz="4" w:space="0" w:color="000000"/>
              <w:right w:val="single" w:sz="4" w:space="0" w:color="auto"/>
            </w:tcBorders>
          </w:tcPr>
          <w:p w:rsidR="001F63C5" w:rsidRDefault="00ED4E22">
            <w:pPr>
              <w:snapToGrid w:val="0"/>
              <w:ind w:left="252" w:hanging="252"/>
              <w:rPr>
                <w:rFonts w:eastAsia="SimSun"/>
                <w:noProof/>
                <w:lang w:val="en-US"/>
              </w:rPr>
            </w:pPr>
            <w:r>
              <w:rPr>
                <w:rFonts w:eastAsia="SimSun"/>
                <w:b/>
                <w:noProof/>
                <w:lang w:val="en-US"/>
              </w:rPr>
              <w:t>2.</w:t>
            </w:r>
            <w:r>
              <w:rPr>
                <w:rFonts w:eastAsia="SimSun"/>
                <w:noProof/>
                <w:lang w:val="en-US"/>
              </w:rPr>
              <w:t xml:space="preserve"> Switches and relays, except very high accuracy capacitance and loss measurement bridges and high frequency radio frequency switches and relays in monitoring and control instruments with a maximum mercury content of 20 mg per bridge, switch or relay.</w:t>
            </w:r>
          </w:p>
        </w:tc>
      </w:tr>
      <w:tr w:rsidR="001F63C5">
        <w:trPr>
          <w:trHeight w:val="170"/>
        </w:trPr>
        <w:tc>
          <w:tcPr>
            <w:tcW w:w="9786" w:type="dxa"/>
            <w:tcBorders>
              <w:top w:val="single" w:sz="4" w:space="0" w:color="000000"/>
              <w:left w:val="single" w:sz="4" w:space="0" w:color="000000"/>
              <w:bottom w:val="single" w:sz="4" w:space="0" w:color="000000"/>
              <w:right w:val="single" w:sz="4" w:space="0" w:color="auto"/>
            </w:tcBorders>
          </w:tcPr>
          <w:p w:rsidR="001F63C5" w:rsidRDefault="00ED4E22">
            <w:pPr>
              <w:snapToGrid w:val="0"/>
              <w:ind w:left="252" w:hanging="252"/>
              <w:rPr>
                <w:rFonts w:eastAsia="SimSun"/>
                <w:noProof/>
                <w:lang w:val="en-US"/>
              </w:rPr>
            </w:pPr>
            <w:r>
              <w:rPr>
                <w:rFonts w:eastAsia="SimSun"/>
                <w:b/>
                <w:noProof/>
                <w:lang w:val="en-US"/>
              </w:rPr>
              <w:t>3.</w:t>
            </w:r>
            <w:r>
              <w:rPr>
                <w:rFonts w:eastAsia="SimSun"/>
                <w:noProof/>
                <w:lang w:val="en-US"/>
              </w:rPr>
              <w:t xml:space="preserve"> C</w:t>
            </w:r>
            <w:r>
              <w:rPr>
                <w:rFonts w:eastAsia="SimSun"/>
                <w:noProof/>
                <w:lang w:val="en-US"/>
              </w:rPr>
              <w:t>ompact fluorescent lamps (CFLs) for general lighting purposes  that are ≤ 30 watts with a mercury content exceeding 5 mg per lamp burner.</w:t>
            </w:r>
          </w:p>
        </w:tc>
      </w:tr>
      <w:tr w:rsidR="001F63C5">
        <w:trPr>
          <w:trHeight w:val="170"/>
        </w:trPr>
        <w:tc>
          <w:tcPr>
            <w:tcW w:w="9786" w:type="dxa"/>
            <w:tcBorders>
              <w:top w:val="single" w:sz="4" w:space="0" w:color="000000"/>
              <w:left w:val="single" w:sz="4" w:space="0" w:color="000000"/>
              <w:bottom w:val="single" w:sz="4" w:space="0" w:color="000000"/>
              <w:right w:val="single" w:sz="4" w:space="0" w:color="auto"/>
            </w:tcBorders>
          </w:tcPr>
          <w:p w:rsidR="001F63C5" w:rsidRDefault="00ED4E22">
            <w:pPr>
              <w:snapToGrid w:val="0"/>
              <w:rPr>
                <w:rFonts w:eastAsia="SimSun"/>
                <w:noProof/>
                <w:lang w:val="en-US"/>
              </w:rPr>
            </w:pPr>
            <w:r>
              <w:rPr>
                <w:rFonts w:eastAsia="SimSun"/>
                <w:b/>
                <w:noProof/>
                <w:lang w:val="en-US"/>
              </w:rPr>
              <w:t>4.</w:t>
            </w:r>
            <w:r>
              <w:rPr>
                <w:rFonts w:eastAsia="SimSun"/>
                <w:noProof/>
                <w:lang w:val="en-US"/>
              </w:rPr>
              <w:t xml:space="preserve"> The following linear fluorescent lamps (LFLs) for general lighting purposes:</w:t>
            </w:r>
          </w:p>
          <w:p w:rsidR="001F63C5" w:rsidRDefault="00ED4E22">
            <w:pPr>
              <w:numPr>
                <w:ilvl w:val="0"/>
                <w:numId w:val="5"/>
              </w:numPr>
              <w:suppressAutoHyphens/>
              <w:jc w:val="left"/>
              <w:rPr>
                <w:rFonts w:eastAsia="SimSun"/>
                <w:noProof/>
                <w:lang w:val="en-US"/>
              </w:rPr>
            </w:pPr>
            <w:r>
              <w:rPr>
                <w:rFonts w:eastAsia="SimSun"/>
                <w:noProof/>
                <w:lang w:val="en-US"/>
              </w:rPr>
              <w:t xml:space="preserve">Triband phosphor &lt; 60 watts with a </w:t>
            </w:r>
            <w:r>
              <w:rPr>
                <w:rFonts w:eastAsia="SimSun"/>
                <w:noProof/>
                <w:lang w:val="en-US"/>
              </w:rPr>
              <w:t>mercury content exceeding 5 mg per lamp;</w:t>
            </w:r>
          </w:p>
          <w:p w:rsidR="001F63C5" w:rsidRDefault="00ED4E22">
            <w:pPr>
              <w:numPr>
                <w:ilvl w:val="0"/>
                <w:numId w:val="5"/>
              </w:numPr>
              <w:suppressAutoHyphens/>
              <w:jc w:val="left"/>
              <w:rPr>
                <w:rFonts w:eastAsia="SimSun"/>
                <w:noProof/>
                <w:lang w:val="en-US"/>
              </w:rPr>
            </w:pPr>
            <w:r>
              <w:rPr>
                <w:rFonts w:eastAsia="SimSun"/>
                <w:noProof/>
                <w:lang w:val="en-US"/>
              </w:rPr>
              <w:t>Halophosphate phosphor ≤ 40 watts with a mercury content exceeding 10 mg per lamp.</w:t>
            </w:r>
          </w:p>
        </w:tc>
      </w:tr>
      <w:tr w:rsidR="001F63C5">
        <w:trPr>
          <w:trHeight w:val="170"/>
        </w:trPr>
        <w:tc>
          <w:tcPr>
            <w:tcW w:w="9786" w:type="dxa"/>
            <w:tcBorders>
              <w:top w:val="single" w:sz="4" w:space="0" w:color="000000"/>
              <w:left w:val="single" w:sz="4" w:space="0" w:color="000000"/>
              <w:bottom w:val="single" w:sz="4" w:space="0" w:color="000000"/>
              <w:right w:val="single" w:sz="4" w:space="0" w:color="auto"/>
            </w:tcBorders>
          </w:tcPr>
          <w:p w:rsidR="001F63C5" w:rsidRDefault="00ED4E22">
            <w:pPr>
              <w:snapToGrid w:val="0"/>
              <w:rPr>
                <w:rFonts w:eastAsia="SimSun"/>
                <w:noProof/>
                <w:lang w:val="en-US"/>
              </w:rPr>
            </w:pPr>
            <w:r>
              <w:rPr>
                <w:rFonts w:eastAsia="SimSun"/>
                <w:b/>
                <w:noProof/>
                <w:lang w:val="en-US"/>
              </w:rPr>
              <w:t>5.</w:t>
            </w:r>
            <w:r>
              <w:rPr>
                <w:rFonts w:eastAsia="SimSun"/>
                <w:noProof/>
                <w:lang w:val="en-US"/>
              </w:rPr>
              <w:t xml:space="preserve"> High pressure mercury vapour lamps (HPMV) for general lighting purposes.</w:t>
            </w:r>
          </w:p>
        </w:tc>
      </w:tr>
      <w:tr w:rsidR="001F63C5">
        <w:trPr>
          <w:trHeight w:val="170"/>
        </w:trPr>
        <w:tc>
          <w:tcPr>
            <w:tcW w:w="9786" w:type="dxa"/>
            <w:tcBorders>
              <w:top w:val="single" w:sz="4" w:space="0" w:color="000000"/>
              <w:left w:val="single" w:sz="4" w:space="0" w:color="000000"/>
              <w:bottom w:val="single" w:sz="4" w:space="0" w:color="000000"/>
              <w:right w:val="single" w:sz="4" w:space="0" w:color="auto"/>
            </w:tcBorders>
          </w:tcPr>
          <w:p w:rsidR="001F63C5" w:rsidRDefault="00ED4E22">
            <w:pPr>
              <w:snapToGrid w:val="0"/>
              <w:ind w:left="252" w:hanging="252"/>
              <w:rPr>
                <w:rFonts w:eastAsia="SimSun"/>
                <w:noProof/>
                <w:lang w:val="en-US"/>
              </w:rPr>
            </w:pPr>
            <w:r>
              <w:rPr>
                <w:rFonts w:eastAsia="SimSun"/>
                <w:b/>
                <w:noProof/>
                <w:lang w:val="en-US"/>
              </w:rPr>
              <w:t>6.</w:t>
            </w:r>
            <w:r>
              <w:rPr>
                <w:rFonts w:eastAsia="SimSun"/>
                <w:noProof/>
                <w:lang w:val="en-US"/>
              </w:rPr>
              <w:t xml:space="preserve"> The following mercury added cold cathode fluorescen</w:t>
            </w:r>
            <w:r>
              <w:rPr>
                <w:rFonts w:eastAsia="SimSun"/>
                <w:noProof/>
                <w:lang w:val="en-US"/>
              </w:rPr>
              <w:t xml:space="preserve">t lamps and external electrode fluorescent lamps (CCFL and EEFL) for electronic displays: </w:t>
            </w:r>
          </w:p>
          <w:p w:rsidR="001F63C5" w:rsidRDefault="00ED4E22">
            <w:pPr>
              <w:rPr>
                <w:rFonts w:eastAsia="SimSun"/>
                <w:noProof/>
                <w:lang w:val="en-US"/>
              </w:rPr>
            </w:pPr>
            <w:r>
              <w:rPr>
                <w:rFonts w:eastAsia="SimSun"/>
                <w:noProof/>
                <w:lang w:val="en-US"/>
              </w:rPr>
              <w:t>(a) short length (≤ 500 mm) with mercury content exceeding 3.5 mg per lamp;</w:t>
            </w:r>
          </w:p>
          <w:p w:rsidR="001F63C5" w:rsidRDefault="00ED4E22">
            <w:pPr>
              <w:rPr>
                <w:rFonts w:eastAsia="SimSun"/>
                <w:noProof/>
                <w:lang w:val="en-US"/>
              </w:rPr>
            </w:pPr>
            <w:r>
              <w:rPr>
                <w:rFonts w:eastAsia="SimSun"/>
                <w:noProof/>
                <w:lang w:val="en-US"/>
              </w:rPr>
              <w:t>(b) medium length (&gt; 500 mm and ≤ 1 500 mm) with mercury content exceeding 5 mg per lamp;</w:t>
            </w:r>
          </w:p>
          <w:p w:rsidR="001F63C5" w:rsidRDefault="00ED4E22">
            <w:pPr>
              <w:rPr>
                <w:rFonts w:eastAsia="SimSun"/>
                <w:noProof/>
                <w:lang w:val="en-US"/>
              </w:rPr>
            </w:pPr>
            <w:r>
              <w:rPr>
                <w:rFonts w:eastAsia="SimSun"/>
                <w:noProof/>
                <w:lang w:val="en-US"/>
              </w:rPr>
              <w:t>(c) long length (&gt; 1 500 mm) with mercury content exceeding 13 mg per lamp.</w:t>
            </w:r>
          </w:p>
        </w:tc>
      </w:tr>
      <w:tr w:rsidR="001F63C5">
        <w:trPr>
          <w:trHeight w:val="170"/>
        </w:trPr>
        <w:tc>
          <w:tcPr>
            <w:tcW w:w="9786" w:type="dxa"/>
            <w:tcBorders>
              <w:top w:val="single" w:sz="4" w:space="0" w:color="000000"/>
              <w:left w:val="single" w:sz="4" w:space="0" w:color="000000"/>
              <w:bottom w:val="single" w:sz="4" w:space="0" w:color="000000"/>
              <w:right w:val="single" w:sz="4" w:space="0" w:color="auto"/>
            </w:tcBorders>
          </w:tcPr>
          <w:p w:rsidR="001F63C5" w:rsidRDefault="00ED4E22">
            <w:pPr>
              <w:snapToGrid w:val="0"/>
              <w:ind w:left="252" w:hanging="252"/>
              <w:rPr>
                <w:rFonts w:eastAsia="SimSun"/>
                <w:noProof/>
                <w:lang w:val="en-US"/>
              </w:rPr>
            </w:pPr>
            <w:r>
              <w:rPr>
                <w:rFonts w:eastAsia="SimSun"/>
                <w:b/>
                <w:noProof/>
                <w:lang w:val="en-US"/>
              </w:rPr>
              <w:t>7.</w:t>
            </w:r>
            <w:r>
              <w:rPr>
                <w:rFonts w:eastAsia="SimSun"/>
                <w:noProof/>
                <w:lang w:val="en-US"/>
              </w:rPr>
              <w:t xml:space="preserve"> Cosmetics with mercury and mercury compounds, except those special cases included in Annex V entry 17 of Regulation (EC) No 1223/2009 of the European Parliament and of the Cou</w:t>
            </w:r>
            <w:r>
              <w:rPr>
                <w:rFonts w:eastAsia="SimSun"/>
                <w:noProof/>
                <w:lang w:val="en-US"/>
              </w:rPr>
              <w:t>ncil</w:t>
            </w:r>
            <w:r>
              <w:rPr>
                <w:rStyle w:val="FootnoteReference"/>
                <w:rFonts w:eastAsia="SimSun"/>
                <w:noProof/>
                <w:lang w:val="en-US"/>
              </w:rPr>
              <w:footnoteReference w:id="1"/>
            </w:r>
            <w:r>
              <w:rPr>
                <w:rFonts w:eastAsia="SimSun"/>
                <w:noProof/>
                <w:lang w:val="en-US"/>
              </w:rPr>
              <w:t>.</w:t>
            </w:r>
          </w:p>
        </w:tc>
      </w:tr>
      <w:tr w:rsidR="001F63C5">
        <w:tc>
          <w:tcPr>
            <w:tcW w:w="9786" w:type="dxa"/>
            <w:tcBorders>
              <w:top w:val="single" w:sz="4" w:space="0" w:color="000000"/>
              <w:left w:val="single" w:sz="4" w:space="0" w:color="000000"/>
              <w:bottom w:val="single" w:sz="4" w:space="0" w:color="000000"/>
              <w:right w:val="single" w:sz="4" w:space="0" w:color="auto"/>
            </w:tcBorders>
          </w:tcPr>
          <w:p w:rsidR="001F63C5" w:rsidRDefault="00ED4E22">
            <w:pPr>
              <w:snapToGrid w:val="0"/>
              <w:rPr>
                <w:rFonts w:eastAsia="SimSun"/>
                <w:noProof/>
                <w:lang w:val="en-US"/>
              </w:rPr>
            </w:pPr>
            <w:r>
              <w:rPr>
                <w:rFonts w:eastAsia="SimSun"/>
                <w:b/>
                <w:noProof/>
                <w:lang w:val="en-US"/>
              </w:rPr>
              <w:t>8.</w:t>
            </w:r>
            <w:r>
              <w:rPr>
                <w:rFonts w:eastAsia="SimSun"/>
                <w:noProof/>
                <w:lang w:val="en-US"/>
              </w:rPr>
              <w:t xml:space="preserve"> Pesticides, biocides and topical antiseptics.</w:t>
            </w:r>
          </w:p>
        </w:tc>
      </w:tr>
      <w:tr w:rsidR="001F63C5">
        <w:trPr>
          <w:trHeight w:val="170"/>
        </w:trPr>
        <w:tc>
          <w:tcPr>
            <w:tcW w:w="9786" w:type="dxa"/>
            <w:tcBorders>
              <w:top w:val="single" w:sz="4" w:space="0" w:color="000000"/>
              <w:left w:val="single" w:sz="4" w:space="0" w:color="000000"/>
              <w:bottom w:val="single" w:sz="4" w:space="0" w:color="000000"/>
              <w:right w:val="single" w:sz="4" w:space="0" w:color="auto"/>
            </w:tcBorders>
          </w:tcPr>
          <w:p w:rsidR="001F63C5" w:rsidRDefault="00ED4E22">
            <w:pPr>
              <w:snapToGrid w:val="0"/>
              <w:ind w:left="252" w:hanging="252"/>
              <w:rPr>
                <w:rFonts w:eastAsia="SimSun"/>
                <w:noProof/>
                <w:lang w:val="en-US"/>
              </w:rPr>
            </w:pPr>
            <w:r>
              <w:rPr>
                <w:rFonts w:eastAsia="SimSun"/>
                <w:b/>
                <w:noProof/>
                <w:lang w:val="en-US"/>
              </w:rPr>
              <w:t>9.</w:t>
            </w:r>
            <w:r>
              <w:rPr>
                <w:rFonts w:eastAsia="SimSun"/>
                <w:noProof/>
                <w:lang w:val="en-US"/>
              </w:rPr>
              <w:t xml:space="preserve"> The following non-electronic measuring devices where no suitable mercury-free alternative is available:</w:t>
            </w:r>
          </w:p>
          <w:p w:rsidR="001F63C5" w:rsidRDefault="00ED4E22">
            <w:pPr>
              <w:rPr>
                <w:rFonts w:eastAsia="SimSun"/>
                <w:noProof/>
                <w:lang w:val="en-US"/>
              </w:rPr>
            </w:pPr>
            <w:r>
              <w:rPr>
                <w:rFonts w:eastAsia="SimSun"/>
                <w:noProof/>
                <w:lang w:val="en-US"/>
              </w:rPr>
              <w:t xml:space="preserve">(a) barometers; </w:t>
            </w:r>
          </w:p>
          <w:p w:rsidR="001F63C5" w:rsidRDefault="00ED4E22">
            <w:pPr>
              <w:rPr>
                <w:rFonts w:eastAsia="SimSun"/>
                <w:noProof/>
                <w:lang w:val="en-US"/>
              </w:rPr>
            </w:pPr>
            <w:r>
              <w:rPr>
                <w:rFonts w:eastAsia="SimSun"/>
                <w:noProof/>
                <w:lang w:val="en-US"/>
              </w:rPr>
              <w:t xml:space="preserve">(b) hygrometers; </w:t>
            </w:r>
          </w:p>
          <w:p w:rsidR="001F63C5" w:rsidRDefault="00ED4E22">
            <w:pPr>
              <w:rPr>
                <w:rFonts w:eastAsia="SimSun"/>
                <w:noProof/>
                <w:lang w:val="en-US"/>
              </w:rPr>
            </w:pPr>
            <w:r>
              <w:rPr>
                <w:rFonts w:eastAsia="SimSun"/>
                <w:noProof/>
                <w:lang w:val="en-US"/>
              </w:rPr>
              <w:t xml:space="preserve">(c) manometers; </w:t>
            </w:r>
          </w:p>
          <w:p w:rsidR="001F63C5" w:rsidRDefault="00ED4E22">
            <w:pPr>
              <w:rPr>
                <w:rFonts w:eastAsia="SimSun"/>
                <w:noProof/>
                <w:lang w:val="en-US"/>
              </w:rPr>
            </w:pPr>
            <w:r>
              <w:rPr>
                <w:rFonts w:eastAsia="SimSun"/>
                <w:noProof/>
                <w:lang w:val="en-US"/>
              </w:rPr>
              <w:t>(d) thermometers;</w:t>
            </w:r>
          </w:p>
          <w:p w:rsidR="001F63C5" w:rsidRDefault="00ED4E22">
            <w:pPr>
              <w:rPr>
                <w:rFonts w:eastAsia="SimSun"/>
                <w:noProof/>
                <w:lang w:val="en-US"/>
              </w:rPr>
            </w:pPr>
            <w:r>
              <w:rPr>
                <w:rFonts w:eastAsia="SimSun"/>
                <w:noProof/>
                <w:lang w:val="en-US"/>
              </w:rPr>
              <w:lastRenderedPageBreak/>
              <w:t xml:space="preserve">(e) </w:t>
            </w:r>
            <w:r>
              <w:rPr>
                <w:rFonts w:eastAsia="SimSun"/>
                <w:noProof/>
                <w:lang w:val="en-US"/>
              </w:rPr>
              <w:t>sphygmomanometers;</w:t>
            </w:r>
          </w:p>
          <w:p w:rsidR="001F63C5" w:rsidRDefault="00ED4E22">
            <w:pPr>
              <w:rPr>
                <w:rFonts w:eastAsia="SimSun"/>
                <w:noProof/>
                <w:lang w:val="en-US"/>
              </w:rPr>
            </w:pPr>
            <w:r>
              <w:rPr>
                <w:rFonts w:eastAsia="SimSun"/>
                <w:noProof/>
                <w:lang w:val="en-US"/>
              </w:rPr>
              <w:t>This entry does not cover the following measuring devices:</w:t>
            </w:r>
          </w:p>
          <w:p w:rsidR="001F63C5" w:rsidRDefault="00ED4E22">
            <w:pPr>
              <w:pStyle w:val="ListParagraph"/>
              <w:numPr>
                <w:ilvl w:val="0"/>
                <w:numId w:val="12"/>
              </w:numPr>
              <w:spacing w:before="120" w:after="120"/>
              <w:ind w:left="372"/>
              <w:rPr>
                <w:rFonts w:eastAsia="SimSun"/>
                <w:noProof/>
                <w:sz w:val="24"/>
                <w:szCs w:val="24"/>
                <w:lang w:val="en-US"/>
              </w:rPr>
            </w:pPr>
            <w:r>
              <w:rPr>
                <w:rFonts w:eastAsia="SimSun"/>
                <w:noProof/>
                <w:sz w:val="24"/>
                <w:szCs w:val="24"/>
                <w:lang w:val="en-US"/>
              </w:rPr>
              <w:t>non-electronic measuring devices installed in large-scale equipment or those used for high precision measurement;</w:t>
            </w:r>
          </w:p>
          <w:p w:rsidR="001F63C5" w:rsidRDefault="00ED4E22">
            <w:pPr>
              <w:pStyle w:val="ListParagraph"/>
              <w:numPr>
                <w:ilvl w:val="0"/>
                <w:numId w:val="12"/>
              </w:numPr>
              <w:spacing w:before="120" w:after="120"/>
              <w:ind w:left="372"/>
              <w:rPr>
                <w:rFonts w:eastAsia="SimSun"/>
                <w:noProof/>
                <w:sz w:val="24"/>
                <w:szCs w:val="24"/>
                <w:lang w:val="en-US"/>
              </w:rPr>
            </w:pPr>
            <w:r>
              <w:rPr>
                <w:rFonts w:eastAsia="SimSun"/>
                <w:noProof/>
                <w:sz w:val="24"/>
                <w:szCs w:val="24"/>
                <w:lang w:val="en-US"/>
              </w:rPr>
              <w:t>measuring devices more than 50 years old on 3 October 2007;</w:t>
            </w:r>
          </w:p>
          <w:p w:rsidR="001F63C5" w:rsidRDefault="00ED4E22">
            <w:pPr>
              <w:pStyle w:val="ListParagraph"/>
              <w:numPr>
                <w:ilvl w:val="0"/>
                <w:numId w:val="12"/>
              </w:numPr>
              <w:spacing w:before="120" w:after="120"/>
              <w:ind w:left="372"/>
              <w:rPr>
                <w:rFonts w:eastAsia="SimSun"/>
                <w:noProof/>
                <w:sz w:val="24"/>
                <w:szCs w:val="24"/>
                <w:lang w:val="en-US"/>
              </w:rPr>
            </w:pPr>
            <w:r>
              <w:rPr>
                <w:rFonts w:eastAsia="SimSun"/>
                <w:noProof/>
                <w:sz w:val="24"/>
                <w:szCs w:val="24"/>
                <w:lang w:val="en-US"/>
              </w:rPr>
              <w:t>meas</w:t>
            </w:r>
            <w:r>
              <w:rPr>
                <w:rFonts w:eastAsia="SimSun"/>
                <w:noProof/>
                <w:sz w:val="24"/>
                <w:szCs w:val="24"/>
                <w:lang w:val="en-US"/>
              </w:rPr>
              <w:t>uring devices, which are to be displayed in public exhibitions for cultural and historical purposes.</w:t>
            </w:r>
          </w:p>
        </w:tc>
      </w:tr>
    </w:tbl>
    <w:p w:rsidR="001F63C5" w:rsidRDefault="001F63C5">
      <w:pPr>
        <w:rPr>
          <w:noProof/>
        </w:rPr>
      </w:pPr>
    </w:p>
    <w:p w:rsidR="001F63C5" w:rsidRDefault="00ED4E22">
      <w:pPr>
        <w:rPr>
          <w:b/>
          <w:noProof/>
        </w:rPr>
      </w:pPr>
      <w:r>
        <w:rPr>
          <w:b/>
          <w:noProof/>
        </w:rPr>
        <w:t>Part B - Additional products excluded from the list in Part A of this Annex</w:t>
      </w:r>
    </w:p>
    <w:p w:rsidR="001F63C5" w:rsidRDefault="001F63C5">
      <w:pPr>
        <w:rPr>
          <w:noProof/>
        </w:rPr>
      </w:pPr>
    </w:p>
    <w:p w:rsidR="001F63C5" w:rsidRDefault="00ED4E22">
      <w:pPr>
        <w:rPr>
          <w:noProof/>
        </w:rPr>
      </w:pPr>
      <w:r>
        <w:rPr>
          <w:noProof/>
        </w:rPr>
        <w:t xml:space="preserve">Switches and relays, cold cathode fluorescent lamps and external electrode </w:t>
      </w:r>
      <w:r>
        <w:rPr>
          <w:noProof/>
        </w:rPr>
        <w:t>fluorescent lamps (CCFL and EEFL) for electronic displays and measuring devices, when they are used to replace a component of a larger equipment and provided that no feasible mercury-free alternative for that component is available, in accordance with Dire</w:t>
      </w:r>
      <w:r>
        <w:rPr>
          <w:noProof/>
        </w:rPr>
        <w:t>ctive 2000/53/EC of the European Parliament and of the Council</w:t>
      </w:r>
      <w:r>
        <w:rPr>
          <w:rStyle w:val="FootnoteReference"/>
          <w:noProof/>
        </w:rPr>
        <w:footnoteReference w:id="2"/>
      </w:r>
      <w:r>
        <w:rPr>
          <w:noProof/>
        </w:rPr>
        <w:t xml:space="preserve"> and Directive 2011/65/EU of the European Parliament and of the Council</w:t>
      </w:r>
      <w:r>
        <w:rPr>
          <w:rStyle w:val="FootnoteReference"/>
          <w:noProof/>
        </w:rPr>
        <w:footnoteReference w:id="3"/>
      </w:r>
      <w:r>
        <w:rPr>
          <w:noProof/>
        </w:rPr>
        <w:t>.</w:t>
      </w:r>
    </w:p>
    <w:p w:rsidR="001F63C5" w:rsidRDefault="00ED4E22">
      <w:pPr>
        <w:pStyle w:val="Annexetitre"/>
        <w:rPr>
          <w:noProof/>
          <w:u w:val="none"/>
        </w:rPr>
      </w:pPr>
      <w:r>
        <w:rPr>
          <w:noProof/>
        </w:rPr>
        <w:br w:type="page"/>
      </w:r>
      <w:r>
        <w:rPr>
          <w:noProof/>
          <w:u w:val="none"/>
        </w:rPr>
        <w:lastRenderedPageBreak/>
        <w:t>ANNEX III</w:t>
      </w:r>
    </w:p>
    <w:p w:rsidR="001F63C5" w:rsidRDefault="00ED4E22">
      <w:pPr>
        <w:pStyle w:val="NormalCentered"/>
        <w:rPr>
          <w:b/>
          <w:noProof/>
        </w:rPr>
      </w:pPr>
      <w:r>
        <w:rPr>
          <w:b/>
          <w:noProof/>
        </w:rPr>
        <w:t xml:space="preserve">Mercury-related requirements applicable to manufacturing processes </w:t>
      </w:r>
    </w:p>
    <w:p w:rsidR="001F63C5" w:rsidRDefault="001F63C5">
      <w:pPr>
        <w:rPr>
          <w:b/>
          <w:noProof/>
          <w:szCs w:val="24"/>
        </w:rPr>
      </w:pPr>
    </w:p>
    <w:p w:rsidR="001F63C5" w:rsidRDefault="00ED4E22">
      <w:pPr>
        <w:tabs>
          <w:tab w:val="left" w:pos="1080"/>
        </w:tabs>
        <w:ind w:left="960" w:hanging="960"/>
        <w:rPr>
          <w:b/>
          <w:noProof/>
          <w:szCs w:val="24"/>
        </w:rPr>
      </w:pPr>
      <w:r>
        <w:rPr>
          <w:b/>
          <w:noProof/>
          <w:szCs w:val="24"/>
        </w:rPr>
        <w:t>Part I: Prohibited use of mercury or me</w:t>
      </w:r>
      <w:r>
        <w:rPr>
          <w:b/>
          <w:noProof/>
          <w:szCs w:val="24"/>
        </w:rPr>
        <w:t xml:space="preserve">rcury compounds in manufacturing processes </w:t>
      </w:r>
    </w:p>
    <w:p w:rsidR="001F63C5" w:rsidRDefault="001F63C5">
      <w:pPr>
        <w:tabs>
          <w:tab w:val="left" w:pos="1080"/>
        </w:tabs>
        <w:ind w:left="960" w:hanging="960"/>
        <w:rPr>
          <w:b/>
          <w:noProof/>
          <w:szCs w:val="24"/>
        </w:rPr>
      </w:pPr>
    </w:p>
    <w:p w:rsidR="001F63C5" w:rsidRDefault="00ED4E22">
      <w:pPr>
        <w:pStyle w:val="Point0letter"/>
        <w:numPr>
          <w:ilvl w:val="1"/>
          <w:numId w:val="10"/>
        </w:numPr>
        <w:rPr>
          <w:noProof/>
        </w:rPr>
      </w:pPr>
      <w:r>
        <w:rPr>
          <w:noProof/>
        </w:rPr>
        <w:t>from 1 January 2019: acetaldehyde production</w:t>
      </w:r>
    </w:p>
    <w:p w:rsidR="001F63C5" w:rsidRDefault="00ED4E22">
      <w:pPr>
        <w:pStyle w:val="Point0letter"/>
        <w:rPr>
          <w:noProof/>
        </w:rPr>
      </w:pPr>
      <w:r>
        <w:rPr>
          <w:noProof/>
        </w:rPr>
        <w:t>from 1 January 2019: vinyl chloride monomer production</w:t>
      </w:r>
    </w:p>
    <w:p w:rsidR="001F63C5" w:rsidRDefault="001F63C5">
      <w:pPr>
        <w:rPr>
          <w:noProof/>
          <w:szCs w:val="24"/>
        </w:rPr>
      </w:pPr>
    </w:p>
    <w:p w:rsidR="001F63C5" w:rsidRDefault="00ED4E22">
      <w:pPr>
        <w:tabs>
          <w:tab w:val="left" w:pos="1080"/>
        </w:tabs>
        <w:ind w:left="960" w:hanging="960"/>
        <w:rPr>
          <w:b/>
          <w:noProof/>
          <w:szCs w:val="24"/>
        </w:rPr>
      </w:pPr>
      <w:r>
        <w:rPr>
          <w:b/>
          <w:noProof/>
          <w:szCs w:val="24"/>
        </w:rPr>
        <w:t xml:space="preserve">Part II: Manufacturing processes subject to restrictions on use and releases of mercury and mercury compounds </w:t>
      </w:r>
    </w:p>
    <w:p w:rsidR="001F63C5" w:rsidRDefault="001F63C5">
      <w:pPr>
        <w:tabs>
          <w:tab w:val="left" w:pos="1080"/>
        </w:tabs>
        <w:ind w:left="960" w:hanging="960"/>
        <w:rPr>
          <w:b/>
          <w:noProof/>
          <w:szCs w:val="24"/>
        </w:rPr>
      </w:pPr>
    </w:p>
    <w:p w:rsidR="001F63C5" w:rsidRDefault="00ED4E22">
      <w:pPr>
        <w:rPr>
          <w:b/>
          <w:i/>
          <w:noProof/>
          <w:szCs w:val="24"/>
        </w:rPr>
      </w:pPr>
      <w:r>
        <w:rPr>
          <w:b/>
          <w:i/>
          <w:noProof/>
          <w:szCs w:val="24"/>
        </w:rPr>
        <w:t xml:space="preserve">Production of sodium or potassium methylate or ethylate </w:t>
      </w:r>
    </w:p>
    <w:p w:rsidR="001F63C5" w:rsidRDefault="00ED4E22">
      <w:pPr>
        <w:rPr>
          <w:noProof/>
          <w:szCs w:val="24"/>
        </w:rPr>
      </w:pPr>
      <w:r>
        <w:rPr>
          <w:noProof/>
          <w:szCs w:val="24"/>
        </w:rPr>
        <w:t xml:space="preserve">The production of sodium or potassium methylate or ethylate shall be carried out in accordance with the following requirements: </w:t>
      </w:r>
    </w:p>
    <w:p w:rsidR="001F63C5" w:rsidRDefault="00ED4E22">
      <w:pPr>
        <w:pStyle w:val="Tiret0"/>
        <w:numPr>
          <w:ilvl w:val="0"/>
          <w:numId w:val="13"/>
        </w:numPr>
        <w:rPr>
          <w:noProof/>
        </w:rPr>
      </w:pPr>
      <w:r>
        <w:rPr>
          <w:noProof/>
        </w:rPr>
        <w:t xml:space="preserve">No use of mercury from primary mining; </w:t>
      </w:r>
    </w:p>
    <w:p w:rsidR="001F63C5" w:rsidRDefault="00ED4E22">
      <w:pPr>
        <w:pStyle w:val="Tiret0"/>
        <w:rPr>
          <w:noProof/>
        </w:rPr>
      </w:pPr>
      <w:r>
        <w:rPr>
          <w:noProof/>
        </w:rPr>
        <w:t>Reduction of direct and indi</w:t>
      </w:r>
      <w:r>
        <w:rPr>
          <w:noProof/>
        </w:rPr>
        <w:t>rect release of mercury and of  mercury compounds into air, water and land in terms of per tonne of substances produced by 50% by 2020 as compared to 2010; and</w:t>
      </w:r>
    </w:p>
    <w:p w:rsidR="001F63C5" w:rsidRDefault="00ED4E22">
      <w:pPr>
        <w:pStyle w:val="Tiret0"/>
        <w:rPr>
          <w:noProof/>
        </w:rPr>
      </w:pPr>
      <w:r>
        <w:rPr>
          <w:noProof/>
        </w:rPr>
        <w:t>At the date of  entry into force of this Regulation, the capacity of installations using mercury</w:t>
      </w:r>
      <w:r>
        <w:rPr>
          <w:noProof/>
        </w:rPr>
        <w:t xml:space="preserve"> and mercury compounds for the production of sodium or potassium methylate or ethylate that were in operation before that date shall not be increased and no new installations shall be allowed.</w:t>
      </w:r>
    </w:p>
    <w:p w:rsidR="001F63C5" w:rsidRDefault="00ED4E22">
      <w:pPr>
        <w:pStyle w:val="Annexetitre"/>
        <w:rPr>
          <w:noProof/>
          <w:u w:val="none"/>
        </w:rPr>
      </w:pPr>
      <w:r>
        <w:rPr>
          <w:noProof/>
          <w:highlight w:val="cyan"/>
        </w:rPr>
        <w:br w:type="page"/>
      </w:r>
      <w:r>
        <w:rPr>
          <w:noProof/>
          <w:u w:val="none"/>
        </w:rPr>
        <w:lastRenderedPageBreak/>
        <w:t>ANNEX IV</w:t>
      </w:r>
    </w:p>
    <w:p w:rsidR="001F63C5" w:rsidRDefault="00ED4E22">
      <w:pPr>
        <w:pStyle w:val="NormalCentered"/>
        <w:rPr>
          <w:b/>
          <w:noProof/>
        </w:rPr>
      </w:pPr>
      <w:r>
        <w:rPr>
          <w:b/>
          <w:noProof/>
        </w:rPr>
        <w:t>Content of the national plan on artisanal and small-s</w:t>
      </w:r>
      <w:r>
        <w:rPr>
          <w:b/>
          <w:noProof/>
        </w:rPr>
        <w:t>cale gold mining referred to in Article 9</w:t>
      </w:r>
    </w:p>
    <w:p w:rsidR="001F63C5" w:rsidRDefault="001F63C5">
      <w:pPr>
        <w:autoSpaceDE w:val="0"/>
        <w:autoSpaceDN w:val="0"/>
        <w:adjustRightInd w:val="0"/>
        <w:spacing w:before="0" w:after="0"/>
        <w:rPr>
          <w:rFonts w:eastAsia="Calibri"/>
          <w:noProof/>
          <w:sz w:val="20"/>
          <w:szCs w:val="24"/>
          <w:lang w:eastAsia="en-GB"/>
        </w:rPr>
      </w:pPr>
    </w:p>
    <w:p w:rsidR="001F63C5" w:rsidRDefault="00ED4E22">
      <w:pPr>
        <w:rPr>
          <w:noProof/>
        </w:rPr>
      </w:pPr>
      <w:r>
        <w:rPr>
          <w:noProof/>
        </w:rPr>
        <w:t>The national plan shall include the following information:</w:t>
      </w:r>
    </w:p>
    <w:p w:rsidR="001F63C5" w:rsidRDefault="00ED4E22">
      <w:pPr>
        <w:pStyle w:val="Point0letter"/>
        <w:numPr>
          <w:ilvl w:val="1"/>
          <w:numId w:val="11"/>
        </w:numPr>
        <w:rPr>
          <w:noProof/>
        </w:rPr>
      </w:pPr>
      <w:r>
        <w:rPr>
          <w:noProof/>
        </w:rPr>
        <w:t>national objectives and reduction targets;</w:t>
      </w:r>
    </w:p>
    <w:p w:rsidR="001F63C5" w:rsidRDefault="00ED4E22">
      <w:pPr>
        <w:pStyle w:val="Point0letter"/>
        <w:numPr>
          <w:ilvl w:val="1"/>
          <w:numId w:val="10"/>
        </w:numPr>
        <w:rPr>
          <w:noProof/>
        </w:rPr>
      </w:pPr>
      <w:r>
        <w:rPr>
          <w:noProof/>
        </w:rPr>
        <w:t>actions to eliminate:</w:t>
      </w:r>
    </w:p>
    <w:p w:rsidR="001F63C5" w:rsidRDefault="00ED4E22">
      <w:pPr>
        <w:pStyle w:val="Point1"/>
        <w:rPr>
          <w:noProof/>
        </w:rPr>
      </w:pPr>
      <w:r>
        <w:rPr>
          <w:noProof/>
        </w:rPr>
        <w:t>(i)</w:t>
      </w:r>
      <w:r>
        <w:rPr>
          <w:noProof/>
        </w:rPr>
        <w:tab/>
        <w:t>whole ore amalgamation;</w:t>
      </w:r>
    </w:p>
    <w:p w:rsidR="001F63C5" w:rsidRDefault="00ED4E22">
      <w:pPr>
        <w:pStyle w:val="Point1"/>
        <w:rPr>
          <w:noProof/>
        </w:rPr>
      </w:pPr>
      <w:r>
        <w:rPr>
          <w:noProof/>
        </w:rPr>
        <w:t>(ii)</w:t>
      </w:r>
      <w:r>
        <w:rPr>
          <w:noProof/>
        </w:rPr>
        <w:tab/>
        <w:t>open burning of amalgam or processed amalgam;</w:t>
      </w:r>
    </w:p>
    <w:p w:rsidR="001F63C5" w:rsidRDefault="00ED4E22">
      <w:pPr>
        <w:pStyle w:val="Point1"/>
        <w:rPr>
          <w:noProof/>
        </w:rPr>
      </w:pPr>
      <w:r>
        <w:rPr>
          <w:noProof/>
        </w:rPr>
        <w:t>(iii)</w:t>
      </w:r>
      <w:r>
        <w:rPr>
          <w:noProof/>
        </w:rPr>
        <w:tab/>
      </w:r>
      <w:r>
        <w:rPr>
          <w:noProof/>
        </w:rPr>
        <w:t xml:space="preserve">burning of amalgam in residential areas; and </w:t>
      </w:r>
    </w:p>
    <w:p w:rsidR="001F63C5" w:rsidRDefault="00ED4E22">
      <w:pPr>
        <w:pStyle w:val="Point1"/>
        <w:rPr>
          <w:noProof/>
        </w:rPr>
      </w:pPr>
      <w:r>
        <w:rPr>
          <w:noProof/>
        </w:rPr>
        <w:t>(iv)</w:t>
      </w:r>
      <w:r>
        <w:rPr>
          <w:noProof/>
        </w:rPr>
        <w:tab/>
        <w:t>cyanide leaching in sediment, ore or tailings to which mercury has been added without first removing the mercury;</w:t>
      </w:r>
    </w:p>
    <w:p w:rsidR="001F63C5" w:rsidRDefault="00ED4E22">
      <w:pPr>
        <w:pStyle w:val="Point0letter"/>
        <w:numPr>
          <w:ilvl w:val="1"/>
          <w:numId w:val="10"/>
        </w:numPr>
        <w:rPr>
          <w:noProof/>
        </w:rPr>
      </w:pPr>
      <w:r>
        <w:rPr>
          <w:noProof/>
        </w:rPr>
        <w:t xml:space="preserve">steps to facilitate the formalization or regulation of the artisanal and small-scale gold </w:t>
      </w:r>
      <w:r>
        <w:rPr>
          <w:noProof/>
        </w:rPr>
        <w:t>mining sector;</w:t>
      </w:r>
    </w:p>
    <w:p w:rsidR="001F63C5" w:rsidRDefault="00ED4E22">
      <w:pPr>
        <w:pStyle w:val="Point0letter"/>
        <w:numPr>
          <w:ilvl w:val="1"/>
          <w:numId w:val="10"/>
        </w:numPr>
        <w:rPr>
          <w:noProof/>
        </w:rPr>
      </w:pPr>
      <w:r>
        <w:rPr>
          <w:noProof/>
        </w:rPr>
        <w:t>baseline estimates of the quantities of mercury used and the practices employed in artisanal and small</w:t>
      </w:r>
      <w:r>
        <w:rPr>
          <w:noProof/>
        </w:rPr>
        <w:noBreakHyphen/>
        <w:t>scale gold mining and processing within its territory;</w:t>
      </w:r>
    </w:p>
    <w:p w:rsidR="001F63C5" w:rsidRDefault="00ED4E22">
      <w:pPr>
        <w:pStyle w:val="Point0letter"/>
        <w:numPr>
          <w:ilvl w:val="1"/>
          <w:numId w:val="10"/>
        </w:numPr>
        <w:rPr>
          <w:noProof/>
        </w:rPr>
      </w:pPr>
      <w:r>
        <w:rPr>
          <w:noProof/>
        </w:rPr>
        <w:t>strategies for promoting the reduction of emissions and releases of, and exposure t</w:t>
      </w:r>
      <w:r>
        <w:rPr>
          <w:noProof/>
        </w:rPr>
        <w:t>o, mercury in artisanal and small-scale gold mining and processing, including mercury-free methods;</w:t>
      </w:r>
    </w:p>
    <w:p w:rsidR="001F63C5" w:rsidRDefault="00ED4E22">
      <w:pPr>
        <w:pStyle w:val="Point0letter"/>
        <w:numPr>
          <w:ilvl w:val="1"/>
          <w:numId w:val="10"/>
        </w:numPr>
        <w:rPr>
          <w:noProof/>
        </w:rPr>
      </w:pPr>
      <w:r>
        <w:rPr>
          <w:noProof/>
        </w:rPr>
        <w:t>strategies for managing trade and preventing the diversion of mercury and mercury compounds from both foreign and domestic sources to use in artisanal and s</w:t>
      </w:r>
      <w:r>
        <w:rPr>
          <w:noProof/>
        </w:rPr>
        <w:t>mall scale gold mining and processing;</w:t>
      </w:r>
    </w:p>
    <w:p w:rsidR="001F63C5" w:rsidRDefault="00ED4E22">
      <w:pPr>
        <w:pStyle w:val="Point0letter"/>
        <w:numPr>
          <w:ilvl w:val="1"/>
          <w:numId w:val="10"/>
        </w:numPr>
        <w:rPr>
          <w:noProof/>
        </w:rPr>
      </w:pPr>
      <w:r>
        <w:rPr>
          <w:noProof/>
        </w:rPr>
        <w:t>strategies for involving stakeholders in the implementation and continuing development of the national action plan;</w:t>
      </w:r>
    </w:p>
    <w:p w:rsidR="001F63C5" w:rsidRDefault="00ED4E22">
      <w:pPr>
        <w:pStyle w:val="Point0letter"/>
        <w:numPr>
          <w:ilvl w:val="1"/>
          <w:numId w:val="10"/>
        </w:numPr>
        <w:rPr>
          <w:noProof/>
        </w:rPr>
      </w:pPr>
      <w:r>
        <w:rPr>
          <w:noProof/>
        </w:rPr>
        <w:t>a public health strategy on the exposure of artisanal and small-scale gold miners and their communiti</w:t>
      </w:r>
      <w:r>
        <w:rPr>
          <w:noProof/>
        </w:rPr>
        <w:t>es to mercury which shall include, inter alia, the gathering of health data, training for health-care workers and awareness-raising through health facilities;</w:t>
      </w:r>
    </w:p>
    <w:p w:rsidR="001F63C5" w:rsidRDefault="00ED4E22">
      <w:pPr>
        <w:pStyle w:val="Point0letter"/>
        <w:numPr>
          <w:ilvl w:val="1"/>
          <w:numId w:val="10"/>
        </w:numPr>
        <w:rPr>
          <w:noProof/>
        </w:rPr>
      </w:pPr>
      <w:r>
        <w:rPr>
          <w:noProof/>
        </w:rPr>
        <w:t xml:space="preserve">strategies to prevent the exposure of vulnerable populations, particularly children and women of </w:t>
      </w:r>
      <w:r>
        <w:rPr>
          <w:noProof/>
        </w:rPr>
        <w:t>child-bearing age, especially pregnant women, to mercury used in artisanal and small-scale gold mining;</w:t>
      </w:r>
    </w:p>
    <w:p w:rsidR="001F63C5" w:rsidRDefault="00ED4E22">
      <w:pPr>
        <w:pStyle w:val="Point0letter"/>
        <w:numPr>
          <w:ilvl w:val="1"/>
          <w:numId w:val="10"/>
        </w:numPr>
        <w:rPr>
          <w:noProof/>
        </w:rPr>
      </w:pPr>
      <w:r>
        <w:rPr>
          <w:noProof/>
        </w:rPr>
        <w:t>strategies for providing information to artisanal and small-scale gold miners and affected communities;</w:t>
      </w:r>
    </w:p>
    <w:p w:rsidR="001F63C5" w:rsidRDefault="00ED4E22">
      <w:pPr>
        <w:pStyle w:val="Point0letter"/>
        <w:numPr>
          <w:ilvl w:val="1"/>
          <w:numId w:val="10"/>
        </w:numPr>
        <w:rPr>
          <w:noProof/>
        </w:rPr>
      </w:pPr>
      <w:r>
        <w:rPr>
          <w:noProof/>
        </w:rPr>
        <w:t>a schedule for the implementation of the nationa</w:t>
      </w:r>
      <w:r>
        <w:rPr>
          <w:noProof/>
        </w:rPr>
        <w:t>l action plan.</w:t>
      </w:r>
    </w:p>
    <w:p w:rsidR="001F63C5" w:rsidRDefault="00ED4E22">
      <w:pPr>
        <w:pStyle w:val="Annexetitre"/>
        <w:rPr>
          <w:noProof/>
          <w:u w:val="none"/>
        </w:rPr>
      </w:pPr>
      <w:r>
        <w:rPr>
          <w:noProof/>
          <w:szCs w:val="24"/>
        </w:rPr>
        <w:br w:type="page"/>
      </w:r>
      <w:r>
        <w:rPr>
          <w:noProof/>
          <w:u w:val="none"/>
        </w:rPr>
        <w:lastRenderedPageBreak/>
        <w:t>ANNEX V</w:t>
      </w:r>
    </w:p>
    <w:p w:rsidR="001F63C5" w:rsidRDefault="00ED4E22">
      <w:pPr>
        <w:pStyle w:val="NormalCentered"/>
        <w:rPr>
          <w:b/>
          <w:noProof/>
        </w:rPr>
      </w:pPr>
      <w:r>
        <w:rPr>
          <w:b/>
          <w:noProof/>
        </w:rPr>
        <w:t>Correlation table</w:t>
      </w:r>
    </w:p>
    <w:p w:rsidR="001F63C5" w:rsidRDefault="001F63C5">
      <w:pPr>
        <w:rPr>
          <w:noProof/>
        </w:rPr>
      </w:pPr>
    </w:p>
    <w:tbl>
      <w:tblPr>
        <w:tblStyle w:val="TableGrid"/>
        <w:tblW w:w="0" w:type="auto"/>
        <w:tblLook w:val="04A0" w:firstRow="1" w:lastRow="0" w:firstColumn="1" w:lastColumn="0" w:noHBand="0" w:noVBand="1"/>
      </w:tblPr>
      <w:tblGrid>
        <w:gridCol w:w="4644"/>
        <w:gridCol w:w="4645"/>
      </w:tblGrid>
      <w:tr w:rsidR="001F63C5">
        <w:trPr>
          <w:trHeight w:val="968"/>
        </w:trPr>
        <w:tc>
          <w:tcPr>
            <w:tcW w:w="4644" w:type="dxa"/>
          </w:tcPr>
          <w:p w:rsidR="001F63C5" w:rsidRDefault="001F63C5">
            <w:pPr>
              <w:jc w:val="center"/>
              <w:rPr>
                <w:noProof/>
              </w:rPr>
            </w:pPr>
          </w:p>
          <w:p w:rsidR="001F63C5" w:rsidRDefault="00ED4E22">
            <w:pPr>
              <w:jc w:val="center"/>
              <w:rPr>
                <w:noProof/>
              </w:rPr>
            </w:pPr>
            <w:r>
              <w:rPr>
                <w:b/>
                <w:noProof/>
              </w:rPr>
              <w:t>Regulation (EC) No 1102/2008</w:t>
            </w:r>
          </w:p>
          <w:p w:rsidR="001F63C5" w:rsidRDefault="001F63C5">
            <w:pPr>
              <w:jc w:val="center"/>
              <w:rPr>
                <w:noProof/>
              </w:rPr>
            </w:pPr>
          </w:p>
          <w:p w:rsidR="001F63C5" w:rsidRDefault="001F63C5">
            <w:pPr>
              <w:jc w:val="center"/>
              <w:rPr>
                <w:noProof/>
              </w:rPr>
            </w:pPr>
          </w:p>
        </w:tc>
        <w:tc>
          <w:tcPr>
            <w:tcW w:w="4645" w:type="dxa"/>
          </w:tcPr>
          <w:p w:rsidR="001F63C5" w:rsidRDefault="001F63C5">
            <w:pPr>
              <w:jc w:val="center"/>
              <w:rPr>
                <w:b/>
                <w:noProof/>
                <w:szCs w:val="22"/>
              </w:rPr>
            </w:pPr>
          </w:p>
          <w:p w:rsidR="001F63C5" w:rsidRDefault="00ED4E22">
            <w:pPr>
              <w:jc w:val="center"/>
              <w:rPr>
                <w:noProof/>
              </w:rPr>
            </w:pPr>
            <w:r>
              <w:rPr>
                <w:b/>
                <w:noProof/>
              </w:rPr>
              <w:t>This Regulation</w:t>
            </w:r>
          </w:p>
        </w:tc>
      </w:tr>
      <w:tr w:rsidR="001F63C5">
        <w:tc>
          <w:tcPr>
            <w:tcW w:w="4644" w:type="dxa"/>
          </w:tcPr>
          <w:p w:rsidR="001F63C5" w:rsidRDefault="00ED4E22">
            <w:pPr>
              <w:jc w:val="center"/>
              <w:rPr>
                <w:noProof/>
                <w:szCs w:val="24"/>
                <w:lang w:val="fr-BE"/>
              </w:rPr>
            </w:pPr>
            <w:r>
              <w:rPr>
                <w:noProof/>
                <w:szCs w:val="24"/>
                <w:lang w:val="fr-BE"/>
              </w:rPr>
              <w:t>Article 1(1)</w:t>
            </w:r>
          </w:p>
          <w:p w:rsidR="001F63C5" w:rsidRDefault="001F63C5">
            <w:pPr>
              <w:jc w:val="center"/>
              <w:rPr>
                <w:noProof/>
                <w:szCs w:val="24"/>
              </w:rPr>
            </w:pPr>
          </w:p>
        </w:tc>
        <w:tc>
          <w:tcPr>
            <w:tcW w:w="4645" w:type="dxa"/>
          </w:tcPr>
          <w:p w:rsidR="001F63C5" w:rsidRDefault="00ED4E22">
            <w:pPr>
              <w:jc w:val="center"/>
              <w:rPr>
                <w:noProof/>
                <w:szCs w:val="24"/>
                <w:lang w:val="fr-BE"/>
              </w:rPr>
            </w:pPr>
            <w:r>
              <w:rPr>
                <w:noProof/>
                <w:szCs w:val="24"/>
                <w:lang w:val="fr-BE"/>
              </w:rPr>
              <w:t>Article 3(1)(first subparagraph)</w:t>
            </w:r>
          </w:p>
          <w:p w:rsidR="001F63C5" w:rsidRDefault="001F63C5">
            <w:pPr>
              <w:jc w:val="center"/>
              <w:rPr>
                <w:noProof/>
                <w:szCs w:val="24"/>
              </w:rPr>
            </w:pPr>
          </w:p>
        </w:tc>
      </w:tr>
      <w:tr w:rsidR="001F63C5">
        <w:tc>
          <w:tcPr>
            <w:tcW w:w="4644" w:type="dxa"/>
          </w:tcPr>
          <w:p w:rsidR="001F63C5" w:rsidRDefault="00ED4E22">
            <w:pPr>
              <w:jc w:val="center"/>
              <w:rPr>
                <w:noProof/>
                <w:szCs w:val="24"/>
                <w:lang w:val="fr-BE"/>
              </w:rPr>
            </w:pPr>
            <w:r>
              <w:rPr>
                <w:noProof/>
                <w:szCs w:val="24"/>
                <w:lang w:val="fr-BE"/>
              </w:rPr>
              <w:t>Article 1(2)</w:t>
            </w:r>
          </w:p>
          <w:p w:rsidR="001F63C5" w:rsidRDefault="001F63C5">
            <w:pPr>
              <w:jc w:val="center"/>
              <w:rPr>
                <w:noProof/>
                <w:szCs w:val="24"/>
              </w:rPr>
            </w:pPr>
          </w:p>
        </w:tc>
        <w:tc>
          <w:tcPr>
            <w:tcW w:w="4645" w:type="dxa"/>
          </w:tcPr>
          <w:p w:rsidR="001F63C5" w:rsidRDefault="00ED4E22">
            <w:pPr>
              <w:jc w:val="center"/>
              <w:rPr>
                <w:noProof/>
                <w:szCs w:val="24"/>
                <w:lang w:val="fr-BE"/>
              </w:rPr>
            </w:pPr>
            <w:r>
              <w:rPr>
                <w:noProof/>
                <w:szCs w:val="24"/>
                <w:lang w:val="fr-BE"/>
              </w:rPr>
              <w:t>Article 3(1)(second subparagraph)</w:t>
            </w:r>
          </w:p>
          <w:p w:rsidR="001F63C5" w:rsidRDefault="001F63C5">
            <w:pPr>
              <w:jc w:val="center"/>
              <w:rPr>
                <w:noProof/>
                <w:szCs w:val="24"/>
              </w:rPr>
            </w:pPr>
          </w:p>
        </w:tc>
      </w:tr>
      <w:tr w:rsidR="001F63C5">
        <w:tc>
          <w:tcPr>
            <w:tcW w:w="4644" w:type="dxa"/>
          </w:tcPr>
          <w:p w:rsidR="001F63C5" w:rsidRDefault="00ED4E22">
            <w:pPr>
              <w:jc w:val="center"/>
              <w:rPr>
                <w:noProof/>
                <w:szCs w:val="24"/>
                <w:lang w:val="fr-BE"/>
              </w:rPr>
            </w:pPr>
            <w:r>
              <w:rPr>
                <w:noProof/>
                <w:szCs w:val="24"/>
                <w:lang w:val="fr-BE"/>
              </w:rPr>
              <w:t>Article 1(3)</w:t>
            </w:r>
          </w:p>
          <w:p w:rsidR="001F63C5" w:rsidRDefault="001F63C5">
            <w:pPr>
              <w:jc w:val="center"/>
              <w:rPr>
                <w:noProof/>
                <w:szCs w:val="24"/>
              </w:rPr>
            </w:pPr>
          </w:p>
        </w:tc>
        <w:tc>
          <w:tcPr>
            <w:tcW w:w="4645" w:type="dxa"/>
          </w:tcPr>
          <w:p w:rsidR="001F63C5" w:rsidRDefault="00ED4E22">
            <w:pPr>
              <w:jc w:val="center"/>
              <w:rPr>
                <w:noProof/>
                <w:szCs w:val="24"/>
                <w:lang w:val="fr-BE"/>
              </w:rPr>
            </w:pPr>
            <w:r>
              <w:rPr>
                <w:noProof/>
                <w:szCs w:val="24"/>
                <w:lang w:val="fr-BE"/>
              </w:rPr>
              <w:t>Article 3(2)</w:t>
            </w:r>
          </w:p>
          <w:p w:rsidR="001F63C5" w:rsidRDefault="001F63C5">
            <w:pPr>
              <w:jc w:val="center"/>
              <w:rPr>
                <w:noProof/>
                <w:szCs w:val="24"/>
              </w:rPr>
            </w:pPr>
          </w:p>
        </w:tc>
      </w:tr>
      <w:tr w:rsidR="001F63C5">
        <w:tc>
          <w:tcPr>
            <w:tcW w:w="4644" w:type="dxa"/>
          </w:tcPr>
          <w:p w:rsidR="001F63C5" w:rsidRDefault="00ED4E22">
            <w:pPr>
              <w:jc w:val="center"/>
              <w:rPr>
                <w:noProof/>
                <w:szCs w:val="24"/>
                <w:lang w:val="fr-BE"/>
              </w:rPr>
            </w:pPr>
            <w:r>
              <w:rPr>
                <w:noProof/>
                <w:szCs w:val="24"/>
                <w:lang w:val="fr-BE"/>
              </w:rPr>
              <w:t>Article 2</w:t>
            </w:r>
          </w:p>
          <w:p w:rsidR="001F63C5" w:rsidRDefault="001F63C5">
            <w:pPr>
              <w:jc w:val="center"/>
              <w:rPr>
                <w:noProof/>
                <w:szCs w:val="24"/>
              </w:rPr>
            </w:pPr>
          </w:p>
        </w:tc>
        <w:tc>
          <w:tcPr>
            <w:tcW w:w="4645" w:type="dxa"/>
          </w:tcPr>
          <w:p w:rsidR="001F63C5" w:rsidRDefault="00ED4E22">
            <w:pPr>
              <w:jc w:val="center"/>
              <w:rPr>
                <w:noProof/>
                <w:szCs w:val="24"/>
                <w:lang w:val="fr-BE"/>
              </w:rPr>
            </w:pPr>
            <w:r>
              <w:rPr>
                <w:noProof/>
                <w:szCs w:val="24"/>
                <w:lang w:val="fr-BE"/>
              </w:rPr>
              <w:t>Article 11</w:t>
            </w:r>
          </w:p>
          <w:p w:rsidR="001F63C5" w:rsidRDefault="001F63C5">
            <w:pPr>
              <w:jc w:val="center"/>
              <w:rPr>
                <w:noProof/>
                <w:szCs w:val="24"/>
              </w:rPr>
            </w:pPr>
          </w:p>
        </w:tc>
      </w:tr>
      <w:tr w:rsidR="001F63C5">
        <w:tc>
          <w:tcPr>
            <w:tcW w:w="4644" w:type="dxa"/>
          </w:tcPr>
          <w:p w:rsidR="001F63C5" w:rsidRDefault="00ED4E22">
            <w:pPr>
              <w:jc w:val="center"/>
              <w:rPr>
                <w:noProof/>
                <w:szCs w:val="24"/>
                <w:lang w:val="fr-BE"/>
              </w:rPr>
            </w:pPr>
            <w:r>
              <w:rPr>
                <w:noProof/>
                <w:szCs w:val="24"/>
                <w:lang w:val="fr-BE"/>
              </w:rPr>
              <w:t xml:space="preserve">Article </w:t>
            </w:r>
            <w:r>
              <w:rPr>
                <w:noProof/>
                <w:szCs w:val="24"/>
                <w:lang w:val="fr-BE"/>
              </w:rPr>
              <w:t>3(1), first subparagraph</w:t>
            </w:r>
          </w:p>
          <w:p w:rsidR="001F63C5" w:rsidRDefault="001F63C5">
            <w:pPr>
              <w:jc w:val="center"/>
              <w:rPr>
                <w:noProof/>
                <w:szCs w:val="24"/>
              </w:rPr>
            </w:pPr>
          </w:p>
        </w:tc>
        <w:tc>
          <w:tcPr>
            <w:tcW w:w="4645" w:type="dxa"/>
          </w:tcPr>
          <w:p w:rsidR="001F63C5" w:rsidRDefault="00ED4E22">
            <w:pPr>
              <w:jc w:val="center"/>
              <w:rPr>
                <w:noProof/>
                <w:szCs w:val="24"/>
                <w:lang w:val="fr-BE"/>
              </w:rPr>
            </w:pPr>
            <w:r>
              <w:rPr>
                <w:noProof/>
                <w:szCs w:val="24"/>
                <w:lang w:val="fr-BE"/>
              </w:rPr>
              <w:t>Article 13(1)</w:t>
            </w:r>
          </w:p>
          <w:p w:rsidR="001F63C5" w:rsidRDefault="001F63C5">
            <w:pPr>
              <w:jc w:val="center"/>
              <w:rPr>
                <w:noProof/>
                <w:szCs w:val="24"/>
              </w:rPr>
            </w:pPr>
          </w:p>
        </w:tc>
      </w:tr>
      <w:tr w:rsidR="001F63C5">
        <w:tc>
          <w:tcPr>
            <w:tcW w:w="4644" w:type="dxa"/>
          </w:tcPr>
          <w:p w:rsidR="001F63C5" w:rsidRDefault="00ED4E22">
            <w:pPr>
              <w:jc w:val="center"/>
              <w:rPr>
                <w:noProof/>
                <w:szCs w:val="24"/>
                <w:lang w:val="fr-BE"/>
              </w:rPr>
            </w:pPr>
            <w:r>
              <w:rPr>
                <w:noProof/>
                <w:szCs w:val="24"/>
                <w:lang w:val="fr-BE"/>
              </w:rPr>
              <w:t>Article 3(1), second subparagraph</w:t>
            </w:r>
          </w:p>
          <w:p w:rsidR="001F63C5" w:rsidRDefault="001F63C5">
            <w:pPr>
              <w:jc w:val="center"/>
              <w:rPr>
                <w:noProof/>
                <w:szCs w:val="24"/>
              </w:rPr>
            </w:pPr>
          </w:p>
        </w:tc>
        <w:tc>
          <w:tcPr>
            <w:tcW w:w="4645" w:type="dxa"/>
          </w:tcPr>
          <w:p w:rsidR="001F63C5" w:rsidRDefault="00ED4E22">
            <w:pPr>
              <w:jc w:val="center"/>
              <w:rPr>
                <w:noProof/>
                <w:szCs w:val="24"/>
              </w:rPr>
            </w:pPr>
            <w:r>
              <w:rPr>
                <w:noProof/>
                <w:szCs w:val="24"/>
              </w:rPr>
              <w:t>_</w:t>
            </w:r>
          </w:p>
        </w:tc>
      </w:tr>
      <w:tr w:rsidR="001F63C5">
        <w:tc>
          <w:tcPr>
            <w:tcW w:w="4644" w:type="dxa"/>
          </w:tcPr>
          <w:p w:rsidR="001F63C5" w:rsidRDefault="00ED4E22">
            <w:pPr>
              <w:jc w:val="center"/>
              <w:rPr>
                <w:noProof/>
                <w:szCs w:val="24"/>
                <w:lang w:val="fr-BE"/>
              </w:rPr>
            </w:pPr>
            <w:r>
              <w:rPr>
                <w:noProof/>
                <w:szCs w:val="24"/>
                <w:lang w:val="fr-BE"/>
              </w:rPr>
              <w:t>Article 3(2)</w:t>
            </w:r>
          </w:p>
          <w:p w:rsidR="001F63C5" w:rsidRDefault="001F63C5">
            <w:pPr>
              <w:jc w:val="center"/>
              <w:rPr>
                <w:noProof/>
                <w:szCs w:val="24"/>
              </w:rPr>
            </w:pPr>
          </w:p>
        </w:tc>
        <w:tc>
          <w:tcPr>
            <w:tcW w:w="4645" w:type="dxa"/>
          </w:tcPr>
          <w:p w:rsidR="001F63C5" w:rsidRDefault="00ED4E22">
            <w:pPr>
              <w:jc w:val="center"/>
              <w:rPr>
                <w:noProof/>
                <w:szCs w:val="24"/>
              </w:rPr>
            </w:pPr>
            <w:r>
              <w:rPr>
                <w:noProof/>
                <w:szCs w:val="24"/>
              </w:rPr>
              <w:t xml:space="preserve">_ </w:t>
            </w:r>
          </w:p>
        </w:tc>
      </w:tr>
      <w:tr w:rsidR="001F63C5">
        <w:tc>
          <w:tcPr>
            <w:tcW w:w="4644" w:type="dxa"/>
          </w:tcPr>
          <w:p w:rsidR="001F63C5" w:rsidRDefault="00ED4E22">
            <w:pPr>
              <w:jc w:val="center"/>
              <w:rPr>
                <w:noProof/>
                <w:szCs w:val="24"/>
                <w:lang w:val="fr-BE"/>
              </w:rPr>
            </w:pPr>
            <w:r>
              <w:rPr>
                <w:noProof/>
                <w:szCs w:val="24"/>
                <w:lang w:val="fr-BE"/>
              </w:rPr>
              <w:t>Article 4(1)</w:t>
            </w:r>
          </w:p>
          <w:p w:rsidR="001F63C5" w:rsidRDefault="001F63C5">
            <w:pPr>
              <w:jc w:val="center"/>
              <w:rPr>
                <w:noProof/>
                <w:szCs w:val="24"/>
              </w:rPr>
            </w:pPr>
          </w:p>
        </w:tc>
        <w:tc>
          <w:tcPr>
            <w:tcW w:w="4645" w:type="dxa"/>
          </w:tcPr>
          <w:p w:rsidR="001F63C5" w:rsidRDefault="00ED4E22">
            <w:pPr>
              <w:jc w:val="center"/>
              <w:rPr>
                <w:noProof/>
                <w:szCs w:val="24"/>
              </w:rPr>
            </w:pPr>
            <w:r>
              <w:rPr>
                <w:noProof/>
                <w:szCs w:val="24"/>
              </w:rPr>
              <w:t xml:space="preserve">_ </w:t>
            </w:r>
          </w:p>
        </w:tc>
      </w:tr>
      <w:tr w:rsidR="001F63C5">
        <w:tc>
          <w:tcPr>
            <w:tcW w:w="4644" w:type="dxa"/>
          </w:tcPr>
          <w:p w:rsidR="001F63C5" w:rsidRDefault="00ED4E22">
            <w:pPr>
              <w:jc w:val="center"/>
              <w:rPr>
                <w:noProof/>
                <w:szCs w:val="24"/>
                <w:lang w:val="fr-BE"/>
              </w:rPr>
            </w:pPr>
            <w:r>
              <w:rPr>
                <w:noProof/>
                <w:szCs w:val="24"/>
                <w:lang w:val="fr-BE"/>
              </w:rPr>
              <w:t>Article 4(2)</w:t>
            </w:r>
          </w:p>
          <w:p w:rsidR="001F63C5" w:rsidRDefault="001F63C5">
            <w:pPr>
              <w:jc w:val="center"/>
              <w:rPr>
                <w:noProof/>
                <w:szCs w:val="24"/>
              </w:rPr>
            </w:pPr>
          </w:p>
        </w:tc>
        <w:tc>
          <w:tcPr>
            <w:tcW w:w="4645" w:type="dxa"/>
          </w:tcPr>
          <w:p w:rsidR="001F63C5" w:rsidRDefault="00ED4E22">
            <w:pPr>
              <w:jc w:val="center"/>
              <w:rPr>
                <w:noProof/>
                <w:szCs w:val="24"/>
              </w:rPr>
            </w:pPr>
            <w:r>
              <w:rPr>
                <w:noProof/>
                <w:szCs w:val="24"/>
              </w:rPr>
              <w:t xml:space="preserve">_ </w:t>
            </w:r>
          </w:p>
        </w:tc>
      </w:tr>
      <w:tr w:rsidR="001F63C5">
        <w:tc>
          <w:tcPr>
            <w:tcW w:w="4644" w:type="dxa"/>
          </w:tcPr>
          <w:p w:rsidR="001F63C5" w:rsidRDefault="00ED4E22">
            <w:pPr>
              <w:jc w:val="center"/>
              <w:rPr>
                <w:noProof/>
                <w:szCs w:val="24"/>
                <w:lang w:val="fr-BE"/>
              </w:rPr>
            </w:pPr>
            <w:r>
              <w:rPr>
                <w:noProof/>
                <w:szCs w:val="24"/>
                <w:lang w:val="fr-BE"/>
              </w:rPr>
              <w:t>Article 4(3)</w:t>
            </w:r>
          </w:p>
          <w:p w:rsidR="001F63C5" w:rsidRDefault="001F63C5">
            <w:pPr>
              <w:jc w:val="center"/>
              <w:rPr>
                <w:noProof/>
                <w:szCs w:val="24"/>
              </w:rPr>
            </w:pPr>
          </w:p>
        </w:tc>
        <w:tc>
          <w:tcPr>
            <w:tcW w:w="4645" w:type="dxa"/>
          </w:tcPr>
          <w:p w:rsidR="001F63C5" w:rsidRDefault="00ED4E22">
            <w:pPr>
              <w:jc w:val="center"/>
              <w:rPr>
                <w:noProof/>
                <w:szCs w:val="24"/>
              </w:rPr>
            </w:pPr>
            <w:r>
              <w:rPr>
                <w:noProof/>
                <w:szCs w:val="24"/>
              </w:rPr>
              <w:t xml:space="preserve">_ </w:t>
            </w:r>
          </w:p>
        </w:tc>
      </w:tr>
      <w:tr w:rsidR="001F63C5">
        <w:tc>
          <w:tcPr>
            <w:tcW w:w="4644" w:type="dxa"/>
          </w:tcPr>
          <w:p w:rsidR="001F63C5" w:rsidRDefault="00ED4E22">
            <w:pPr>
              <w:jc w:val="center"/>
              <w:rPr>
                <w:noProof/>
                <w:szCs w:val="24"/>
                <w:lang w:val="fr-BE"/>
              </w:rPr>
            </w:pPr>
            <w:r>
              <w:rPr>
                <w:noProof/>
                <w:szCs w:val="24"/>
                <w:lang w:val="fr-BE"/>
              </w:rPr>
              <w:t>Article 5(1)</w:t>
            </w:r>
          </w:p>
          <w:p w:rsidR="001F63C5" w:rsidRDefault="001F63C5">
            <w:pPr>
              <w:jc w:val="center"/>
              <w:rPr>
                <w:noProof/>
                <w:szCs w:val="24"/>
              </w:rPr>
            </w:pPr>
          </w:p>
        </w:tc>
        <w:tc>
          <w:tcPr>
            <w:tcW w:w="4645" w:type="dxa"/>
          </w:tcPr>
          <w:p w:rsidR="001F63C5" w:rsidRDefault="00ED4E22">
            <w:pPr>
              <w:jc w:val="center"/>
              <w:rPr>
                <w:noProof/>
                <w:szCs w:val="24"/>
              </w:rPr>
            </w:pPr>
            <w:r>
              <w:rPr>
                <w:noProof/>
                <w:szCs w:val="24"/>
              </w:rPr>
              <w:t xml:space="preserve">_ </w:t>
            </w:r>
          </w:p>
        </w:tc>
      </w:tr>
      <w:tr w:rsidR="001F63C5">
        <w:tc>
          <w:tcPr>
            <w:tcW w:w="4644" w:type="dxa"/>
          </w:tcPr>
          <w:p w:rsidR="001F63C5" w:rsidRDefault="00ED4E22">
            <w:pPr>
              <w:jc w:val="center"/>
              <w:rPr>
                <w:noProof/>
                <w:szCs w:val="24"/>
                <w:lang w:val="fr-BE"/>
              </w:rPr>
            </w:pPr>
            <w:r>
              <w:rPr>
                <w:noProof/>
                <w:szCs w:val="24"/>
                <w:lang w:val="fr-BE"/>
              </w:rPr>
              <w:t>Article 5(2)</w:t>
            </w:r>
          </w:p>
          <w:p w:rsidR="001F63C5" w:rsidRDefault="001F63C5">
            <w:pPr>
              <w:jc w:val="center"/>
              <w:rPr>
                <w:noProof/>
                <w:szCs w:val="24"/>
              </w:rPr>
            </w:pPr>
          </w:p>
        </w:tc>
        <w:tc>
          <w:tcPr>
            <w:tcW w:w="4645" w:type="dxa"/>
          </w:tcPr>
          <w:p w:rsidR="001F63C5" w:rsidRDefault="00ED4E22">
            <w:pPr>
              <w:jc w:val="center"/>
              <w:rPr>
                <w:noProof/>
                <w:szCs w:val="24"/>
              </w:rPr>
            </w:pPr>
            <w:r>
              <w:rPr>
                <w:noProof/>
                <w:szCs w:val="24"/>
              </w:rPr>
              <w:t xml:space="preserve">_ </w:t>
            </w:r>
          </w:p>
        </w:tc>
      </w:tr>
      <w:tr w:rsidR="001F63C5">
        <w:tc>
          <w:tcPr>
            <w:tcW w:w="4644" w:type="dxa"/>
          </w:tcPr>
          <w:p w:rsidR="001F63C5" w:rsidRDefault="00ED4E22">
            <w:pPr>
              <w:jc w:val="center"/>
              <w:rPr>
                <w:noProof/>
                <w:szCs w:val="24"/>
                <w:lang w:val="fr-BE"/>
              </w:rPr>
            </w:pPr>
            <w:r>
              <w:rPr>
                <w:noProof/>
                <w:szCs w:val="24"/>
                <w:lang w:val="fr-BE"/>
              </w:rPr>
              <w:lastRenderedPageBreak/>
              <w:t>Article 5(3)</w:t>
            </w:r>
          </w:p>
          <w:p w:rsidR="001F63C5" w:rsidRDefault="001F63C5">
            <w:pPr>
              <w:jc w:val="center"/>
              <w:rPr>
                <w:noProof/>
                <w:szCs w:val="24"/>
              </w:rPr>
            </w:pPr>
          </w:p>
        </w:tc>
        <w:tc>
          <w:tcPr>
            <w:tcW w:w="4645" w:type="dxa"/>
          </w:tcPr>
          <w:p w:rsidR="001F63C5" w:rsidRDefault="00ED4E22">
            <w:pPr>
              <w:jc w:val="center"/>
              <w:rPr>
                <w:noProof/>
                <w:szCs w:val="24"/>
              </w:rPr>
            </w:pPr>
            <w:r>
              <w:rPr>
                <w:noProof/>
                <w:szCs w:val="24"/>
              </w:rPr>
              <w:t xml:space="preserve">_ </w:t>
            </w:r>
          </w:p>
        </w:tc>
      </w:tr>
      <w:tr w:rsidR="001F63C5">
        <w:tc>
          <w:tcPr>
            <w:tcW w:w="4644" w:type="dxa"/>
          </w:tcPr>
          <w:p w:rsidR="001F63C5" w:rsidRDefault="00ED4E22">
            <w:pPr>
              <w:jc w:val="center"/>
              <w:rPr>
                <w:noProof/>
                <w:szCs w:val="24"/>
                <w:lang w:val="fr-BE"/>
              </w:rPr>
            </w:pPr>
            <w:r>
              <w:rPr>
                <w:noProof/>
                <w:szCs w:val="24"/>
                <w:lang w:val="fr-BE"/>
              </w:rPr>
              <w:t>Article 6(1)</w:t>
            </w:r>
          </w:p>
          <w:p w:rsidR="001F63C5" w:rsidRDefault="001F63C5">
            <w:pPr>
              <w:jc w:val="center"/>
              <w:rPr>
                <w:noProof/>
                <w:szCs w:val="24"/>
              </w:rPr>
            </w:pPr>
          </w:p>
        </w:tc>
        <w:tc>
          <w:tcPr>
            <w:tcW w:w="4645" w:type="dxa"/>
          </w:tcPr>
          <w:p w:rsidR="001F63C5" w:rsidRDefault="00ED4E22">
            <w:pPr>
              <w:jc w:val="center"/>
              <w:rPr>
                <w:noProof/>
                <w:szCs w:val="24"/>
              </w:rPr>
            </w:pPr>
            <w:r>
              <w:rPr>
                <w:noProof/>
                <w:szCs w:val="24"/>
              </w:rPr>
              <w:t>Article 12(1)</w:t>
            </w:r>
          </w:p>
          <w:p w:rsidR="001F63C5" w:rsidRDefault="001F63C5">
            <w:pPr>
              <w:jc w:val="center"/>
              <w:rPr>
                <w:noProof/>
                <w:szCs w:val="24"/>
              </w:rPr>
            </w:pPr>
          </w:p>
        </w:tc>
      </w:tr>
      <w:tr w:rsidR="001F63C5">
        <w:tc>
          <w:tcPr>
            <w:tcW w:w="4644" w:type="dxa"/>
          </w:tcPr>
          <w:p w:rsidR="001F63C5" w:rsidRDefault="00ED4E22">
            <w:pPr>
              <w:jc w:val="center"/>
              <w:rPr>
                <w:noProof/>
                <w:szCs w:val="24"/>
                <w:lang w:val="fr-BE"/>
              </w:rPr>
            </w:pPr>
            <w:r>
              <w:rPr>
                <w:noProof/>
                <w:szCs w:val="24"/>
                <w:lang w:val="fr-BE"/>
              </w:rPr>
              <w:t>Article 6(2)</w:t>
            </w:r>
          </w:p>
          <w:p w:rsidR="001F63C5" w:rsidRDefault="001F63C5">
            <w:pPr>
              <w:jc w:val="center"/>
              <w:rPr>
                <w:noProof/>
                <w:szCs w:val="24"/>
              </w:rPr>
            </w:pPr>
          </w:p>
        </w:tc>
        <w:tc>
          <w:tcPr>
            <w:tcW w:w="4645" w:type="dxa"/>
          </w:tcPr>
          <w:p w:rsidR="001F63C5" w:rsidRDefault="00ED4E22">
            <w:pPr>
              <w:jc w:val="center"/>
              <w:rPr>
                <w:noProof/>
                <w:szCs w:val="24"/>
              </w:rPr>
            </w:pPr>
            <w:r>
              <w:rPr>
                <w:noProof/>
                <w:szCs w:val="24"/>
              </w:rPr>
              <w:t>Article 12(1)</w:t>
            </w:r>
          </w:p>
          <w:p w:rsidR="001F63C5" w:rsidRDefault="001F63C5">
            <w:pPr>
              <w:jc w:val="center"/>
              <w:rPr>
                <w:noProof/>
                <w:szCs w:val="24"/>
              </w:rPr>
            </w:pPr>
          </w:p>
        </w:tc>
      </w:tr>
      <w:tr w:rsidR="001F63C5">
        <w:tc>
          <w:tcPr>
            <w:tcW w:w="4644" w:type="dxa"/>
          </w:tcPr>
          <w:p w:rsidR="001F63C5" w:rsidRDefault="00ED4E22">
            <w:pPr>
              <w:jc w:val="center"/>
              <w:rPr>
                <w:noProof/>
                <w:szCs w:val="24"/>
                <w:lang w:val="fr-BE"/>
              </w:rPr>
            </w:pPr>
            <w:r>
              <w:rPr>
                <w:noProof/>
                <w:szCs w:val="24"/>
                <w:lang w:val="fr-BE"/>
              </w:rPr>
              <w:t>Article 6(3)</w:t>
            </w:r>
          </w:p>
          <w:p w:rsidR="001F63C5" w:rsidRDefault="001F63C5">
            <w:pPr>
              <w:jc w:val="center"/>
              <w:rPr>
                <w:noProof/>
                <w:szCs w:val="24"/>
                <w:lang w:val="fr-BE"/>
              </w:rPr>
            </w:pPr>
          </w:p>
        </w:tc>
        <w:tc>
          <w:tcPr>
            <w:tcW w:w="4645" w:type="dxa"/>
          </w:tcPr>
          <w:p w:rsidR="001F63C5" w:rsidRDefault="00ED4E22">
            <w:pPr>
              <w:jc w:val="center"/>
              <w:rPr>
                <w:noProof/>
                <w:szCs w:val="24"/>
              </w:rPr>
            </w:pPr>
            <w:r>
              <w:rPr>
                <w:noProof/>
                <w:szCs w:val="24"/>
              </w:rPr>
              <w:t>Article 12(1)</w:t>
            </w:r>
          </w:p>
        </w:tc>
      </w:tr>
      <w:tr w:rsidR="001F63C5">
        <w:tc>
          <w:tcPr>
            <w:tcW w:w="4644" w:type="dxa"/>
          </w:tcPr>
          <w:p w:rsidR="001F63C5" w:rsidRDefault="00ED4E22">
            <w:pPr>
              <w:jc w:val="center"/>
              <w:rPr>
                <w:noProof/>
                <w:szCs w:val="24"/>
                <w:lang w:val="fr-BE"/>
              </w:rPr>
            </w:pPr>
            <w:r>
              <w:rPr>
                <w:noProof/>
                <w:szCs w:val="24"/>
                <w:lang w:val="fr-BE"/>
              </w:rPr>
              <w:t>Article 6(4)</w:t>
            </w:r>
          </w:p>
          <w:p w:rsidR="001F63C5" w:rsidRDefault="001F63C5">
            <w:pPr>
              <w:jc w:val="center"/>
              <w:rPr>
                <w:noProof/>
                <w:szCs w:val="24"/>
                <w:lang w:val="fr-BE"/>
              </w:rPr>
            </w:pPr>
          </w:p>
        </w:tc>
        <w:tc>
          <w:tcPr>
            <w:tcW w:w="4645" w:type="dxa"/>
          </w:tcPr>
          <w:p w:rsidR="001F63C5" w:rsidRDefault="00ED4E22">
            <w:pPr>
              <w:jc w:val="center"/>
              <w:rPr>
                <w:noProof/>
                <w:szCs w:val="24"/>
              </w:rPr>
            </w:pPr>
            <w:r>
              <w:rPr>
                <w:noProof/>
                <w:szCs w:val="24"/>
              </w:rPr>
              <w:t xml:space="preserve">_ </w:t>
            </w:r>
          </w:p>
        </w:tc>
      </w:tr>
      <w:tr w:rsidR="001F63C5">
        <w:tc>
          <w:tcPr>
            <w:tcW w:w="4644" w:type="dxa"/>
          </w:tcPr>
          <w:p w:rsidR="001F63C5" w:rsidRDefault="00ED4E22">
            <w:pPr>
              <w:jc w:val="center"/>
              <w:rPr>
                <w:noProof/>
                <w:szCs w:val="24"/>
                <w:lang w:val="fr-BE"/>
              </w:rPr>
            </w:pPr>
            <w:r>
              <w:rPr>
                <w:noProof/>
                <w:szCs w:val="24"/>
                <w:lang w:val="fr-BE"/>
              </w:rPr>
              <w:t>Article 7</w:t>
            </w:r>
          </w:p>
          <w:p w:rsidR="001F63C5" w:rsidRDefault="001F63C5">
            <w:pPr>
              <w:jc w:val="center"/>
              <w:rPr>
                <w:noProof/>
                <w:szCs w:val="24"/>
                <w:lang w:val="fr-BE"/>
              </w:rPr>
            </w:pPr>
          </w:p>
        </w:tc>
        <w:tc>
          <w:tcPr>
            <w:tcW w:w="4645" w:type="dxa"/>
          </w:tcPr>
          <w:p w:rsidR="001F63C5" w:rsidRDefault="00ED4E22">
            <w:pPr>
              <w:jc w:val="center"/>
              <w:rPr>
                <w:noProof/>
                <w:szCs w:val="24"/>
              </w:rPr>
            </w:pPr>
            <w:r>
              <w:rPr>
                <w:noProof/>
                <w:szCs w:val="24"/>
              </w:rPr>
              <w:t>Article 14</w:t>
            </w:r>
          </w:p>
        </w:tc>
      </w:tr>
      <w:tr w:rsidR="001F63C5">
        <w:tc>
          <w:tcPr>
            <w:tcW w:w="4644" w:type="dxa"/>
          </w:tcPr>
          <w:p w:rsidR="001F63C5" w:rsidRDefault="00ED4E22">
            <w:pPr>
              <w:jc w:val="center"/>
              <w:rPr>
                <w:noProof/>
                <w:szCs w:val="24"/>
                <w:lang w:val="fr-BE"/>
              </w:rPr>
            </w:pPr>
            <w:r>
              <w:rPr>
                <w:noProof/>
                <w:szCs w:val="24"/>
                <w:lang w:val="fr-BE"/>
              </w:rPr>
              <w:t>Article 8(1)</w:t>
            </w:r>
          </w:p>
          <w:p w:rsidR="001F63C5" w:rsidRDefault="001F63C5">
            <w:pPr>
              <w:jc w:val="center"/>
              <w:rPr>
                <w:noProof/>
                <w:szCs w:val="24"/>
                <w:lang w:val="fr-BE"/>
              </w:rPr>
            </w:pPr>
          </w:p>
        </w:tc>
        <w:tc>
          <w:tcPr>
            <w:tcW w:w="4645" w:type="dxa"/>
          </w:tcPr>
          <w:p w:rsidR="001F63C5" w:rsidRDefault="00ED4E22">
            <w:pPr>
              <w:jc w:val="center"/>
              <w:rPr>
                <w:noProof/>
                <w:szCs w:val="24"/>
              </w:rPr>
            </w:pPr>
            <w:r>
              <w:rPr>
                <w:noProof/>
                <w:szCs w:val="24"/>
              </w:rPr>
              <w:t xml:space="preserve">_ </w:t>
            </w:r>
          </w:p>
        </w:tc>
      </w:tr>
      <w:tr w:rsidR="001F63C5">
        <w:tc>
          <w:tcPr>
            <w:tcW w:w="4644" w:type="dxa"/>
          </w:tcPr>
          <w:p w:rsidR="001F63C5" w:rsidRDefault="00ED4E22">
            <w:pPr>
              <w:jc w:val="center"/>
              <w:rPr>
                <w:noProof/>
                <w:szCs w:val="24"/>
                <w:lang w:val="fr-BE"/>
              </w:rPr>
            </w:pPr>
            <w:r>
              <w:rPr>
                <w:noProof/>
                <w:szCs w:val="24"/>
                <w:lang w:val="fr-BE"/>
              </w:rPr>
              <w:t>Article 8(2)</w:t>
            </w:r>
          </w:p>
          <w:p w:rsidR="001F63C5" w:rsidRDefault="001F63C5">
            <w:pPr>
              <w:jc w:val="center"/>
              <w:rPr>
                <w:noProof/>
                <w:szCs w:val="24"/>
                <w:lang w:val="fr-BE"/>
              </w:rPr>
            </w:pPr>
          </w:p>
        </w:tc>
        <w:tc>
          <w:tcPr>
            <w:tcW w:w="4645" w:type="dxa"/>
          </w:tcPr>
          <w:p w:rsidR="001F63C5" w:rsidRDefault="00ED4E22">
            <w:pPr>
              <w:jc w:val="center"/>
              <w:rPr>
                <w:noProof/>
                <w:szCs w:val="24"/>
              </w:rPr>
            </w:pPr>
            <w:r>
              <w:rPr>
                <w:noProof/>
                <w:szCs w:val="24"/>
              </w:rPr>
              <w:t xml:space="preserve">_ </w:t>
            </w:r>
          </w:p>
        </w:tc>
      </w:tr>
      <w:tr w:rsidR="001F63C5">
        <w:tc>
          <w:tcPr>
            <w:tcW w:w="4644" w:type="dxa"/>
          </w:tcPr>
          <w:p w:rsidR="001F63C5" w:rsidRDefault="00ED4E22">
            <w:pPr>
              <w:jc w:val="center"/>
              <w:rPr>
                <w:noProof/>
                <w:szCs w:val="24"/>
                <w:lang w:val="fr-BE"/>
              </w:rPr>
            </w:pPr>
            <w:r>
              <w:rPr>
                <w:noProof/>
                <w:szCs w:val="24"/>
                <w:lang w:val="fr-BE"/>
              </w:rPr>
              <w:t>Article 8(3)</w:t>
            </w:r>
          </w:p>
          <w:p w:rsidR="001F63C5" w:rsidRDefault="001F63C5">
            <w:pPr>
              <w:jc w:val="center"/>
              <w:rPr>
                <w:noProof/>
                <w:szCs w:val="24"/>
                <w:lang w:val="fr-BE"/>
              </w:rPr>
            </w:pPr>
          </w:p>
        </w:tc>
        <w:tc>
          <w:tcPr>
            <w:tcW w:w="4645" w:type="dxa"/>
          </w:tcPr>
          <w:p w:rsidR="001F63C5" w:rsidRDefault="00ED4E22">
            <w:pPr>
              <w:jc w:val="center"/>
              <w:rPr>
                <w:noProof/>
                <w:szCs w:val="24"/>
              </w:rPr>
            </w:pPr>
            <w:r>
              <w:rPr>
                <w:noProof/>
                <w:szCs w:val="24"/>
              </w:rPr>
              <w:t xml:space="preserve">_ </w:t>
            </w:r>
          </w:p>
        </w:tc>
      </w:tr>
      <w:tr w:rsidR="001F63C5">
        <w:tc>
          <w:tcPr>
            <w:tcW w:w="4644" w:type="dxa"/>
          </w:tcPr>
          <w:p w:rsidR="001F63C5" w:rsidRDefault="00ED4E22">
            <w:pPr>
              <w:jc w:val="center"/>
              <w:rPr>
                <w:noProof/>
                <w:szCs w:val="24"/>
                <w:lang w:val="fr-BE"/>
              </w:rPr>
            </w:pPr>
            <w:r>
              <w:rPr>
                <w:noProof/>
                <w:szCs w:val="24"/>
                <w:lang w:val="fr-BE"/>
              </w:rPr>
              <w:t>Article 8(4)</w:t>
            </w:r>
          </w:p>
          <w:p w:rsidR="001F63C5" w:rsidRDefault="001F63C5">
            <w:pPr>
              <w:jc w:val="center"/>
              <w:rPr>
                <w:noProof/>
                <w:szCs w:val="24"/>
                <w:lang w:val="fr-BE"/>
              </w:rPr>
            </w:pPr>
          </w:p>
        </w:tc>
        <w:tc>
          <w:tcPr>
            <w:tcW w:w="4645" w:type="dxa"/>
          </w:tcPr>
          <w:p w:rsidR="001F63C5" w:rsidRDefault="00ED4E22">
            <w:pPr>
              <w:jc w:val="center"/>
              <w:rPr>
                <w:noProof/>
                <w:szCs w:val="24"/>
              </w:rPr>
            </w:pPr>
            <w:r>
              <w:rPr>
                <w:noProof/>
                <w:szCs w:val="24"/>
              </w:rPr>
              <w:t xml:space="preserve">_ </w:t>
            </w:r>
          </w:p>
        </w:tc>
      </w:tr>
      <w:tr w:rsidR="001F63C5">
        <w:tc>
          <w:tcPr>
            <w:tcW w:w="4644" w:type="dxa"/>
          </w:tcPr>
          <w:p w:rsidR="001F63C5" w:rsidRDefault="00ED4E22">
            <w:pPr>
              <w:jc w:val="center"/>
              <w:rPr>
                <w:noProof/>
                <w:szCs w:val="24"/>
                <w:lang w:val="fr-BE"/>
              </w:rPr>
            </w:pPr>
            <w:r>
              <w:rPr>
                <w:noProof/>
                <w:szCs w:val="24"/>
                <w:lang w:val="fr-BE"/>
              </w:rPr>
              <w:t>Article 8(5)</w:t>
            </w:r>
          </w:p>
          <w:p w:rsidR="001F63C5" w:rsidRDefault="001F63C5">
            <w:pPr>
              <w:jc w:val="center"/>
              <w:rPr>
                <w:noProof/>
                <w:szCs w:val="24"/>
                <w:lang w:val="fr-BE"/>
              </w:rPr>
            </w:pPr>
          </w:p>
        </w:tc>
        <w:tc>
          <w:tcPr>
            <w:tcW w:w="4645" w:type="dxa"/>
          </w:tcPr>
          <w:p w:rsidR="001F63C5" w:rsidRDefault="00ED4E22">
            <w:pPr>
              <w:jc w:val="center"/>
              <w:rPr>
                <w:noProof/>
                <w:szCs w:val="24"/>
              </w:rPr>
            </w:pPr>
            <w:r>
              <w:rPr>
                <w:noProof/>
                <w:szCs w:val="24"/>
              </w:rPr>
              <w:t xml:space="preserve">_ </w:t>
            </w:r>
          </w:p>
        </w:tc>
      </w:tr>
      <w:tr w:rsidR="001F63C5">
        <w:tc>
          <w:tcPr>
            <w:tcW w:w="4644" w:type="dxa"/>
          </w:tcPr>
          <w:p w:rsidR="001F63C5" w:rsidRDefault="00ED4E22">
            <w:pPr>
              <w:jc w:val="center"/>
              <w:rPr>
                <w:noProof/>
                <w:szCs w:val="24"/>
                <w:lang w:val="fr-BE"/>
              </w:rPr>
            </w:pPr>
            <w:r>
              <w:rPr>
                <w:noProof/>
                <w:szCs w:val="24"/>
                <w:lang w:val="fr-BE"/>
              </w:rPr>
              <w:t>Article 9</w:t>
            </w:r>
          </w:p>
          <w:p w:rsidR="001F63C5" w:rsidRDefault="001F63C5">
            <w:pPr>
              <w:jc w:val="center"/>
              <w:rPr>
                <w:noProof/>
                <w:szCs w:val="24"/>
                <w:lang w:val="fr-BE"/>
              </w:rPr>
            </w:pPr>
          </w:p>
        </w:tc>
        <w:tc>
          <w:tcPr>
            <w:tcW w:w="4645" w:type="dxa"/>
          </w:tcPr>
          <w:p w:rsidR="001F63C5" w:rsidRDefault="00ED4E22">
            <w:pPr>
              <w:jc w:val="center"/>
              <w:rPr>
                <w:noProof/>
                <w:szCs w:val="24"/>
              </w:rPr>
            </w:pPr>
            <w:r>
              <w:rPr>
                <w:noProof/>
                <w:szCs w:val="24"/>
              </w:rPr>
              <w:t xml:space="preserve">_ </w:t>
            </w:r>
          </w:p>
        </w:tc>
      </w:tr>
    </w:tbl>
    <w:p w:rsidR="001F63C5" w:rsidRDefault="001F63C5">
      <w:pPr>
        <w:rPr>
          <w:noProof/>
        </w:rPr>
      </w:pPr>
    </w:p>
    <w:sectPr w:rsidR="001F63C5">
      <w:footerReference w:type="default" r:id="rId11"/>
      <w:footerReference w:type="first" r:id="rId1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E22" w:rsidRDefault="00ED4E22">
      <w:pPr>
        <w:spacing w:before="0" w:after="0"/>
      </w:pPr>
      <w:r>
        <w:separator/>
      </w:r>
    </w:p>
  </w:endnote>
  <w:endnote w:type="continuationSeparator" w:id="0">
    <w:p w:rsidR="00ED4E22" w:rsidRDefault="00ED4E2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3C5" w:rsidRDefault="00ED4E22">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3C5" w:rsidRDefault="00ED4E22">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sidR="00342C51">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3C5" w:rsidRDefault="001F63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E22" w:rsidRDefault="00ED4E22">
      <w:pPr>
        <w:spacing w:before="0" w:after="0"/>
      </w:pPr>
      <w:r>
        <w:separator/>
      </w:r>
    </w:p>
  </w:footnote>
  <w:footnote w:type="continuationSeparator" w:id="0">
    <w:p w:rsidR="00ED4E22" w:rsidRDefault="00ED4E22">
      <w:pPr>
        <w:spacing w:before="0" w:after="0"/>
      </w:pPr>
      <w:r>
        <w:continuationSeparator/>
      </w:r>
    </w:p>
  </w:footnote>
  <w:footnote w:id="1">
    <w:p w:rsidR="001F63C5" w:rsidRDefault="00ED4E22">
      <w:pPr>
        <w:pStyle w:val="FootnoteText"/>
        <w:ind w:left="360" w:hanging="360"/>
      </w:pPr>
      <w:r>
        <w:rPr>
          <w:rStyle w:val="FootnoteReference"/>
        </w:rPr>
        <w:footnoteRef/>
      </w:r>
      <w:r>
        <w:tab/>
      </w:r>
      <w:r>
        <w:rPr>
          <w:rStyle w:val="Strong"/>
          <w:b w:val="0"/>
          <w:lang w:val="en"/>
        </w:rPr>
        <w:t xml:space="preserve">Regulation (EC) No 1223/2009 of the European Parliament and of the Council of 30 November 2009 on cosmetic products </w:t>
      </w:r>
      <w:r>
        <w:rPr>
          <w:rStyle w:val="Strong"/>
          <w:b w:val="0"/>
          <w:color w:val="444444"/>
          <w:lang w:val="en"/>
        </w:rPr>
        <w:t>(</w:t>
      </w:r>
      <w:r>
        <w:t xml:space="preserve">OJ L 342, 22.12.2009, p. 59). </w:t>
      </w:r>
    </w:p>
  </w:footnote>
  <w:footnote w:id="2">
    <w:p w:rsidR="001F63C5" w:rsidRDefault="00ED4E22">
      <w:pPr>
        <w:pStyle w:val="FootnoteText"/>
        <w:ind w:left="360" w:hanging="360"/>
      </w:pPr>
      <w:r>
        <w:rPr>
          <w:rStyle w:val="FootnoteReference"/>
        </w:rPr>
        <w:footnoteRef/>
      </w:r>
      <w:r>
        <w:tab/>
        <w:t>Directive 2000/53/EC of the European Parliament</w:t>
      </w:r>
      <w:r>
        <w:t xml:space="preserve"> and of the Council of 18 September 2000 on end-of-life vehicles (OJ L 269, 21.10.2000, p. 34).</w:t>
      </w:r>
    </w:p>
  </w:footnote>
  <w:footnote w:id="3">
    <w:p w:rsidR="001F63C5" w:rsidRDefault="00ED4E22">
      <w:pPr>
        <w:pStyle w:val="FootnoteText"/>
        <w:ind w:left="360" w:hanging="360"/>
      </w:pPr>
      <w:r>
        <w:rPr>
          <w:rStyle w:val="FootnoteReference"/>
        </w:rPr>
        <w:footnoteRef/>
      </w:r>
      <w:r>
        <w:tab/>
      </w:r>
      <w:r>
        <w:rPr>
          <w:rStyle w:val="Strong"/>
          <w:b w:val="0"/>
          <w:lang w:val="en"/>
        </w:rPr>
        <w:t xml:space="preserve">Directive 2011/65/EU of the European Parliament and of the Council of 8 June 2011 on the restriction of the use of certain hazardous substances in electrical </w:t>
      </w:r>
      <w:r>
        <w:rPr>
          <w:rStyle w:val="Strong"/>
          <w:b w:val="0"/>
          <w:lang w:val="en"/>
        </w:rPr>
        <w:t>and electronic equipment</w:t>
      </w:r>
      <w:r>
        <w:rPr>
          <w:rStyle w:val="Strong"/>
          <w:lang w:val="en"/>
        </w:rPr>
        <w:t xml:space="preserve"> </w:t>
      </w:r>
      <w:r>
        <w:rPr>
          <w:rStyle w:val="Strong"/>
          <w:b w:val="0"/>
          <w:lang w:val="en"/>
        </w:rPr>
        <w:t>(</w:t>
      </w:r>
      <w:r>
        <w:rPr>
          <w:iCs/>
          <w:lang w:val="en"/>
        </w:rPr>
        <w:t>OJ L 174, 1.7.2011, p. 88).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0AEA182"/>
    <w:lvl w:ilvl="0">
      <w:start w:val="1"/>
      <w:numFmt w:val="decimal"/>
      <w:pStyle w:val="ListNumber4"/>
      <w:lvlText w:val="%1."/>
      <w:lvlJc w:val="left"/>
      <w:pPr>
        <w:tabs>
          <w:tab w:val="num" w:pos="3405"/>
        </w:tabs>
        <w:ind w:left="3405" w:hanging="360"/>
      </w:pPr>
    </w:lvl>
  </w:abstractNum>
  <w:abstractNum w:abstractNumId="1">
    <w:nsid w:val="FFFFFF7E"/>
    <w:multiLevelType w:val="singleLevel"/>
    <w:tmpl w:val="1B062208"/>
    <w:lvl w:ilvl="0">
      <w:start w:val="1"/>
      <w:numFmt w:val="decimal"/>
      <w:pStyle w:val="ListNumber3"/>
      <w:lvlText w:val="%1."/>
      <w:lvlJc w:val="left"/>
      <w:pPr>
        <w:tabs>
          <w:tab w:val="num" w:pos="926"/>
        </w:tabs>
        <w:ind w:left="926" w:hanging="360"/>
      </w:pPr>
    </w:lvl>
  </w:abstractNum>
  <w:abstractNum w:abstractNumId="2">
    <w:nsid w:val="FFFFFF7F"/>
    <w:multiLevelType w:val="singleLevel"/>
    <w:tmpl w:val="4FFCEF68"/>
    <w:lvl w:ilvl="0">
      <w:start w:val="1"/>
      <w:numFmt w:val="decimal"/>
      <w:pStyle w:val="ListNumber2"/>
      <w:lvlText w:val="%1."/>
      <w:lvlJc w:val="left"/>
      <w:pPr>
        <w:tabs>
          <w:tab w:val="num" w:pos="643"/>
        </w:tabs>
        <w:ind w:left="643" w:hanging="360"/>
      </w:pPr>
    </w:lvl>
  </w:abstractNum>
  <w:abstractNum w:abstractNumId="3">
    <w:nsid w:val="FFFFFF81"/>
    <w:multiLevelType w:val="singleLevel"/>
    <w:tmpl w:val="A31016C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D2AD4F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5F2AA7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7CCD3F6"/>
    <w:lvl w:ilvl="0">
      <w:start w:val="1"/>
      <w:numFmt w:val="decimal"/>
      <w:pStyle w:val="ListNumber"/>
      <w:lvlText w:val="%1."/>
      <w:lvlJc w:val="left"/>
      <w:pPr>
        <w:tabs>
          <w:tab w:val="num" w:pos="360"/>
        </w:tabs>
        <w:ind w:left="360" w:hanging="360"/>
      </w:pPr>
    </w:lvl>
  </w:abstractNum>
  <w:abstractNum w:abstractNumId="7">
    <w:nsid w:val="FFFFFF89"/>
    <w:multiLevelType w:val="singleLevel"/>
    <w:tmpl w:val="D60C46B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000006"/>
    <w:multiLevelType w:val="singleLevel"/>
    <w:tmpl w:val="00000006"/>
    <w:name w:val="WW8Num13"/>
    <w:lvl w:ilvl="0">
      <w:start w:val="1"/>
      <w:numFmt w:val="lowerLetter"/>
      <w:lvlText w:val="(%1)"/>
      <w:lvlJc w:val="left"/>
      <w:pPr>
        <w:tabs>
          <w:tab w:val="num" w:pos="0"/>
        </w:tabs>
        <w:ind w:left="405" w:hanging="360"/>
      </w:pPr>
      <w:rPr>
        <w:rFonts w:cs="Times New Roman"/>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B1D4F8D"/>
    <w:multiLevelType w:val="hybridMultilevel"/>
    <w:tmpl w:val="1124EC30"/>
    <w:lvl w:ilvl="0" w:tplc="00000006">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0"/>
    <w:lvlOverride w:ilvl="0">
      <w:startOverride w:val="1"/>
    </w:lvlOverride>
  </w:num>
  <w:num w:numId="14">
    <w:abstractNumId w:val="20"/>
  </w:num>
  <w:num w:numId="15">
    <w:abstractNumId w:val="13"/>
  </w:num>
  <w:num w:numId="16">
    <w:abstractNumId w:val="22"/>
  </w:num>
  <w:num w:numId="17">
    <w:abstractNumId w:val="12"/>
  </w:num>
  <w:num w:numId="18">
    <w:abstractNumId w:val="14"/>
  </w:num>
  <w:num w:numId="19">
    <w:abstractNumId w:val="10"/>
  </w:num>
  <w:num w:numId="20">
    <w:abstractNumId w:val="21"/>
  </w:num>
  <w:num w:numId="21">
    <w:abstractNumId w:val="9"/>
  </w:num>
  <w:num w:numId="22">
    <w:abstractNumId w:val="15"/>
  </w:num>
  <w:num w:numId="23">
    <w:abstractNumId w:val="18"/>
  </w:num>
  <w:num w:numId="24">
    <w:abstractNumId w:val="19"/>
  </w:num>
  <w:num w:numId="25">
    <w:abstractNumId w:val="11"/>
  </w:num>
  <w:num w:numId="26">
    <w:abstractNumId w:val="17"/>
  </w:num>
  <w:num w:numId="27">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hideSpellingErrors/>
  <w:hideGrammaticalErrors/>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26 10:08:1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0"/>
    <w:docVar w:name="DQCResult_StructureCheck" w:val="0;0"/>
    <w:docVar w:name="DQCResult_SuperfluousWhitespace" w:val="0;15"/>
    <w:docVar w:name="DQCResult_UnknownFonts" w:val="0;0"/>
    <w:docVar w:name="DQCResult_UnknownStyles" w:val="0;0"/>
    <w:docVar w:name="DQCStatus" w:val="Yellow"/>
    <w:docVar w:name="DQCVersion" w:val="3"/>
    <w:docVar w:name="DQCWithWarnings" w:val="0"/>
    <w:docVar w:name="LW_ACCOMPAGNANT" w:val="to the Proposal for a"/>
    <w:docVar w:name="LW_ACCOMPAGNANT.CP" w:val="to the Proposal for a"/>
    <w:docVar w:name="LW_ANNEX_NBR_FIRST" w:val="1"/>
    <w:docVar w:name="LW_ANNEX_NBR_LAST" w:val="5"/>
    <w:docVar w:name="LW_CONFIDENCE" w:val=" "/>
    <w:docVar w:name="LW_CONST_RESTREINT_UE" w:val="RESTREINT UE"/>
    <w:docVar w:name="LW_CORRIGENDUM" w:val="&lt;UNUSED&gt;"/>
    <w:docVar w:name="LW_COVERPAGE_GUID" w:val="245890577D87436E930E3713932DA5E1"/>
    <w:docVar w:name="LW_CROSSREFERENCE" w:val="{SWD(2016) 14 final}_x000b_{SWD(2016) 17 final}_x000b_{SWD(2016) 18 final}"/>
    <w:docVar w:name="LW_DocType" w:val="ANNEX"/>
    <w:docVar w:name="LW_EMISSION" w:val="2.2.2016"/>
    <w:docVar w:name="LW_EMISSION_ISODATE" w:val="2016-02-02"/>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of the European Parliament and of the Council on mercury, and repealing Regulation (EC) No 1102/2008"/>
    <w:docVar w:name="LW_OBJETACTEPRINCIPAL.CP" w:val="of the European Parliament and of the Council on mercury, and repealing Regulation (EC) No 1102/2008"/>
    <w:docVar w:name="LW_PART_NBR" w:val="&lt;UNUSED&gt;"/>
    <w:docVar w:name="LW_PART_NBR_TOTAL" w:val="&lt;UNUSED&gt;"/>
    <w:docVar w:name="LW_REF.INST.NEW" w:val="COM"/>
    <w:docVar w:name="LW_REF.INST.NEW_ADOPTED" w:val="final"/>
    <w:docVar w:name="LW_REF.INST.NEW_TEXT" w:val="(2016) 39"/>
    <w:docVar w:name="LW_REF.INTERNE" w:val="&lt;UNUSED&gt;"/>
    <w:docVar w:name="LW_SUPERTITRE" w:val="&lt;UNUSED&gt;"/>
    <w:docVar w:name="LW_TITRE.OBJ.CP" w:val="&lt;UNUSED&gt;"/>
    <w:docVar w:name="LW_TYPE.DOC" w:val="ANNEXES"/>
    <w:docVar w:name="LW_TYPE.DOC.CP" w:val="ANNEXES"/>
    <w:docVar w:name="LW_TYPEACTEPRINCIPAL" w:val="Regulation"/>
    <w:docVar w:name="LW_TYPEACTEPRINCIPAL.CP" w:val="Regulation"/>
  </w:docVars>
  <w:rsids>
    <w:rsidRoot w:val="001F63C5"/>
    <w:rsid w:val="001F63C5"/>
    <w:rsid w:val="00342C51"/>
    <w:rsid w:val="007E2237"/>
    <w:rsid w:val="00ED4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spacing w:before="0" w:after="0"/>
      <w:ind w:left="720"/>
      <w:contextualSpacing/>
    </w:pPr>
    <w:rPr>
      <w:rFonts w:eastAsia="Calibri"/>
      <w:sz w:val="20"/>
      <w:szCs w:val="20"/>
      <w:lang w:eastAsia="en-GB"/>
    </w:rPr>
  </w:style>
  <w:style w:type="table" w:styleId="TableGrid">
    <w:name w:val="Table Grid"/>
    <w:basedOn w:val="TableNormal"/>
    <w:uiPriority w:val="59"/>
    <w:pPr>
      <w:spacing w:after="0" w:line="240" w:lineRule="auto"/>
      <w:jc w:val="both"/>
    </w:pPr>
    <w:rPr>
      <w:rFonts w:ascii="Times New Roman" w:eastAsia="Calibri" w:hAnsi="Times New Roman" w:cs="Times New Roman"/>
      <w:sz w:val="24"/>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Strong">
    <w:name w:val="Strong"/>
    <w:basedOn w:val="DefaultParagraphFont"/>
    <w:uiPriority w:val="22"/>
    <w:qFormat/>
    <w:rPr>
      <w:b/>
      <w:bCs/>
    </w:rPr>
  </w:style>
  <w:style w:type="paragraph" w:customStyle="1" w:styleId="Style1">
    <w:name w:val="Style1"/>
    <w:basedOn w:val="FootnoteText"/>
    <w:qFormat/>
    <w:rPr>
      <w:color w:val="444444"/>
      <w:lang w:val="en"/>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spacing w:before="0" w:after="0"/>
      <w:ind w:left="720"/>
      <w:contextualSpacing/>
    </w:pPr>
    <w:rPr>
      <w:rFonts w:eastAsia="Calibri"/>
      <w:sz w:val="20"/>
      <w:szCs w:val="20"/>
      <w:lang w:eastAsia="en-GB"/>
    </w:rPr>
  </w:style>
  <w:style w:type="table" w:styleId="TableGrid">
    <w:name w:val="Table Grid"/>
    <w:basedOn w:val="TableNormal"/>
    <w:uiPriority w:val="59"/>
    <w:pPr>
      <w:spacing w:after="0" w:line="240" w:lineRule="auto"/>
      <w:jc w:val="both"/>
    </w:pPr>
    <w:rPr>
      <w:rFonts w:ascii="Times New Roman" w:eastAsia="Calibri" w:hAnsi="Times New Roman" w:cs="Times New Roman"/>
      <w:sz w:val="24"/>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Strong">
    <w:name w:val="Strong"/>
    <w:basedOn w:val="DefaultParagraphFont"/>
    <w:uiPriority w:val="22"/>
    <w:qFormat/>
    <w:rPr>
      <w:b/>
      <w:bCs/>
    </w:rPr>
  </w:style>
  <w:style w:type="paragraph" w:customStyle="1" w:styleId="Style1">
    <w:name w:val="Style1"/>
    <w:basedOn w:val="FootnoteText"/>
    <w:qFormat/>
    <w:rPr>
      <w:color w:val="444444"/>
      <w:lang w:val="en"/>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8C0E4-3540-4203-A6ED-5F9772075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8</Pages>
  <Words>1021</Words>
  <Characters>5610</Characters>
  <Application>Microsoft Office Word</Application>
  <DocSecurity>0</DocSecurity>
  <Lines>207</Lines>
  <Paragraphs>138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FORNASERO Stefania (ENV)</dc:creator>
  <cp:lastModifiedBy>LAGES CARVALHO Patrick (SG)</cp:lastModifiedBy>
  <cp:revision>10</cp:revision>
  <cp:lastPrinted>2016-01-12T15:15:00Z</cp:lastPrinted>
  <dcterms:created xsi:type="dcterms:W3CDTF">2016-01-25T10:19:00Z</dcterms:created>
  <dcterms:modified xsi:type="dcterms:W3CDTF">2016-01-26T10:24:00Z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5</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Yellow (DQC version 03)</vt:lpwstr>
  </property>
</Properties>
</file>