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B1" w:rsidRDefault="00E81BAD" w:rsidP="00E81BAD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3549A10BD6342E5A96C938331679B9C" style="width:450.4pt;height:370.9pt">
            <v:imagedata r:id="rId9" o:title=""/>
          </v:shape>
        </w:pict>
      </w:r>
    </w:p>
    <w:p w:rsidR="00B21FB1" w:rsidRDefault="00B21FB1">
      <w:pPr>
        <w:pStyle w:val="Pagedecouverture"/>
        <w:rPr>
          <w:noProof/>
        </w:rPr>
        <w:sectPr w:rsidR="00B21FB1" w:rsidSect="00E81B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B21FB1" w:rsidRDefault="00F92772">
      <w:pPr>
        <w:pStyle w:val="Annexetitre"/>
        <w:rPr>
          <w:noProof/>
          <w:u w:val="none"/>
        </w:rPr>
      </w:pPr>
      <w:bookmarkStart w:id="0" w:name="_GoBack"/>
      <w:bookmarkEnd w:id="0"/>
      <w:r>
        <w:rPr>
          <w:noProof/>
          <w:u w:val="none"/>
        </w:rPr>
        <w:lastRenderedPageBreak/>
        <w:t>ANNEXE I</w:t>
      </w:r>
    </w:p>
    <w:p w:rsidR="00B21FB1" w:rsidRDefault="00F92772">
      <w:pPr>
        <w:pStyle w:val="NormalCentered"/>
        <w:rPr>
          <w:b/>
          <w:noProof/>
        </w:rPr>
      </w:pPr>
      <w:r>
        <w:rPr>
          <w:b/>
          <w:noProof/>
        </w:rPr>
        <w:t>Composés du mercure et mélanges soumis aux articles 3 et 4</w:t>
      </w:r>
    </w:p>
    <w:p w:rsidR="00B21FB1" w:rsidRDefault="00B21FB1">
      <w:pPr>
        <w:rPr>
          <w:noProof/>
        </w:rPr>
      </w:pPr>
    </w:p>
    <w:p w:rsidR="00B21FB1" w:rsidRDefault="00F92772">
      <w:pPr>
        <w:rPr>
          <w:noProof/>
        </w:rPr>
      </w:pPr>
      <w:r>
        <w:rPr>
          <w:b/>
          <w:i/>
          <w:noProof/>
        </w:rPr>
        <w:t>Composés du mercure</w:t>
      </w:r>
      <w:r>
        <w:rPr>
          <w:noProof/>
        </w:rPr>
        <w:t>:</w:t>
      </w:r>
    </w:p>
    <w:p w:rsidR="00B21FB1" w:rsidRDefault="00F92772">
      <w:pPr>
        <w:rPr>
          <w:noProof/>
        </w:rPr>
      </w:pPr>
      <w:r>
        <w:rPr>
          <w:noProof/>
        </w:rPr>
        <w:t xml:space="preserve">Chlorure </w:t>
      </w:r>
      <w:r>
        <w:rPr>
          <w:noProof/>
        </w:rPr>
        <w:t>de mercure(I) (Hg</w:t>
      </w:r>
      <w:r>
        <w:rPr>
          <w:noProof/>
          <w:vertAlign w:val="subscript"/>
        </w:rPr>
        <w:t>2</w:t>
      </w:r>
      <w:r>
        <w:rPr>
          <w:noProof/>
        </w:rPr>
        <w:t>Cl</w:t>
      </w:r>
      <w:r>
        <w:rPr>
          <w:noProof/>
          <w:vertAlign w:val="subscript"/>
        </w:rPr>
        <w:t>2</w:t>
      </w:r>
      <w:r>
        <w:rPr>
          <w:noProof/>
        </w:rPr>
        <w:t>, nº CAS: 10112-91-1)</w:t>
      </w:r>
    </w:p>
    <w:p w:rsidR="00B21FB1" w:rsidRDefault="00F92772">
      <w:pPr>
        <w:rPr>
          <w:noProof/>
        </w:rPr>
      </w:pPr>
      <w:r>
        <w:rPr>
          <w:noProof/>
        </w:rPr>
        <w:t>Oxyde de mercure(II) (HgO, nº CAS: 21908-53-2)</w:t>
      </w:r>
    </w:p>
    <w:p w:rsidR="00B21FB1" w:rsidRDefault="00F92772">
      <w:pPr>
        <w:rPr>
          <w:noProof/>
        </w:rPr>
      </w:pPr>
      <w:r>
        <w:rPr>
          <w:noProof/>
        </w:rPr>
        <w:t>Minerai de cinabre</w:t>
      </w:r>
    </w:p>
    <w:p w:rsidR="00B21FB1" w:rsidRDefault="00B21FB1">
      <w:pPr>
        <w:rPr>
          <w:noProof/>
        </w:rPr>
      </w:pPr>
    </w:p>
    <w:p w:rsidR="00B21FB1" w:rsidRDefault="00F92772">
      <w:pPr>
        <w:rPr>
          <w:b/>
          <w:i/>
          <w:noProof/>
        </w:rPr>
      </w:pPr>
      <w:r>
        <w:rPr>
          <w:b/>
          <w:i/>
          <w:noProof/>
        </w:rPr>
        <w:t>Mélanges:</w:t>
      </w:r>
    </w:p>
    <w:p w:rsidR="00B21FB1" w:rsidRDefault="00F92772">
      <w:pPr>
        <w:rPr>
          <w:noProof/>
        </w:rPr>
      </w:pPr>
      <w:r>
        <w:rPr>
          <w:noProof/>
        </w:rPr>
        <w:t>Mélanges de mercure avec d'autres substances, notamment les alliages de mercure, dont la teneur en mercure atteint au moins 95 % masse/m</w:t>
      </w:r>
      <w:r>
        <w:rPr>
          <w:noProof/>
        </w:rPr>
        <w:t>asse.</w:t>
      </w:r>
    </w:p>
    <w:p w:rsidR="00B21FB1" w:rsidRDefault="00F92772">
      <w:pPr>
        <w:pStyle w:val="Annexetitre"/>
        <w:rPr>
          <w:noProof/>
          <w:u w:val="none"/>
        </w:rPr>
      </w:pPr>
      <w:r>
        <w:rPr>
          <w:noProof/>
        </w:rPr>
        <w:br w:type="page"/>
      </w:r>
      <w:r>
        <w:rPr>
          <w:noProof/>
          <w:u w:val="none"/>
        </w:rPr>
        <w:lastRenderedPageBreak/>
        <w:t>ANNEXE II</w:t>
      </w:r>
    </w:p>
    <w:p w:rsidR="00B21FB1" w:rsidRDefault="00F92772">
      <w:pPr>
        <w:pStyle w:val="NormalCentered"/>
        <w:rPr>
          <w:b/>
          <w:noProof/>
        </w:rPr>
      </w:pPr>
      <w:r>
        <w:rPr>
          <w:b/>
          <w:noProof/>
        </w:rPr>
        <w:t>Produits contenant du mercure ajouté visés à l'article 5</w:t>
      </w:r>
    </w:p>
    <w:p w:rsidR="00B21FB1" w:rsidRDefault="00B21FB1">
      <w:pPr>
        <w:ind w:left="1440" w:firstLine="720"/>
        <w:rPr>
          <w:noProof/>
        </w:rPr>
      </w:pPr>
    </w:p>
    <w:p w:rsidR="00B21FB1" w:rsidRDefault="00F92772">
      <w:pPr>
        <w:rPr>
          <w:b/>
          <w:noProof/>
        </w:rPr>
      </w:pPr>
      <w:r>
        <w:rPr>
          <w:b/>
          <w:noProof/>
        </w:rPr>
        <w:t>Partie A – Produits contenant du mercure ajouté</w:t>
      </w:r>
    </w:p>
    <w:p w:rsidR="00B21FB1" w:rsidRDefault="00B21FB1">
      <w:pPr>
        <w:rPr>
          <w:noProof/>
        </w:rPr>
      </w:pPr>
    </w:p>
    <w:tbl>
      <w:tblPr>
        <w:tblW w:w="9786" w:type="dxa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786"/>
      </w:tblGrid>
      <w:tr w:rsidR="00B21FB1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FB1" w:rsidRDefault="00F92772">
            <w:pPr>
              <w:snapToGrid w:val="0"/>
              <w:ind w:left="252" w:hanging="240"/>
              <w:rPr>
                <w:rFonts w:eastAsia="SimSun"/>
                <w:noProof/>
              </w:rPr>
            </w:pPr>
            <w:r>
              <w:rPr>
                <w:b/>
                <w:noProof/>
              </w:rPr>
              <w:t>1.</w:t>
            </w:r>
            <w:r>
              <w:rPr>
                <w:noProof/>
              </w:rPr>
              <w:t xml:space="preserve"> Les piles, à l’exception des piles boutons zinc-oxyde d’argent et zinc-air à teneur en mercure &lt; 2 %.</w:t>
            </w:r>
          </w:p>
        </w:tc>
      </w:tr>
      <w:tr w:rsidR="00B21FB1">
        <w:trPr>
          <w:trHeight w:val="170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FB1" w:rsidRDefault="00F92772">
            <w:pPr>
              <w:snapToGrid w:val="0"/>
              <w:ind w:left="252" w:hanging="252"/>
              <w:rPr>
                <w:rFonts w:eastAsia="SimSun"/>
                <w:noProof/>
              </w:rPr>
            </w:pPr>
            <w:r>
              <w:rPr>
                <w:b/>
                <w:noProof/>
              </w:rPr>
              <w:t>2.</w:t>
            </w:r>
            <w:r>
              <w:rPr>
                <w:noProof/>
              </w:rPr>
              <w:t xml:space="preserve"> Les commutateurs et relais, à l’exception des ponts de mesure de capacité et de perte à très haute précision et des commutateurs et relais radio haute fréquence pour instruments de surveillance et de contrôle possédant une teneur maximale en mercure de 20</w:t>
            </w:r>
            <w:r>
              <w:rPr>
                <w:noProof/>
              </w:rPr>
              <w:t> mg par pont, commutateur ou relais.</w:t>
            </w:r>
          </w:p>
        </w:tc>
      </w:tr>
      <w:tr w:rsidR="00B21FB1">
        <w:trPr>
          <w:trHeight w:val="170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FB1" w:rsidRDefault="00F92772">
            <w:pPr>
              <w:snapToGrid w:val="0"/>
              <w:ind w:left="252" w:hanging="252"/>
              <w:rPr>
                <w:rFonts w:eastAsia="SimSun"/>
                <w:noProof/>
              </w:rPr>
            </w:pPr>
            <w:r>
              <w:rPr>
                <w:b/>
                <w:noProof/>
              </w:rPr>
              <w:t>3.</w:t>
            </w:r>
            <w:r>
              <w:rPr>
                <w:noProof/>
              </w:rPr>
              <w:t xml:space="preserve"> Les lampes fluorescentes compactes d’éclairage ordinaire de puissance ≤ 30 W à teneur en mercure supérieure à 5 mg par bec de lampe.</w:t>
            </w:r>
          </w:p>
        </w:tc>
      </w:tr>
      <w:tr w:rsidR="00B21FB1">
        <w:trPr>
          <w:trHeight w:val="170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FB1" w:rsidRDefault="00F92772">
            <w:pPr>
              <w:snapToGrid w:val="0"/>
              <w:rPr>
                <w:rFonts w:eastAsia="SimSun"/>
                <w:noProof/>
              </w:rPr>
            </w:pPr>
            <w:r>
              <w:rPr>
                <w:b/>
                <w:noProof/>
              </w:rPr>
              <w:t>4.</w:t>
            </w:r>
            <w:r>
              <w:rPr>
                <w:noProof/>
              </w:rPr>
              <w:t xml:space="preserve"> Les tubes fluorescents linéaires d’éclairage ordinaire:</w:t>
            </w:r>
          </w:p>
          <w:p w:rsidR="00B21FB1" w:rsidRDefault="00F92772">
            <w:pPr>
              <w:numPr>
                <w:ilvl w:val="0"/>
                <w:numId w:val="5"/>
              </w:numPr>
              <w:suppressAutoHyphens/>
              <w:jc w:val="left"/>
              <w:rPr>
                <w:rFonts w:eastAsia="SimSun"/>
                <w:noProof/>
              </w:rPr>
            </w:pPr>
            <w:r>
              <w:rPr>
                <w:noProof/>
              </w:rPr>
              <w:t xml:space="preserve">au phosphore à trois </w:t>
            </w:r>
            <w:r>
              <w:rPr>
                <w:noProof/>
              </w:rPr>
              <w:t>bandes de puissance &lt; 60 W à teneur en mercure supérieure à 5 mg par lampe;</w:t>
            </w:r>
          </w:p>
          <w:p w:rsidR="00B21FB1" w:rsidRDefault="00F92772">
            <w:pPr>
              <w:numPr>
                <w:ilvl w:val="0"/>
                <w:numId w:val="5"/>
              </w:numPr>
              <w:suppressAutoHyphens/>
              <w:jc w:val="left"/>
              <w:rPr>
                <w:rFonts w:eastAsia="SimSun"/>
                <w:noProof/>
              </w:rPr>
            </w:pPr>
            <w:r>
              <w:rPr>
                <w:noProof/>
              </w:rPr>
              <w:t>au phosphore d’halophosphate de puissance ≤ 40 W à teneur en mercure supérieure à 10 mg par lampe.</w:t>
            </w:r>
          </w:p>
        </w:tc>
      </w:tr>
      <w:tr w:rsidR="00B21FB1">
        <w:trPr>
          <w:trHeight w:val="170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FB1" w:rsidRDefault="00F92772">
            <w:pPr>
              <w:snapToGrid w:val="0"/>
              <w:rPr>
                <w:rFonts w:eastAsia="SimSun"/>
                <w:noProof/>
              </w:rPr>
            </w:pPr>
            <w:r>
              <w:rPr>
                <w:b/>
                <w:noProof/>
              </w:rPr>
              <w:t>5.</w:t>
            </w:r>
            <w:r>
              <w:rPr>
                <w:noProof/>
              </w:rPr>
              <w:t xml:space="preserve"> Les lampes d’éclairage ordinaire à vapeur de mercure sous haute pression.</w:t>
            </w:r>
          </w:p>
        </w:tc>
      </w:tr>
      <w:tr w:rsidR="00B21FB1">
        <w:trPr>
          <w:trHeight w:val="170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FB1" w:rsidRDefault="00F92772">
            <w:pPr>
              <w:snapToGrid w:val="0"/>
              <w:ind w:left="252" w:hanging="252"/>
              <w:rPr>
                <w:rFonts w:eastAsia="SimSun"/>
                <w:noProof/>
              </w:rPr>
            </w:pPr>
            <w:r>
              <w:rPr>
                <w:b/>
                <w:noProof/>
              </w:rPr>
              <w:t>6.</w:t>
            </w:r>
            <w:r>
              <w:rPr>
                <w:noProof/>
              </w:rPr>
              <w:t xml:space="preserve"> Les lampes fluorescentes à cathode froide et à électrodes externes pour affichages électroniques contenant du mercure ajouté:</w:t>
            </w:r>
          </w:p>
          <w:p w:rsidR="00B21FB1" w:rsidRDefault="00F92772">
            <w:pPr>
              <w:rPr>
                <w:rFonts w:eastAsia="SimSun"/>
                <w:noProof/>
              </w:rPr>
            </w:pPr>
            <w:r>
              <w:rPr>
                <w:noProof/>
              </w:rPr>
              <w:t>a) de faible longueur (≤ 500 mm) à teneur en mercure supérieure à 3,5 mg par lampe;</w:t>
            </w:r>
          </w:p>
          <w:p w:rsidR="00B21FB1" w:rsidRDefault="00F92772">
            <w:pPr>
              <w:rPr>
                <w:rFonts w:eastAsia="SimSun"/>
                <w:noProof/>
              </w:rPr>
            </w:pPr>
            <w:r>
              <w:rPr>
                <w:noProof/>
              </w:rPr>
              <w:t>b) de longueur moyenne (&gt; 500 mm et ≤ 1 500 m</w:t>
            </w:r>
            <w:r>
              <w:rPr>
                <w:noProof/>
              </w:rPr>
              <w:t>m) à teneur en mercure supérieure à 5 mg par lampe;</w:t>
            </w:r>
          </w:p>
          <w:p w:rsidR="00B21FB1" w:rsidRDefault="00F92772">
            <w:pPr>
              <w:rPr>
                <w:rFonts w:eastAsia="SimSun"/>
                <w:noProof/>
              </w:rPr>
            </w:pPr>
            <w:r>
              <w:rPr>
                <w:noProof/>
              </w:rPr>
              <w:t>c) de grande longueur (&gt; 1 500 mm) à teneur en mercure supérieure à 13 mg par lampe.</w:t>
            </w:r>
          </w:p>
        </w:tc>
      </w:tr>
      <w:tr w:rsidR="00B21FB1">
        <w:trPr>
          <w:trHeight w:val="170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FB1" w:rsidRDefault="00F92772">
            <w:pPr>
              <w:snapToGrid w:val="0"/>
              <w:ind w:left="252" w:hanging="252"/>
              <w:rPr>
                <w:rFonts w:eastAsia="SimSun"/>
                <w:noProof/>
              </w:rPr>
            </w:pPr>
            <w:r>
              <w:rPr>
                <w:b/>
                <w:noProof/>
              </w:rPr>
              <w:t>7.</w:t>
            </w:r>
            <w:r>
              <w:rPr>
                <w:noProof/>
              </w:rPr>
              <w:t xml:space="preserve"> Les cosmétiques contenant du mercure ou des composés du mercure, à l'exception des cas particuliers inscrits à l'an</w:t>
            </w:r>
            <w:r>
              <w:rPr>
                <w:noProof/>
              </w:rPr>
              <w:t>nexe V, rubrique 17, du règlement (CE) nº 1223/2009 du Parlement européen et du Conseil</w:t>
            </w:r>
            <w:r>
              <w:rPr>
                <w:rStyle w:val="FootnoteReference"/>
                <w:noProof/>
              </w:rPr>
              <w:footnoteReference w:id="1"/>
            </w:r>
            <w:r>
              <w:rPr>
                <w:noProof/>
              </w:rPr>
              <w:t>.</w:t>
            </w:r>
          </w:p>
        </w:tc>
      </w:tr>
      <w:tr w:rsidR="00B21FB1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FB1" w:rsidRDefault="00F92772">
            <w:pPr>
              <w:snapToGrid w:val="0"/>
              <w:rPr>
                <w:rFonts w:eastAsia="SimSun"/>
                <w:noProof/>
              </w:rPr>
            </w:pPr>
            <w:r>
              <w:rPr>
                <w:b/>
                <w:noProof/>
              </w:rPr>
              <w:t>8.</w:t>
            </w:r>
            <w:r>
              <w:rPr>
                <w:noProof/>
              </w:rPr>
              <w:t xml:space="preserve"> Les pesticides, les biocides et les antiseptiques locaux.</w:t>
            </w:r>
          </w:p>
        </w:tc>
      </w:tr>
      <w:tr w:rsidR="00B21FB1">
        <w:trPr>
          <w:trHeight w:val="170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FB1" w:rsidRDefault="00F92772">
            <w:pPr>
              <w:snapToGrid w:val="0"/>
              <w:ind w:left="252" w:hanging="252"/>
              <w:rPr>
                <w:rFonts w:eastAsia="SimSun"/>
                <w:noProof/>
              </w:rPr>
            </w:pPr>
            <w:r>
              <w:rPr>
                <w:b/>
                <w:noProof/>
              </w:rPr>
              <w:t>9.</w:t>
            </w:r>
            <w:r>
              <w:rPr>
                <w:noProof/>
              </w:rPr>
              <w:t xml:space="preserve"> Les instruments de mesure non électroniques ci-après, lorsqu’aucune solution de remplacement </w:t>
            </w:r>
            <w:r>
              <w:rPr>
                <w:noProof/>
              </w:rPr>
              <w:t>convenable sans mercure n’est disponible:</w:t>
            </w:r>
          </w:p>
          <w:p w:rsidR="00B21FB1" w:rsidRDefault="00F92772">
            <w:pPr>
              <w:rPr>
                <w:rFonts w:eastAsia="SimSun"/>
                <w:noProof/>
              </w:rPr>
            </w:pPr>
            <w:r>
              <w:rPr>
                <w:noProof/>
              </w:rPr>
              <w:lastRenderedPageBreak/>
              <w:t>a) baromètres;</w:t>
            </w:r>
          </w:p>
          <w:p w:rsidR="00B21FB1" w:rsidRDefault="00F92772">
            <w:pPr>
              <w:rPr>
                <w:rFonts w:eastAsia="SimSun"/>
                <w:noProof/>
              </w:rPr>
            </w:pPr>
            <w:r>
              <w:rPr>
                <w:noProof/>
              </w:rPr>
              <w:t>b) hygromètres;</w:t>
            </w:r>
          </w:p>
          <w:p w:rsidR="00B21FB1" w:rsidRDefault="00F92772">
            <w:pPr>
              <w:rPr>
                <w:rFonts w:eastAsia="SimSun"/>
                <w:noProof/>
              </w:rPr>
            </w:pPr>
            <w:r>
              <w:rPr>
                <w:noProof/>
              </w:rPr>
              <w:t>c) manomètres;</w:t>
            </w:r>
          </w:p>
          <w:p w:rsidR="00B21FB1" w:rsidRDefault="00F92772">
            <w:pPr>
              <w:rPr>
                <w:rFonts w:eastAsia="SimSun"/>
                <w:noProof/>
              </w:rPr>
            </w:pPr>
            <w:r>
              <w:rPr>
                <w:noProof/>
              </w:rPr>
              <w:t>d) thermomètres;</w:t>
            </w:r>
          </w:p>
          <w:p w:rsidR="00B21FB1" w:rsidRDefault="00F92772">
            <w:pPr>
              <w:rPr>
                <w:rFonts w:eastAsia="SimSun"/>
                <w:noProof/>
              </w:rPr>
            </w:pPr>
            <w:r>
              <w:rPr>
                <w:noProof/>
              </w:rPr>
              <w:t>e) sphygmomanomètres.</w:t>
            </w:r>
          </w:p>
          <w:p w:rsidR="00B21FB1" w:rsidRDefault="00F92772">
            <w:pPr>
              <w:rPr>
                <w:rFonts w:eastAsia="SimSun"/>
                <w:noProof/>
              </w:rPr>
            </w:pPr>
            <w:r>
              <w:rPr>
                <w:noProof/>
              </w:rPr>
              <w:t>Sont exclus de la présente rubrique les instruments de mesure suivants:</w:t>
            </w:r>
          </w:p>
          <w:p w:rsidR="00B21FB1" w:rsidRDefault="00F92772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72"/>
              <w:rPr>
                <w:rFonts w:eastAsia="SimSun"/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instruments de mesure non électroniques intégrés à de gra</w:t>
            </w:r>
            <w:r>
              <w:rPr>
                <w:noProof/>
                <w:sz w:val="24"/>
              </w:rPr>
              <w:t>nds équipements ou utilisés à des fins de mesure de haute précision;</w:t>
            </w:r>
          </w:p>
          <w:p w:rsidR="00B21FB1" w:rsidRDefault="00F92772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72"/>
              <w:rPr>
                <w:rFonts w:eastAsia="SimSun"/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instruments de mesure vieux de plus de 50 ans au 3 octobre 2007;</w:t>
            </w:r>
          </w:p>
          <w:p w:rsidR="00B21FB1" w:rsidRDefault="00F92772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72"/>
              <w:rPr>
                <w:rFonts w:eastAsia="SimSun"/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instruments de mesure destinés à être présentés à des fins culturelles et historiques, lors d'expositions publiques.</w:t>
            </w:r>
          </w:p>
        </w:tc>
      </w:tr>
    </w:tbl>
    <w:p w:rsidR="00B21FB1" w:rsidRDefault="00B21FB1">
      <w:pPr>
        <w:rPr>
          <w:noProof/>
        </w:rPr>
      </w:pPr>
    </w:p>
    <w:p w:rsidR="00B21FB1" w:rsidRDefault="00F92772">
      <w:pPr>
        <w:rPr>
          <w:b/>
          <w:noProof/>
        </w:rPr>
      </w:pPr>
      <w:r>
        <w:rPr>
          <w:b/>
          <w:noProof/>
        </w:rPr>
        <w:t>Partie B – Autres produits exclus de la liste figurant dans la partie A de la présente annexe</w:t>
      </w:r>
    </w:p>
    <w:p w:rsidR="00B21FB1" w:rsidRDefault="00B21FB1">
      <w:pPr>
        <w:rPr>
          <w:noProof/>
        </w:rPr>
      </w:pPr>
    </w:p>
    <w:p w:rsidR="00B21FB1" w:rsidRDefault="00F92772">
      <w:pPr>
        <w:rPr>
          <w:noProof/>
        </w:rPr>
      </w:pPr>
      <w:r>
        <w:rPr>
          <w:noProof/>
        </w:rPr>
        <w:t>Les commutateurs et relais, les lampes fluorescentes à cathode froide et à électrodes externes pour affichages électroniques et les instruments de mesure, lorsqu</w:t>
      </w:r>
      <w:r>
        <w:rPr>
          <w:noProof/>
        </w:rPr>
        <w:t>'ils remplacent un composant d'un équipement plus grand et à condition qu'aucune solution de remplacement viable sans mercure ne soit disponible, conformément à la directive 2000/53/CE du Parlement européen et du Conseil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et à la directive 2011/65/UE du Pa</w:t>
      </w:r>
      <w:r>
        <w:rPr>
          <w:noProof/>
        </w:rPr>
        <w:t>rlement européen et du Conseil</w:t>
      </w:r>
      <w:r>
        <w:rPr>
          <w:rStyle w:val="FootnoteReference"/>
          <w:noProof/>
        </w:rPr>
        <w:footnoteReference w:id="3"/>
      </w:r>
      <w:r>
        <w:rPr>
          <w:noProof/>
        </w:rPr>
        <w:t>.</w:t>
      </w:r>
    </w:p>
    <w:p w:rsidR="00B21FB1" w:rsidRDefault="00F92772">
      <w:pPr>
        <w:pStyle w:val="Annexetitre"/>
        <w:rPr>
          <w:noProof/>
          <w:u w:val="none"/>
        </w:rPr>
      </w:pPr>
      <w:r>
        <w:rPr>
          <w:noProof/>
        </w:rPr>
        <w:br w:type="page"/>
      </w:r>
      <w:r>
        <w:rPr>
          <w:noProof/>
          <w:u w:val="none"/>
        </w:rPr>
        <w:lastRenderedPageBreak/>
        <w:t>ANNEXE III</w:t>
      </w:r>
    </w:p>
    <w:p w:rsidR="00B21FB1" w:rsidRDefault="00F92772">
      <w:pPr>
        <w:pStyle w:val="NormalCentered"/>
        <w:rPr>
          <w:b/>
          <w:noProof/>
        </w:rPr>
      </w:pPr>
      <w:r>
        <w:rPr>
          <w:b/>
          <w:noProof/>
        </w:rPr>
        <w:t>Exigences relatives au mercure applicables aux procédés de fabrication</w:t>
      </w:r>
    </w:p>
    <w:p w:rsidR="00B21FB1" w:rsidRDefault="00B21FB1">
      <w:pPr>
        <w:rPr>
          <w:b/>
          <w:noProof/>
          <w:szCs w:val="24"/>
        </w:rPr>
      </w:pPr>
    </w:p>
    <w:p w:rsidR="00B21FB1" w:rsidRDefault="00F92772">
      <w:pPr>
        <w:tabs>
          <w:tab w:val="left" w:pos="1080"/>
        </w:tabs>
        <w:ind w:left="960" w:hanging="960"/>
        <w:rPr>
          <w:b/>
          <w:noProof/>
          <w:szCs w:val="24"/>
        </w:rPr>
      </w:pPr>
      <w:r>
        <w:rPr>
          <w:b/>
          <w:noProof/>
        </w:rPr>
        <w:t>Partie I: Interdiction de l'utilisation de mercure ou de ses composés dans les procédés de fabrication</w:t>
      </w:r>
    </w:p>
    <w:p w:rsidR="00B21FB1" w:rsidRDefault="00B21FB1">
      <w:pPr>
        <w:tabs>
          <w:tab w:val="left" w:pos="1080"/>
        </w:tabs>
        <w:ind w:left="960" w:hanging="960"/>
        <w:rPr>
          <w:b/>
          <w:noProof/>
          <w:szCs w:val="24"/>
        </w:rPr>
      </w:pP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>à partir du 1</w:t>
      </w:r>
      <w:r>
        <w:rPr>
          <w:noProof/>
          <w:vertAlign w:val="superscript"/>
        </w:rPr>
        <w:t>er</w:t>
      </w:r>
      <w:r>
        <w:rPr>
          <w:noProof/>
        </w:rPr>
        <w:t xml:space="preserve"> janvier 2019: </w:t>
      </w:r>
      <w:r>
        <w:rPr>
          <w:noProof/>
        </w:rPr>
        <w:t>production d'acétaldéhyde</w:t>
      </w: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>à partir du 1</w:t>
      </w:r>
      <w:r>
        <w:rPr>
          <w:noProof/>
          <w:vertAlign w:val="superscript"/>
        </w:rPr>
        <w:t>er</w:t>
      </w:r>
      <w:r>
        <w:rPr>
          <w:noProof/>
        </w:rPr>
        <w:t> janvier 2019: production de chlorure de vinyle monomère</w:t>
      </w:r>
    </w:p>
    <w:p w:rsidR="00B21FB1" w:rsidRDefault="00B21FB1">
      <w:pPr>
        <w:rPr>
          <w:noProof/>
          <w:szCs w:val="24"/>
        </w:rPr>
      </w:pPr>
    </w:p>
    <w:p w:rsidR="00B21FB1" w:rsidRDefault="00F92772">
      <w:pPr>
        <w:tabs>
          <w:tab w:val="left" w:pos="1080"/>
        </w:tabs>
        <w:ind w:left="960" w:hanging="960"/>
        <w:rPr>
          <w:b/>
          <w:noProof/>
          <w:szCs w:val="24"/>
        </w:rPr>
      </w:pPr>
      <w:r>
        <w:rPr>
          <w:b/>
          <w:noProof/>
        </w:rPr>
        <w:t>Partie II: Procédés de fabrication soumis à des restrictions en matière d'utilisation et de rejets de mercure et de ses composés</w:t>
      </w:r>
    </w:p>
    <w:p w:rsidR="00B21FB1" w:rsidRDefault="00B21FB1">
      <w:pPr>
        <w:tabs>
          <w:tab w:val="left" w:pos="1080"/>
        </w:tabs>
        <w:ind w:left="960" w:hanging="960"/>
        <w:rPr>
          <w:b/>
          <w:noProof/>
          <w:szCs w:val="24"/>
        </w:rPr>
      </w:pPr>
    </w:p>
    <w:p w:rsidR="00B21FB1" w:rsidRDefault="00F92772">
      <w:pPr>
        <w:rPr>
          <w:b/>
          <w:i/>
          <w:noProof/>
          <w:szCs w:val="24"/>
        </w:rPr>
      </w:pPr>
      <w:r>
        <w:rPr>
          <w:b/>
          <w:i/>
          <w:noProof/>
        </w:rPr>
        <w:t xml:space="preserve">Production de méthylate ou </w:t>
      </w:r>
      <w:r>
        <w:rPr>
          <w:b/>
          <w:i/>
          <w:noProof/>
        </w:rPr>
        <w:t>d'éthylate de sodium ou de potassium</w:t>
      </w:r>
    </w:p>
    <w:p w:rsidR="00B21FB1" w:rsidRDefault="00F92772">
      <w:pPr>
        <w:rPr>
          <w:noProof/>
          <w:szCs w:val="24"/>
        </w:rPr>
      </w:pPr>
      <w:r>
        <w:rPr>
          <w:noProof/>
        </w:rPr>
        <w:t>La production de méthylate ou d'éthylate de sodium ou de potassium répond aux exigences suivantes:</w:t>
      </w:r>
    </w:p>
    <w:p w:rsidR="00B21FB1" w:rsidRDefault="00F92772">
      <w:pPr>
        <w:pStyle w:val="Tiret0"/>
        <w:numPr>
          <w:ilvl w:val="0"/>
          <w:numId w:val="13"/>
        </w:numPr>
        <w:rPr>
          <w:noProof/>
        </w:rPr>
      </w:pPr>
      <w:r>
        <w:rPr>
          <w:noProof/>
        </w:rPr>
        <w:t>l'utilisation de mercure provenant de l'extraction minière primaire est interdite;</w:t>
      </w:r>
    </w:p>
    <w:p w:rsidR="00B21FB1" w:rsidRDefault="00F92772">
      <w:pPr>
        <w:pStyle w:val="Tiret0"/>
        <w:rPr>
          <w:noProof/>
        </w:rPr>
      </w:pPr>
      <w:r>
        <w:rPr>
          <w:noProof/>
        </w:rPr>
        <w:t>les rejets directs et indirects de me</w:t>
      </w:r>
      <w:r>
        <w:rPr>
          <w:noProof/>
        </w:rPr>
        <w:t>rcure et de ses composés dans l'air, l'eau et le sol sont réduits, d'ici à 2020, de 50 % (par tonne de substance produite) par rapport à 2010; et</w:t>
      </w:r>
    </w:p>
    <w:p w:rsidR="00B21FB1" w:rsidRDefault="00F92772">
      <w:pPr>
        <w:pStyle w:val="Tiret0"/>
        <w:rPr>
          <w:noProof/>
        </w:rPr>
      </w:pPr>
      <w:r>
        <w:rPr>
          <w:noProof/>
        </w:rPr>
        <w:t>à la date d'entrée en vigueur du présent règlement, les capacités des installations utilisant du mercure ou se</w:t>
      </w:r>
      <w:r>
        <w:rPr>
          <w:noProof/>
        </w:rPr>
        <w:t>s composés à des fins de production de méthylate ou d'éthylate de sodium ou de potassium qui fonctionnaient avant ladite date ne sont pas augmentées, et aucune installation nouvelle n'est autorisée.</w:t>
      </w:r>
    </w:p>
    <w:p w:rsidR="00B21FB1" w:rsidRDefault="00F92772">
      <w:pPr>
        <w:pStyle w:val="Annexetitre"/>
        <w:rPr>
          <w:noProof/>
          <w:u w:val="none"/>
        </w:rPr>
      </w:pPr>
      <w:r>
        <w:rPr>
          <w:noProof/>
        </w:rPr>
        <w:br w:type="page"/>
      </w:r>
      <w:r>
        <w:rPr>
          <w:noProof/>
          <w:u w:val="none"/>
        </w:rPr>
        <w:lastRenderedPageBreak/>
        <w:t>ANNEXE IV</w:t>
      </w:r>
    </w:p>
    <w:p w:rsidR="00B21FB1" w:rsidRDefault="00F92772">
      <w:pPr>
        <w:pStyle w:val="NormalCentered"/>
        <w:rPr>
          <w:b/>
          <w:noProof/>
        </w:rPr>
      </w:pPr>
      <w:r>
        <w:rPr>
          <w:b/>
          <w:noProof/>
        </w:rPr>
        <w:t>Informations contenues dans le plan national s</w:t>
      </w:r>
      <w:r>
        <w:rPr>
          <w:b/>
          <w:noProof/>
        </w:rPr>
        <w:t>ur l'extraction minière artisanale et à petite échelle d’or visé à l'article 9</w:t>
      </w:r>
    </w:p>
    <w:p w:rsidR="00B21FB1" w:rsidRDefault="00B21FB1">
      <w:pPr>
        <w:autoSpaceDE w:val="0"/>
        <w:autoSpaceDN w:val="0"/>
        <w:adjustRightInd w:val="0"/>
        <w:spacing w:before="0" w:after="0"/>
        <w:rPr>
          <w:rFonts w:eastAsia="Calibri"/>
          <w:noProof/>
          <w:sz w:val="20"/>
          <w:szCs w:val="24"/>
        </w:rPr>
      </w:pPr>
    </w:p>
    <w:p w:rsidR="00B21FB1" w:rsidRDefault="00F92772">
      <w:pPr>
        <w:rPr>
          <w:noProof/>
        </w:rPr>
      </w:pPr>
      <w:r>
        <w:rPr>
          <w:noProof/>
        </w:rPr>
        <w:t>Le plan national comprend les informations suivantes:</w:t>
      </w:r>
    </w:p>
    <w:p w:rsidR="00B21FB1" w:rsidRDefault="00F92772">
      <w:pPr>
        <w:pStyle w:val="Point0letter"/>
        <w:numPr>
          <w:ilvl w:val="1"/>
          <w:numId w:val="11"/>
        </w:numPr>
        <w:rPr>
          <w:noProof/>
        </w:rPr>
      </w:pPr>
      <w:r>
        <w:rPr>
          <w:noProof/>
        </w:rPr>
        <w:t>des objectifs nationaux et des objectifs de réduction;</w:t>
      </w: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>des mesures visant à éliminer:</w:t>
      </w:r>
    </w:p>
    <w:p w:rsidR="00B21FB1" w:rsidRDefault="00F92772">
      <w:pPr>
        <w:pStyle w:val="Point1"/>
        <w:rPr>
          <w:noProof/>
        </w:rPr>
      </w:pPr>
      <w:r>
        <w:rPr>
          <w:noProof/>
        </w:rPr>
        <w:t>i)</w:t>
      </w:r>
      <w:r>
        <w:rPr>
          <w:noProof/>
        </w:rPr>
        <w:tab/>
        <w:t>l'amalgamation de minerai brut;</w:t>
      </w:r>
    </w:p>
    <w:p w:rsidR="00B21FB1" w:rsidRDefault="00F92772">
      <w:pPr>
        <w:pStyle w:val="Point1"/>
        <w:rPr>
          <w:noProof/>
        </w:rPr>
      </w:pPr>
      <w:r>
        <w:rPr>
          <w:noProof/>
        </w:rPr>
        <w:t>ii)</w:t>
      </w:r>
      <w:r>
        <w:rPr>
          <w:noProof/>
        </w:rPr>
        <w:tab/>
        <w:t>le brûlage à l’air libre d’amalgames ou d’amalgames transformés;</w:t>
      </w:r>
    </w:p>
    <w:p w:rsidR="00B21FB1" w:rsidRDefault="00F92772">
      <w:pPr>
        <w:pStyle w:val="Point1"/>
        <w:rPr>
          <w:noProof/>
        </w:rPr>
      </w:pPr>
      <w:r>
        <w:rPr>
          <w:noProof/>
        </w:rPr>
        <w:t>iii)</w:t>
      </w:r>
      <w:r>
        <w:rPr>
          <w:noProof/>
        </w:rPr>
        <w:tab/>
        <w:t>le brûlage d’amalgames dans des zones résidentielles; et</w:t>
      </w:r>
    </w:p>
    <w:p w:rsidR="00B21FB1" w:rsidRDefault="00F92772">
      <w:pPr>
        <w:pStyle w:val="Point1"/>
        <w:rPr>
          <w:noProof/>
        </w:rPr>
      </w:pPr>
      <w:r>
        <w:rPr>
          <w:noProof/>
        </w:rPr>
        <w:t>iv)</w:t>
      </w:r>
      <w:r>
        <w:rPr>
          <w:noProof/>
        </w:rPr>
        <w:tab/>
        <w:t xml:space="preserve">la lixiviation au cyanure de sédiments, minerais et résidus auxquels du mercure a été ajouté, sans en avoir au préalable </w:t>
      </w:r>
      <w:r>
        <w:rPr>
          <w:noProof/>
        </w:rPr>
        <w:t>retiré ce dernier;</w:t>
      </w: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>des mesures visant à faciliter la formalisation ou la réglementation du secteur de l’extraction minière artisanale et à petite échelle d’or;</w:t>
      </w: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>des estimations initiales des quantités de mercure et des pratiques en vigueur, sur le territoir</w:t>
      </w:r>
      <w:r>
        <w:rPr>
          <w:noProof/>
        </w:rPr>
        <w:t>e de l'État membre concerné, dans le secteur de l’extraction minière et de la transformation artisanales et à petite échelle d’or;</w:t>
      </w: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 xml:space="preserve">des stratégies visant à encourager la réduction des émissions et rejets de mercure et de l’exposition à cette substance dans </w:t>
      </w:r>
      <w:r>
        <w:rPr>
          <w:noProof/>
        </w:rPr>
        <w:t>le secteur de l’extraction minière et de la transformation artisanales et à petite échelle d’or et, en particulier, à promouvoir des méthodes sans mercure;</w:t>
      </w: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>des stratégies visant à gérer les échanges commerciaux et à empêcher le détournement du mercure et d</w:t>
      </w:r>
      <w:r>
        <w:rPr>
          <w:noProof/>
        </w:rPr>
        <w:t>e ses composés provenant de sources étrangères et nationales, destinés à être utilisés pour l’extraction minière et la transformation artisanales et à petite échelle d’or;</w:t>
      </w: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>des stratégies visant à associer les parties prenantes à la mise en œuvre et à l’amé</w:t>
      </w:r>
      <w:r>
        <w:rPr>
          <w:noProof/>
        </w:rPr>
        <w:t>lioration continue du plan d’action national;</w:t>
      </w: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 xml:space="preserve">une stratégie de santé publique relative à l’exposition au mercure des mineurs travaillant dans l’extraction artisanale et à petite échelle d'or et de leurs communautés, prévoyant, entre autres, la collecte de </w:t>
      </w:r>
      <w:r>
        <w:rPr>
          <w:noProof/>
        </w:rPr>
        <w:t>données sanitaires, la formation du personnel des services de santé et la sensibilisation par l’intermédiaire des établissements de santé;</w:t>
      </w: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>des stratégies visant à prévenir l’exposition des populations vulnérables, notamment les enfants et les femmes en âge</w:t>
      </w:r>
      <w:r>
        <w:rPr>
          <w:noProof/>
        </w:rPr>
        <w:t xml:space="preserve"> de procréer, en particulier les femmes enceintes, au mercure utilisé dans l’extraction minière artisanale et à petite échelle d’or;</w:t>
      </w: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>des stratégies visant à informer les mineurs qui travaillent dans l’extraction artisanale et à petite échelle d'or, ainsi q</w:t>
      </w:r>
      <w:r>
        <w:rPr>
          <w:noProof/>
        </w:rPr>
        <w:t>ue les communautés touchées;</w:t>
      </w:r>
    </w:p>
    <w:p w:rsidR="00B21FB1" w:rsidRDefault="00F92772">
      <w:pPr>
        <w:pStyle w:val="Point0letter"/>
        <w:numPr>
          <w:ilvl w:val="1"/>
          <w:numId w:val="10"/>
        </w:numPr>
        <w:rPr>
          <w:noProof/>
        </w:rPr>
      </w:pPr>
      <w:r>
        <w:rPr>
          <w:noProof/>
        </w:rPr>
        <w:t>un calendrier de mise en œuvre du plan d’action national.</w:t>
      </w:r>
    </w:p>
    <w:p w:rsidR="00B21FB1" w:rsidRDefault="00F92772">
      <w:pPr>
        <w:pStyle w:val="Annexetitre"/>
        <w:rPr>
          <w:noProof/>
          <w:u w:val="none"/>
        </w:rPr>
      </w:pPr>
      <w:r>
        <w:rPr>
          <w:noProof/>
        </w:rPr>
        <w:br w:type="page"/>
      </w:r>
      <w:r>
        <w:rPr>
          <w:noProof/>
          <w:u w:val="none"/>
        </w:rPr>
        <w:lastRenderedPageBreak/>
        <w:t>ANNEXE V</w:t>
      </w:r>
    </w:p>
    <w:p w:rsidR="00B21FB1" w:rsidRDefault="00F92772">
      <w:pPr>
        <w:pStyle w:val="NormalCentered"/>
        <w:rPr>
          <w:b/>
          <w:noProof/>
        </w:rPr>
      </w:pPr>
      <w:r>
        <w:rPr>
          <w:b/>
          <w:noProof/>
        </w:rPr>
        <w:t>Tableau de correspondance</w:t>
      </w:r>
    </w:p>
    <w:p w:rsidR="00B21FB1" w:rsidRDefault="00B21FB1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B21FB1">
        <w:trPr>
          <w:trHeight w:val="968"/>
        </w:trPr>
        <w:tc>
          <w:tcPr>
            <w:tcW w:w="4644" w:type="dxa"/>
          </w:tcPr>
          <w:p w:rsidR="00B21FB1" w:rsidRDefault="00B21FB1">
            <w:pPr>
              <w:jc w:val="center"/>
              <w:rPr>
                <w:noProof/>
              </w:rPr>
            </w:pPr>
          </w:p>
          <w:p w:rsidR="00B21FB1" w:rsidRDefault="00F92772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Règlement (CE) nº 1102/2008</w:t>
            </w:r>
          </w:p>
          <w:p w:rsidR="00B21FB1" w:rsidRDefault="00B21FB1">
            <w:pPr>
              <w:jc w:val="center"/>
              <w:rPr>
                <w:noProof/>
              </w:rPr>
            </w:pPr>
          </w:p>
          <w:p w:rsidR="00B21FB1" w:rsidRDefault="00B21FB1">
            <w:pPr>
              <w:jc w:val="center"/>
              <w:rPr>
                <w:noProof/>
              </w:rPr>
            </w:pPr>
          </w:p>
        </w:tc>
        <w:tc>
          <w:tcPr>
            <w:tcW w:w="4645" w:type="dxa"/>
          </w:tcPr>
          <w:p w:rsidR="00B21FB1" w:rsidRDefault="00B21FB1">
            <w:pPr>
              <w:jc w:val="center"/>
              <w:rPr>
                <w:b/>
                <w:noProof/>
                <w:szCs w:val="22"/>
              </w:rPr>
            </w:pPr>
          </w:p>
          <w:p w:rsidR="00B21FB1" w:rsidRDefault="00F92772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Présent règlement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1</w:t>
            </w:r>
            <w:r>
              <w:rPr>
                <w:noProof/>
                <w:vertAlign w:val="superscript"/>
              </w:rPr>
              <w:t>er</w:t>
            </w:r>
            <w:r>
              <w:rPr>
                <w:noProof/>
              </w:rPr>
              <w:t>, paragraphe 1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3, paragraphe 1, premier alinéa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1</w:t>
            </w:r>
            <w:r>
              <w:rPr>
                <w:noProof/>
                <w:vertAlign w:val="superscript"/>
              </w:rPr>
              <w:t>er</w:t>
            </w:r>
            <w:r>
              <w:rPr>
                <w:noProof/>
              </w:rPr>
              <w:t>,</w:t>
            </w:r>
            <w:r>
              <w:rPr>
                <w:noProof/>
              </w:rPr>
              <w:t xml:space="preserve"> paragraphe 2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3, paragraphe 1, deuxième alinéa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1</w:t>
            </w:r>
            <w:r>
              <w:rPr>
                <w:noProof/>
                <w:vertAlign w:val="superscript"/>
              </w:rPr>
              <w:t>er</w:t>
            </w:r>
            <w:r>
              <w:rPr>
                <w:noProof/>
              </w:rPr>
              <w:t>, paragraphe 3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3, paragraphe 2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2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11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3, paragraphe 1, premier alinéa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13, paragraphe 1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3, paragraphe 1, deuxième alinéa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3, paragraphe 2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_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4, paragraphe 1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4, paragraphe 2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4, paragraphe 3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5, paragraphe 1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5, paragraphe 2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lastRenderedPageBreak/>
              <w:t>Article 5, paragraphe 3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6, paragraphe 1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12, paragraphe 1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6, paragraphe 2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12, paragraphe 1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6, paragraphe 3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12, paragraphe 1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6, paragraphe 4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7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14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8, paragraphe 1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8, paragraphe 2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8, paragraphe 3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Article 8, </w:t>
            </w:r>
            <w:r>
              <w:rPr>
                <w:noProof/>
              </w:rPr>
              <w:t>paragraphe 4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8, paragraphe 5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  <w:tr w:rsidR="00B21FB1">
        <w:tc>
          <w:tcPr>
            <w:tcW w:w="4644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Article 9</w:t>
            </w:r>
          </w:p>
          <w:p w:rsidR="00B21FB1" w:rsidRDefault="00B21FB1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4645" w:type="dxa"/>
          </w:tcPr>
          <w:p w:rsidR="00B21FB1" w:rsidRDefault="00F92772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 xml:space="preserve">_ </w:t>
            </w:r>
          </w:p>
        </w:tc>
      </w:tr>
    </w:tbl>
    <w:p w:rsidR="00B21FB1" w:rsidRDefault="00B21FB1">
      <w:pPr>
        <w:rPr>
          <w:noProof/>
        </w:rPr>
      </w:pPr>
    </w:p>
    <w:sectPr w:rsidR="00B21FB1" w:rsidSect="00E81BAD"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72" w:rsidRDefault="00F92772">
      <w:pPr>
        <w:spacing w:before="0" w:after="0"/>
      </w:pPr>
      <w:r>
        <w:separator/>
      </w:r>
    </w:p>
  </w:endnote>
  <w:endnote w:type="continuationSeparator" w:id="0">
    <w:p w:rsidR="00F92772" w:rsidRDefault="00F927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AD" w:rsidRPr="00E81BAD" w:rsidRDefault="00E81BAD" w:rsidP="00E81B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B1" w:rsidRPr="00E81BAD" w:rsidRDefault="00E81BAD" w:rsidP="00E81BAD">
    <w:pPr>
      <w:pStyle w:val="Footer"/>
      <w:rPr>
        <w:rFonts w:ascii="Arial" w:hAnsi="Arial" w:cs="Arial"/>
        <w:b/>
        <w:sz w:val="48"/>
      </w:rPr>
    </w:pPr>
    <w:r w:rsidRPr="00E81BAD">
      <w:rPr>
        <w:rFonts w:ascii="Arial" w:hAnsi="Arial" w:cs="Arial"/>
        <w:b/>
        <w:sz w:val="48"/>
      </w:rPr>
      <w:t>FR</w:t>
    </w:r>
    <w:r w:rsidRPr="00E81BAD">
      <w:rPr>
        <w:rFonts w:ascii="Arial" w:hAnsi="Arial" w:cs="Arial"/>
        <w:b/>
        <w:sz w:val="48"/>
      </w:rPr>
      <w:tab/>
    </w:r>
    <w:r w:rsidRPr="00E81BAD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E81BAD">
      <w:tab/>
    </w:r>
    <w:proofErr w:type="spellStart"/>
    <w:r w:rsidRPr="00E81BAD">
      <w:rPr>
        <w:rFonts w:ascii="Arial" w:hAnsi="Arial" w:cs="Arial"/>
        <w:b/>
        <w:sz w:val="48"/>
      </w:rPr>
      <w:t>FR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AD" w:rsidRPr="00E81BAD" w:rsidRDefault="00E81BAD" w:rsidP="00E81BA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AD" w:rsidRPr="00E81BAD" w:rsidRDefault="00E81BAD" w:rsidP="00E81BAD">
    <w:pPr>
      <w:pStyle w:val="Footer"/>
      <w:rPr>
        <w:rFonts w:ascii="Arial" w:hAnsi="Arial" w:cs="Arial"/>
        <w:b/>
        <w:sz w:val="48"/>
      </w:rPr>
    </w:pPr>
    <w:r w:rsidRPr="00E81BAD">
      <w:rPr>
        <w:rFonts w:ascii="Arial" w:hAnsi="Arial" w:cs="Arial"/>
        <w:b/>
        <w:sz w:val="48"/>
      </w:rPr>
      <w:t>FR</w:t>
    </w:r>
    <w:r w:rsidRPr="00E81BAD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 w:rsidRPr="00E81BAD">
      <w:tab/>
    </w:r>
    <w:r w:rsidRPr="00E81BAD">
      <w:rPr>
        <w:rFonts w:ascii="Arial" w:hAnsi="Arial" w:cs="Arial"/>
        <w:b/>
        <w:sz w:val="48"/>
      </w:rPr>
      <w:t>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AD" w:rsidRPr="00E81BAD" w:rsidRDefault="00E81BAD" w:rsidP="00E81B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72" w:rsidRDefault="00F92772">
      <w:pPr>
        <w:spacing w:before="0" w:after="0"/>
      </w:pPr>
      <w:r>
        <w:separator/>
      </w:r>
    </w:p>
  </w:footnote>
  <w:footnote w:type="continuationSeparator" w:id="0">
    <w:p w:rsidR="00F92772" w:rsidRDefault="00F92772">
      <w:pPr>
        <w:spacing w:before="0" w:after="0"/>
      </w:pPr>
      <w:r>
        <w:continuationSeparator/>
      </w:r>
    </w:p>
  </w:footnote>
  <w:footnote w:id="1">
    <w:p w:rsidR="00B21FB1" w:rsidRDefault="00F92772">
      <w:pPr>
        <w:pStyle w:val="FootnoteText"/>
        <w:ind w:left="360" w:hanging="36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ab/>
        <w:t>Règlement (CE) nº 1223/2009 du Parlement européen et du Conseil du 30 novembre 2009 relatif aux produits</w:t>
      </w:r>
      <w:r>
        <w:rPr>
          <w:lang w:val="fr-BE"/>
        </w:rPr>
        <w:t xml:space="preserve"> cosmétiques (JO L 342 du 22.12.2009, p. 59).</w:t>
      </w:r>
    </w:p>
  </w:footnote>
  <w:footnote w:id="2">
    <w:p w:rsidR="00B21FB1" w:rsidRDefault="00F92772">
      <w:pPr>
        <w:pStyle w:val="FootnoteText"/>
        <w:ind w:left="360" w:hanging="36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ab/>
        <w:t>Directive 2000/53/CE du Parlement européen et du Conseil du 18 septembre 2000 relative aux véhicules hors d’usage (JO L 269 du 21.10.2000, p. 34).</w:t>
      </w:r>
    </w:p>
  </w:footnote>
  <w:footnote w:id="3">
    <w:p w:rsidR="00B21FB1" w:rsidRDefault="00F92772">
      <w:pPr>
        <w:pStyle w:val="FootnoteText"/>
        <w:ind w:left="360" w:hanging="36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ab/>
        <w:t>Directive 2011/65/UE du Parlement européen et du Conseil du</w:t>
      </w:r>
      <w:r>
        <w:rPr>
          <w:lang w:val="fr-BE"/>
        </w:rPr>
        <w:t xml:space="preserve"> 8 juin 2011 relative à la limitation de l'utilisation de certaines substances dangereuses dans les équipements électriques et électroniques (JO L 174 du 1.7.2011, p. 88).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AD" w:rsidRPr="00E81BAD" w:rsidRDefault="00E81BAD" w:rsidP="00E81B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AD" w:rsidRPr="00E81BAD" w:rsidRDefault="00E81BAD" w:rsidP="00E81B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AD" w:rsidRPr="00E81BAD" w:rsidRDefault="00E81BAD" w:rsidP="00E81B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0AEA182"/>
    <w:lvl w:ilvl="0">
      <w:start w:val="1"/>
      <w:numFmt w:val="decimal"/>
      <w:pStyle w:val="ListNumber4"/>
      <w:lvlText w:val="%1."/>
      <w:lvlJc w:val="left"/>
      <w:pPr>
        <w:tabs>
          <w:tab w:val="num" w:pos="3405"/>
        </w:tabs>
        <w:ind w:left="3405" w:hanging="360"/>
      </w:pPr>
    </w:lvl>
  </w:abstractNum>
  <w:abstractNum w:abstractNumId="1">
    <w:nsid w:val="FFFFFF7E"/>
    <w:multiLevelType w:val="singleLevel"/>
    <w:tmpl w:val="1B06220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4FFCEF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A31016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D2AD4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A5F2AA7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7CCD3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D60C46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8090017"/>
    <w:lvl w:ilvl="0">
      <w:start w:val="1"/>
      <w:numFmt w:val="lowerLetter"/>
      <w:lvlText w:val="%1)"/>
      <w:lvlJc w:val="left"/>
      <w:pPr>
        <w:ind w:left="405" w:hanging="360"/>
      </w:pPr>
    </w:lvl>
  </w:abstractNum>
  <w:abstractNum w:abstractNumId="9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>
    <w:nsid w:val="4B1D4F8D"/>
    <w:multiLevelType w:val="hybridMultilevel"/>
    <w:tmpl w:val="FF620E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3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</w:num>
  <w:num w:numId="14">
    <w:abstractNumId w:val="20"/>
  </w:num>
  <w:num w:numId="15">
    <w:abstractNumId w:val="13"/>
  </w:num>
  <w:num w:numId="16">
    <w:abstractNumId w:val="22"/>
  </w:num>
  <w:num w:numId="17">
    <w:abstractNumId w:val="12"/>
  </w:num>
  <w:num w:numId="18">
    <w:abstractNumId w:val="14"/>
  </w:num>
  <w:num w:numId="19">
    <w:abstractNumId w:val="10"/>
  </w:num>
  <w:num w:numId="20">
    <w:abstractNumId w:val="21"/>
  </w:num>
  <w:num w:numId="21">
    <w:abstractNumId w:val="9"/>
  </w:num>
  <w:num w:numId="22">
    <w:abstractNumId w:val="15"/>
  </w:num>
  <w:num w:numId="23">
    <w:abstractNumId w:val="18"/>
  </w:num>
  <w:num w:numId="24">
    <w:abstractNumId w:val="19"/>
  </w:num>
  <w:num w:numId="25">
    <w:abstractNumId w:val="11"/>
  </w:num>
  <w:num w:numId="26">
    <w:abstractNumId w:val="17"/>
  </w:num>
  <w:num w:numId="27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1-26 10:07:56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8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1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" w:val="à la proposition de"/>
    <w:docVar w:name="LW_ACCOMPAGNANT.CP" w:val="à la proposition de"/>
    <w:docVar w:name="LW_ANNEX_NBR_FIRST" w:val="1"/>
    <w:docVar w:name="LW_ANNEX_NBR_LAST" w:val="5"/>
    <w:docVar w:name="LW_CONFIDENCE" w:val=" "/>
    <w:docVar w:name="LW_CONST_RESTREINT_UE" w:val="RESTREINT UE/EU RESTRICTED"/>
    <w:docVar w:name="LW_CORRIGENDUM" w:val="&lt;UNUSED&gt;"/>
    <w:docVar w:name="LW_COVERPAGE_GUID" w:val="C3549A10BD6342E5A96C938331679B9C"/>
    <w:docVar w:name="LW_CROSSREFERENCE" w:val="&lt;UNUSED&gt;"/>
    <w:docVar w:name="LW_DocType" w:val="ANNEX"/>
    <w:docVar w:name="LW_EMISSION" w:val="2.2.2016"/>
    <w:docVar w:name="LW_EMISSION_ISODATE" w:val="2016-02-02"/>
    <w:docVar w:name="LW_EMISSION_LOCATION" w:val="BRX"/>
    <w:docVar w:name="LW_EMISSION_PREFIX" w:val="Bruxelles, le "/>
    <w:docVar w:name="LW_EMISSION_SUFFIX" w:val=" "/>
    <w:docVar w:name="LW_ID_DOCSTRUCTURE" w:val="COM/ANNEX"/>
    <w:docVar w:name="LW_ID_DOCTYPE" w:val="SG-017"/>
    <w:docVar w:name="LW_LANGUE" w:val="FR"/>
    <w:docVar w:name="LW_MARKING" w:val="&lt;UNUSED&gt;"/>
    <w:docVar w:name="LW_NOM.INST" w:val="COMMISSION EUROPÉENNE"/>
    <w:docVar w:name="LW_NOM.INST_JOINTDOC" w:val="&lt;EMPTY&gt;"/>
    <w:docVar w:name="LW_OBJETACTEPRINCIPAL" w:val="relatif au mercure et abrogeant le règlement (CE) nº&lt;LWCR:NBS&gt;1102/2008"/>
    <w:docVar w:name="LW_OBJETACTEPRINCIPAL.CP" w:val="relatif au mercure et abrogeant le règlement (CE) nº 1102/2008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6) 39"/>
    <w:docVar w:name="LW_REF.INTERNE" w:val="&lt;UNUSED&gt;"/>
    <w:docVar w:name="LW_SUPERTITRE" w:val="&lt;UNUSED&gt;"/>
    <w:docVar w:name="LW_TITRE.OBJ.CP" w:val="&lt;UNUSED&gt;"/>
    <w:docVar w:name="LW_TYPE.DOC" w:val="ANNEXES"/>
    <w:docVar w:name="LW_TYPE.DOC.CP" w:val="ANNEXES"/>
    <w:docVar w:name="LW_TYPEACTEPRINCIPAL" w:val="règlement du Parlement européen et du Conseil"/>
    <w:docVar w:name="LW_TYPEACTEPRINCIPAL.CP" w:val="règlement du Parlement européen et du Conseil"/>
  </w:docVars>
  <w:rsids>
    <w:rsidRoot w:val="00B21FB1"/>
    <w:rsid w:val="00B21FB1"/>
    <w:rsid w:val="00E81BAD"/>
    <w:rsid w:val="00F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rFonts w:eastAsia="Calibri"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1">
    <w:name w:val="Style1"/>
    <w:basedOn w:val="FootnoteText"/>
    <w:qFormat/>
    <w:rPr>
      <w:color w:val="444444"/>
    </w:rPr>
  </w:style>
  <w:style w:type="paragraph" w:styleId="Header">
    <w:name w:val="header"/>
    <w:basedOn w:val="Normal"/>
    <w:link w:val="HeaderChar"/>
    <w:uiPriority w:val="99"/>
    <w:unhideWhenUsed/>
    <w:rsid w:val="00E81BAD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81BAD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E81BAD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4"/>
      </w:numPr>
    </w:pPr>
  </w:style>
  <w:style w:type="paragraph" w:customStyle="1" w:styleId="Tiret1">
    <w:name w:val="Tiret 1"/>
    <w:basedOn w:val="Point1"/>
    <w:pPr>
      <w:numPr>
        <w:numId w:val="15"/>
      </w:numPr>
    </w:pPr>
  </w:style>
  <w:style w:type="paragraph" w:customStyle="1" w:styleId="Tiret2">
    <w:name w:val="Tiret 2"/>
    <w:basedOn w:val="Point2"/>
    <w:pPr>
      <w:numPr>
        <w:numId w:val="16"/>
      </w:numPr>
    </w:pPr>
  </w:style>
  <w:style w:type="paragraph" w:customStyle="1" w:styleId="Tiret3">
    <w:name w:val="Tiret 3"/>
    <w:basedOn w:val="Point3"/>
    <w:pPr>
      <w:numPr>
        <w:numId w:val="17"/>
      </w:numPr>
    </w:pPr>
  </w:style>
  <w:style w:type="paragraph" w:customStyle="1" w:styleId="Tiret4">
    <w:name w:val="Tiret 4"/>
    <w:basedOn w:val="Point4"/>
    <w:pPr>
      <w:numPr>
        <w:numId w:val="1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1"/>
      </w:numPr>
    </w:pPr>
  </w:style>
  <w:style w:type="paragraph" w:customStyle="1" w:styleId="Point1number">
    <w:name w:val="Point 1 (number)"/>
    <w:basedOn w:val="Normal"/>
    <w:pPr>
      <w:numPr>
        <w:ilvl w:val="2"/>
        <w:numId w:val="21"/>
      </w:numPr>
    </w:pPr>
  </w:style>
  <w:style w:type="paragraph" w:customStyle="1" w:styleId="Point2number">
    <w:name w:val="Point 2 (number)"/>
    <w:basedOn w:val="Normal"/>
    <w:pPr>
      <w:numPr>
        <w:ilvl w:val="4"/>
        <w:numId w:val="21"/>
      </w:numPr>
    </w:pPr>
  </w:style>
  <w:style w:type="paragraph" w:customStyle="1" w:styleId="Point3number">
    <w:name w:val="Point 3 (number)"/>
    <w:basedOn w:val="Normal"/>
    <w:pPr>
      <w:numPr>
        <w:ilvl w:val="6"/>
        <w:numId w:val="21"/>
      </w:numPr>
    </w:pPr>
  </w:style>
  <w:style w:type="paragraph" w:customStyle="1" w:styleId="Point0letter">
    <w:name w:val="Point 0 (letter)"/>
    <w:basedOn w:val="Normal"/>
    <w:pPr>
      <w:numPr>
        <w:ilvl w:val="1"/>
        <w:numId w:val="21"/>
      </w:numPr>
    </w:pPr>
  </w:style>
  <w:style w:type="paragraph" w:customStyle="1" w:styleId="Point1letter">
    <w:name w:val="Point 1 (letter)"/>
    <w:basedOn w:val="Normal"/>
    <w:pPr>
      <w:numPr>
        <w:ilvl w:val="3"/>
        <w:numId w:val="21"/>
      </w:numPr>
    </w:pPr>
  </w:style>
  <w:style w:type="paragraph" w:customStyle="1" w:styleId="Point2letter">
    <w:name w:val="Point 2 (letter)"/>
    <w:basedOn w:val="Normal"/>
    <w:pPr>
      <w:numPr>
        <w:ilvl w:val="5"/>
        <w:numId w:val="21"/>
      </w:numPr>
    </w:pPr>
  </w:style>
  <w:style w:type="paragraph" w:customStyle="1" w:styleId="Point3letter">
    <w:name w:val="Point 3 (letter)"/>
    <w:basedOn w:val="Normal"/>
    <w:pPr>
      <w:numPr>
        <w:ilvl w:val="7"/>
        <w:numId w:val="21"/>
      </w:numPr>
    </w:pPr>
  </w:style>
  <w:style w:type="paragraph" w:customStyle="1" w:styleId="Point4letter">
    <w:name w:val="Point 4 (letter)"/>
    <w:basedOn w:val="Normal"/>
    <w:pPr>
      <w:numPr>
        <w:ilvl w:val="8"/>
        <w:numId w:val="21"/>
      </w:numPr>
    </w:pPr>
  </w:style>
  <w:style w:type="paragraph" w:customStyle="1" w:styleId="Bullet0">
    <w:name w:val="Bullet 0"/>
    <w:basedOn w:val="Normal"/>
    <w:pPr>
      <w:numPr>
        <w:numId w:val="22"/>
      </w:numPr>
    </w:pPr>
  </w:style>
  <w:style w:type="paragraph" w:customStyle="1" w:styleId="Bullet1">
    <w:name w:val="Bullet 1"/>
    <w:basedOn w:val="Normal"/>
    <w:pPr>
      <w:numPr>
        <w:numId w:val="23"/>
      </w:numPr>
    </w:pPr>
  </w:style>
  <w:style w:type="paragraph" w:customStyle="1" w:styleId="Bullet2">
    <w:name w:val="Bullet 2"/>
    <w:basedOn w:val="Normal"/>
    <w:pPr>
      <w:numPr>
        <w:numId w:val="24"/>
      </w:numPr>
    </w:pPr>
  </w:style>
  <w:style w:type="paragraph" w:customStyle="1" w:styleId="Bullet3">
    <w:name w:val="Bullet 3"/>
    <w:basedOn w:val="Normal"/>
    <w:pPr>
      <w:numPr>
        <w:numId w:val="25"/>
      </w:numPr>
    </w:pPr>
  </w:style>
  <w:style w:type="paragraph" w:customStyle="1" w:styleId="Bullet4">
    <w:name w:val="Bullet 4"/>
    <w:basedOn w:val="Normal"/>
    <w:pPr>
      <w:numPr>
        <w:numId w:val="26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rFonts w:eastAsia="Calibri"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1">
    <w:name w:val="Style1"/>
    <w:basedOn w:val="FootnoteText"/>
    <w:qFormat/>
    <w:rPr>
      <w:color w:val="444444"/>
    </w:rPr>
  </w:style>
  <w:style w:type="paragraph" w:styleId="Header">
    <w:name w:val="header"/>
    <w:basedOn w:val="Normal"/>
    <w:link w:val="HeaderChar"/>
    <w:uiPriority w:val="99"/>
    <w:unhideWhenUsed/>
    <w:rsid w:val="00E81BAD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81BAD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E81BAD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4"/>
      </w:numPr>
    </w:pPr>
  </w:style>
  <w:style w:type="paragraph" w:customStyle="1" w:styleId="Tiret1">
    <w:name w:val="Tiret 1"/>
    <w:basedOn w:val="Point1"/>
    <w:pPr>
      <w:numPr>
        <w:numId w:val="15"/>
      </w:numPr>
    </w:pPr>
  </w:style>
  <w:style w:type="paragraph" w:customStyle="1" w:styleId="Tiret2">
    <w:name w:val="Tiret 2"/>
    <w:basedOn w:val="Point2"/>
    <w:pPr>
      <w:numPr>
        <w:numId w:val="16"/>
      </w:numPr>
    </w:pPr>
  </w:style>
  <w:style w:type="paragraph" w:customStyle="1" w:styleId="Tiret3">
    <w:name w:val="Tiret 3"/>
    <w:basedOn w:val="Point3"/>
    <w:pPr>
      <w:numPr>
        <w:numId w:val="17"/>
      </w:numPr>
    </w:pPr>
  </w:style>
  <w:style w:type="paragraph" w:customStyle="1" w:styleId="Tiret4">
    <w:name w:val="Tiret 4"/>
    <w:basedOn w:val="Point4"/>
    <w:pPr>
      <w:numPr>
        <w:numId w:val="1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1"/>
      </w:numPr>
    </w:pPr>
  </w:style>
  <w:style w:type="paragraph" w:customStyle="1" w:styleId="Point1number">
    <w:name w:val="Point 1 (number)"/>
    <w:basedOn w:val="Normal"/>
    <w:pPr>
      <w:numPr>
        <w:ilvl w:val="2"/>
        <w:numId w:val="21"/>
      </w:numPr>
    </w:pPr>
  </w:style>
  <w:style w:type="paragraph" w:customStyle="1" w:styleId="Point2number">
    <w:name w:val="Point 2 (number)"/>
    <w:basedOn w:val="Normal"/>
    <w:pPr>
      <w:numPr>
        <w:ilvl w:val="4"/>
        <w:numId w:val="21"/>
      </w:numPr>
    </w:pPr>
  </w:style>
  <w:style w:type="paragraph" w:customStyle="1" w:styleId="Point3number">
    <w:name w:val="Point 3 (number)"/>
    <w:basedOn w:val="Normal"/>
    <w:pPr>
      <w:numPr>
        <w:ilvl w:val="6"/>
        <w:numId w:val="21"/>
      </w:numPr>
    </w:pPr>
  </w:style>
  <w:style w:type="paragraph" w:customStyle="1" w:styleId="Point0letter">
    <w:name w:val="Point 0 (letter)"/>
    <w:basedOn w:val="Normal"/>
    <w:pPr>
      <w:numPr>
        <w:ilvl w:val="1"/>
        <w:numId w:val="21"/>
      </w:numPr>
    </w:pPr>
  </w:style>
  <w:style w:type="paragraph" w:customStyle="1" w:styleId="Point1letter">
    <w:name w:val="Point 1 (letter)"/>
    <w:basedOn w:val="Normal"/>
    <w:pPr>
      <w:numPr>
        <w:ilvl w:val="3"/>
        <w:numId w:val="21"/>
      </w:numPr>
    </w:pPr>
  </w:style>
  <w:style w:type="paragraph" w:customStyle="1" w:styleId="Point2letter">
    <w:name w:val="Point 2 (letter)"/>
    <w:basedOn w:val="Normal"/>
    <w:pPr>
      <w:numPr>
        <w:ilvl w:val="5"/>
        <w:numId w:val="21"/>
      </w:numPr>
    </w:pPr>
  </w:style>
  <w:style w:type="paragraph" w:customStyle="1" w:styleId="Point3letter">
    <w:name w:val="Point 3 (letter)"/>
    <w:basedOn w:val="Normal"/>
    <w:pPr>
      <w:numPr>
        <w:ilvl w:val="7"/>
        <w:numId w:val="21"/>
      </w:numPr>
    </w:pPr>
  </w:style>
  <w:style w:type="paragraph" w:customStyle="1" w:styleId="Point4letter">
    <w:name w:val="Point 4 (letter)"/>
    <w:basedOn w:val="Normal"/>
    <w:pPr>
      <w:numPr>
        <w:ilvl w:val="8"/>
        <w:numId w:val="21"/>
      </w:numPr>
    </w:pPr>
  </w:style>
  <w:style w:type="paragraph" w:customStyle="1" w:styleId="Bullet0">
    <w:name w:val="Bullet 0"/>
    <w:basedOn w:val="Normal"/>
    <w:pPr>
      <w:numPr>
        <w:numId w:val="22"/>
      </w:numPr>
    </w:pPr>
  </w:style>
  <w:style w:type="paragraph" w:customStyle="1" w:styleId="Bullet1">
    <w:name w:val="Bullet 1"/>
    <w:basedOn w:val="Normal"/>
    <w:pPr>
      <w:numPr>
        <w:numId w:val="23"/>
      </w:numPr>
    </w:pPr>
  </w:style>
  <w:style w:type="paragraph" w:customStyle="1" w:styleId="Bullet2">
    <w:name w:val="Bullet 2"/>
    <w:basedOn w:val="Normal"/>
    <w:pPr>
      <w:numPr>
        <w:numId w:val="24"/>
      </w:numPr>
    </w:pPr>
  </w:style>
  <w:style w:type="paragraph" w:customStyle="1" w:styleId="Bullet3">
    <w:name w:val="Bullet 3"/>
    <w:basedOn w:val="Normal"/>
    <w:pPr>
      <w:numPr>
        <w:numId w:val="25"/>
      </w:numPr>
    </w:pPr>
  </w:style>
  <w:style w:type="paragraph" w:customStyle="1" w:styleId="Bullet4">
    <w:name w:val="Bullet 4"/>
    <w:basedOn w:val="Normal"/>
    <w:pPr>
      <w:numPr>
        <w:numId w:val="26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BEB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D4C9-E81E-4FC9-B0C9-F7D21155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8</Pages>
  <Words>1246</Words>
  <Characters>6545</Characters>
  <Application>Microsoft Office Word</Application>
  <DocSecurity>0</DocSecurity>
  <Lines>218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FORNASERO Stefania (ENV)</dc:creator>
  <cp:lastModifiedBy>LAGES CARVALHO Patrick (SG)</cp:lastModifiedBy>
  <cp:revision>8</cp:revision>
  <cp:lastPrinted>2016-01-12T15:15:00Z</cp:lastPrinted>
  <dcterms:created xsi:type="dcterms:W3CDTF">2016-01-25T15:05:00Z</dcterms:created>
  <dcterms:modified xsi:type="dcterms:W3CDTF">2016-01-26T10:31:00Z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5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SG-017</vt:lpwstr>
  </property>
  <property fmtid="{D5CDD505-2E9C-101B-9397-08002B2CF9AE}" pid="12" name="DQCStatus">
    <vt:lpwstr>Yellow (DQC version 03)</vt:lpwstr>
  </property>
</Properties>
</file>