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F916AEB22774EC891CA318BC47E3F45" style="width:450.8pt;height:393.2pt">
            <v:imagedata r:id="rId9" o:title=""/>
          </v:shape>
        </w:pict>
      </w:r>
    </w:p>
    <w:p>
      <w:pPr>
        <w:pStyle w:val="Pagedecouverture"/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Приложеното предложение е правният инструмент за сключването на Споразумението за политически диалог и сътрудничество между Европейската общност и нейните държави членки, от една страна, и Андската общност и нейните държави членки (Боливия, Колумбия, Еквадор, Перу и Венецуела), от друга (наричано по-нататък „Споразумението“).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Споразумението за политически диалог и сътрудничество между ЕС и Андската общност беше подписано в Рим на 15 декември 2003 г.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Споразумението е съсредоточено единствено върху политическия диалог и сътрудничеството и не съдържа търговски компонент. Основните цели на Споразумението са да се укрепят отношенията между ЕС и Андската общност чрез развиване на политическия диалог и засилване на сътрудничеството, както и да се създадат условия, при които въз основа на резултатите от Работната програма от Доха да е възможно провеждането на преговори между страните за сключването на реалистично и взаимноизгодно споразумение за асоцииране, включително споразумение за свободна търговия.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Споразумението институционализира и укрепва политическия диалог, който до момента се основава на неофициална договореност, известна като Декларацията от Рим (1996 г.), и разширява обхвата на сътрудничеството, за да се включват нови области като правата на човека,  предотвратяването на конфликти, миграцията и борбата с наркотиците и тероризма. Специален акцент се поставя върху сътрудничеството в подкрепа на процеса на регионална интеграция в Андската общност. Споразумението се основава на Рамковото споразумение за сътрудничество между двата региона от 1993 г. и Декларацията от Рим и с влизането си в сила ще замени тези два документа.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Поради смесения характер на Споразумението държавите членки трябваше да ратифицират споразумението. До януари 2013 г. Споразумението беше ратифицирано от 15-те държави членки, които са го подписали, и всички държави от Андската общност с изключение на Венецуела, която се оттегли от Андската общност през 2006 г.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До настоящия момент Споразумението не беше сключено поради вътрешната политическа и институционална криза, през която премина организацията след оттеглянето на Венецуела през 2006 г. През 2011 г. Андската общност постави началото на процес на структурни реформи с цел повишаване на нейната ефективност и ефикасност, пренасочване на вниманието към търговията и икономическата интеграция, взаимното свързване на електрическите мрежи и социалните аспекти на интеграцията (свободно движение на хора, насърчаване на андската идентичност). Организацията също така насърчава по-голямото сближаване и взаимно допълване с други регионални организации, по-специално със Съюза на южноамериканските нации (UNASUR). През 2013 г. ЕС подписа многостранно споразумение за свободна търговия с Колумбия и Перу, към което наскоро се присъедини и Еквадор. Със сключването на Споразумението за политически диалог и сътрудничество ЕС ще допълни многостранното споразумение и ще осигури рамка за регионалния политически диалог в области от взаимен интерес. Освен това в член 49 на Споразумението се съдържа клауза за обратно приемане, която е от значение в контекста на споразумението за отмяна на визовия режим за краткосрочно пребиваване, което Комисията подписа с </w:t>
      </w:r>
      <w:r>
        <w:rPr>
          <w:noProof/>
        </w:rPr>
        <w:lastRenderedPageBreak/>
        <w:t xml:space="preserve">Колумбия, и подобно споразумение с Перу, което ще бъде подписано през идните месеци.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За да се гарантира влизането в сила на това споразумение, следва да се завърши процедурата по сключване от името на Европейския съюз.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Поради разширяването на ЕС, извършено след подписването на Споразумението, е необходимо да се приеме протокол, с който се вземат предвид присъединяването на Чешката република, Република Естония, Република Кипър, Република Латвия, Република Литва, Република Унгария, Република Малта, Република Полша, Република Словения и Словашката република към Европейския съюз на 1 май 2004 г., присъединяването на Република България и Румъния към Европейския съюз на 1 януари 2007 г. и присъединяването на Република Хърватия към Европейския съюз на 1 юли 2013 г.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Комисията отбелязва, че Споразумението съдържа следната декларация на Комисията и Съвета на Европейския съюз относно клаузата, свързана с определянето на страните (член 53):</w:t>
      </w:r>
    </w:p>
    <w:p>
      <w:pPr>
        <w:rPr>
          <w:iCs/>
          <w:noProof/>
        </w:rPr>
      </w:pPr>
      <w:r>
        <w:rPr>
          <w:i/>
          <w:noProof/>
        </w:rPr>
        <w:t>„Разпоредбите на настоящото споразумение, които попадат в обхвата на част III, раздел IV от Договора за създаване на Европейската общност, задължават Обединеното кралство и Ирландия като отделни договарящи се страни, а не като част от Европейската общност, докато Обединеното кралство или Ирландия (в зависимост от случая) не уведоми Андската общност, че вече е задължено като част от Европейската общност в съответствие с Протокола за позицията на Обединеното кралство и Ирландия, приложен към Договора за Европейския съюз и Договора за създаване на Европейската общност. Същото се отнася за Дания в съответствие с Протокола за позицията на Дания, приложен към упоменатите Договори</w:t>
      </w:r>
      <w:r>
        <w:rPr>
          <w:noProof/>
        </w:rPr>
        <w:t xml:space="preserve">“. Тъй като предложението за Решение на Съвета относно сключването на Споразумението не се основава на което и да е правно основание на дял V от част III на ДФЕС, Комисията счита, че едностранната декларация по-горе е станала безпредметна. Поради това Комисията счита, че по повод на приемането на Решението на Съвета относно сключването, Съветът и Комисията следва да направят следната съвместна декларация: </w:t>
      </w:r>
    </w:p>
    <w:p>
      <w:pPr>
        <w:rPr>
          <w:noProof/>
        </w:rPr>
      </w:pPr>
      <w:r>
        <w:rPr>
          <w:i/>
          <w:noProof/>
        </w:rPr>
        <w:t>„Съветът и Комисията отбелязват, че решението за сключване на Споразумението се приема въз основа на членове 207 и 209 от ДФЕС, а не „съгласно дял V от част трета на ДФЕС“. Ето защо едностранната декларация на Комисията и Съвета на Европейския съюз относно клаузата, свързана с определянето на страните (член 53), по повод на подписването на Споразумението е станала безпредметна.“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2016/0025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 xml:space="preserve">относно сключването на Споразумение за политически диалог и сътрудничество  </w:t>
      </w:r>
      <w:r>
        <w:rPr>
          <w:noProof/>
        </w:rPr>
        <w:br/>
        <w:t>между Европейската общност и нейните държави членки, от една страна, и Андската общност и нейните държави членки (Боливия, Колумбия, Еквадор, Перу и Венецуела), от друга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съюз, и по-специално член 37 от него,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членове 207 и 209 във връзка с член 218, параграф 6, буква а) и член 218, параграф 8, втора алинея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 и на върховния представител на Съюза по въпросите на външните работи и политиката на сигурност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18 март 2003 г. Съветът упълномощи Комисията да започне преговори по Споразумение за политически диалог и сътрудничество между Европейската общност и нейните държави членки, от една страна, и Андската общност и нейните държави членки (Боливия, Колумбия, Еквадор, Перу и Венецуела), от друга (наричано по-нататък „Споразумението“).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Споразумението беше подписано на 15 октомври 2003 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Съгласно член 54, параграф 1 Споразумението влиза в сила на първия ден от месеца, следващ месеца, през който страните са се уведомили взаимно за приключването на необходимите за тази цел процедури.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следва да бъде одобрено от името на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 настоящото се одобрява от името на Европейския съюз Споразумението за политически диалог и сътрудничество между Европейската общност и нейните държави членки, от една страна, и Андската общност и нейните държави членки (Боливия, Колумбия, Еквадор, Перу и Венецуела), от друга.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 xml:space="preserve">Върховният представител на Съюза по въпросите на външните работи и политиката на сигурност председателства Съвместния комитет, предвиден в член 52 от Споразумението. </w:t>
      </w:r>
    </w:p>
    <w:p>
      <w:pPr>
        <w:rPr>
          <w:noProof/>
        </w:rPr>
      </w:pPr>
      <w:r>
        <w:rPr>
          <w:noProof/>
        </w:rPr>
        <w:t>Съюзът или в зависимост от случая, Съюзът и държавите членки са представени в Съвместния комитет съобразно предмета на обсъжданията.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Европейския съюз предвиденото в член 54 от Споразумението уведомяване, за да се изрази съгласието на Европейския съюз да бъде обвързан от Споразумението.</w:t>
      </w:r>
    </w:p>
    <w:p>
      <w:pPr>
        <w:pStyle w:val="Titrearticle"/>
        <w:rPr>
          <w:noProof/>
        </w:rPr>
      </w:pPr>
      <w:r>
        <w:rPr>
          <w:noProof/>
        </w:rPr>
        <w:t xml:space="preserve">Член 4 </w:t>
      </w:r>
    </w:p>
    <w:p>
      <w:pPr>
        <w:rPr>
          <w:noProof/>
        </w:rPr>
      </w:pPr>
      <w:r>
        <w:rPr>
          <w:noProof/>
        </w:rPr>
        <w:t>Настоящото решение влиза в сила в деня след публикуването му в Официален вестник на Европейския съюз.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C […], […] г., стр. […].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9201D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D56DB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53AAE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C86AC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10898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432CD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A4C71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0C6F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03 11:12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5F916AEB22774EC891CA318BC47E3F45"/>
    <w:docVar w:name="LW_CROSSREFERENCE" w:val="&lt;UNUSED&gt;"/>
    <w:docVar w:name="LW_DocType" w:val="COM"/>
    <w:docVar w:name="LW_EMISSION" w:val="3.2.2016"/>
    <w:docVar w:name="LW_EMISSION_ISODATE" w:val="2016-02-03"/>
    <w:docVar w:name="LW_EMISSION_LOCATION" w:val="BRX"/>
    <w:docVar w:name="LW_EMISSION_PREFIX" w:val="Брюксел, "/>
    <w:docVar w:name="LW_EMISSION_SUFFIX" w:val=" \u1075?."/>
    <w:docVar w:name="LW_ID_DOCMODEL" w:val="SG-064"/>
    <w:docVar w:name="LW_ID_DOCSIGNATURE" w:val="SJ-019"/>
    <w:docVar w:name="LW_ID_DOCSTRUCTURE" w:val="COM/PL/ORG"/>
    <w:docVar w:name="LW_ID_DOCTYPE" w:val="SG-064"/>
    <w:docVar w:name="LW_ID_STATUT" w:val="SG-064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025"/>
    <w:docVar w:name="LW_REF.II.NEW.CP_YEAR" w:val="2016"/>
    <w:docVar w:name="LW_REF.INST.NEW" w:val="JOIN"/>
    <w:docVar w:name="LW_REF.INST.NEW_ADOPTED" w:val="final"/>
    <w:docVar w:name="LW_REF.INST.NEW_TEXT" w:val="(2016) 4"/>
    <w:docVar w:name="LW_REF.INTERNE" w:val="&lt;UNUSED&gt;"/>
    <w:docVar w:name="LW_SOUS.TITRE.OBJ.CP" w:val="&lt;UNUSED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 \u1085?\u1072? \u1057?\u1087?\u1086?\u1088?\u1072?\u1079?\u1091?\u1084?\u1077?\u1085?\u1080?\u1077? \u1079?\u1072? \u1087?\u1086?\u1083?\u1080?\u1090?\u1080?\u1095?\u1077?\u1089?\u1082?\u1080? \u1076?\u1080?\u1072?\u1083?\u1086?\u1075? \u1080? \u1089?\u1098?\u1090?\u1088?\u1091?\u1076?\u1085?\u1080?\u1095?\u1077?\u1089?\u1090?\u1074?\u1086?  _x000b_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40?\u1085?\u1076?\u1089?\u1082?\u1072?\u1090?\u1072? \u1086?\u1073?\u1097?\u1085?\u1086?\u1089?\u1090? \u1080? \u1085?\u1077?\u1081?\u1085?\u1080?\u1090?\u1077? \u1076?\u1098?\u1088?\u1078?\u1072?\u1074?\u1080? \u1095?\u1083?\u1077?\u1085?\u1082?\u1080? (\u1041?\u1086?\u1083?\u1080?\u1074?\u1080?\u1103?, \u1050?\u1086?\u1083?\u1091?\u1084?\u1073?\u1080?\u1103?, \u1045?\u1082?\u1074?\u1072?\u1076?\u1086?\u1088?, \u1055?\u1077?\u1088?\u1091? \u1080? \u1042?\u1077?\u1085?\u1077?\u1094?\u1091?\u1077?\u1083?\u1072?), \u1086?\u1090? \u1076?\u1088?\u1091?\u1075?\u1072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Theme="minorHAnsi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01E3-BFDE-45BB-A5B5-8606D5D4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1191</Words>
  <Characters>7051</Characters>
  <Application>Microsoft Office Word</Application>
  <DocSecurity>0</DocSecurity>
  <Lines>135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2016-01-25T13:52:00Z</dcterms:created>
  <dcterms:modified xsi:type="dcterms:W3CDTF">2016-02-03T10:12:00Z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SG-064</vt:lpwstr>
  </property>
  <property fmtid="{D5CDD505-2E9C-101B-9397-08002B2CF9AE}" pid="10" name="DQCStatus">
    <vt:lpwstr>Green (DQC version 03)</vt:lpwstr>
  </property>
</Properties>
</file>