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F6162628C63473FA0F409457587B9FA" style="width:451pt;height:38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u w:val="single"/>
        </w:rPr>
      </w:pPr>
      <w:bookmarkStart w:id="1" w:name="_GoBack"/>
      <w:bookmarkEnd w:id="1"/>
      <w:r>
        <w:rPr>
          <w:rFonts w:ascii="Times New Roman" w:eastAsia="Times New Roman" w:hAnsi="Times New Roman" w:cs="Times New Roman"/>
          <w:b/>
          <w:noProof/>
          <w:sz w:val="24"/>
          <w:szCs w:val="24"/>
          <w:u w:val="single"/>
        </w:rPr>
        <w:lastRenderedPageBreak/>
        <w:t>ANNEX I: ACTION PLAN FOR STRENGTHENING THE FIGHT AGAINST TERRORIST FINANCING</w:t>
      </w:r>
    </w:p>
    <w:p>
      <w:pPr>
        <w:jc w:val="center"/>
        <w:rPr>
          <w:rFonts w:ascii="Times New Roman" w:eastAsia="Times New Roman" w:hAnsi="Times New Roman" w:cs="Times New Roman"/>
          <w:b/>
          <w:noProof/>
          <w:sz w:val="24"/>
          <w:szCs w:val="24"/>
          <w:u w:val="single"/>
        </w:rPr>
      </w:pPr>
    </w:p>
    <w:tbl>
      <w:tblPr>
        <w:tblStyle w:val="TableGrid"/>
        <w:tblW w:w="0" w:type="auto"/>
        <w:tblLook w:val="04A0" w:firstRow="1" w:lastRow="0" w:firstColumn="1" w:lastColumn="0" w:noHBand="0" w:noVBand="1"/>
      </w:tblPr>
      <w:tblGrid>
        <w:gridCol w:w="8472"/>
        <w:gridCol w:w="2268"/>
        <w:gridCol w:w="3478"/>
      </w:tblGrid>
      <w:tr>
        <w:tc>
          <w:tcPr>
            <w:tcW w:w="8472" w:type="dxa"/>
          </w:tcPr>
          <w:p>
            <w:pPr>
              <w:rPr>
                <w:rFonts w:ascii="Times New Roman" w:hAnsi="Times New Roman" w:cs="Times New Roman"/>
                <w:b/>
                <w:noProof/>
                <w:sz w:val="24"/>
                <w:szCs w:val="24"/>
              </w:rPr>
            </w:pPr>
            <w:r>
              <w:rPr>
                <w:rFonts w:ascii="Times New Roman" w:hAnsi="Times New Roman" w:cs="Times New Roman"/>
                <w:b/>
                <w:noProof/>
                <w:sz w:val="24"/>
                <w:szCs w:val="24"/>
              </w:rPr>
              <w:t>Objectives and Actions</w:t>
            </w:r>
          </w:p>
          <w:p>
            <w:pPr>
              <w:rPr>
                <w:rFonts w:ascii="Times New Roman" w:hAnsi="Times New Roman" w:cs="Times New Roman"/>
                <w:b/>
                <w:noProof/>
                <w:sz w:val="24"/>
                <w:szCs w:val="24"/>
              </w:rPr>
            </w:pPr>
          </w:p>
        </w:tc>
        <w:tc>
          <w:tcPr>
            <w:tcW w:w="2268"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Responsible </w:t>
            </w:r>
          </w:p>
        </w:tc>
        <w:tc>
          <w:tcPr>
            <w:tcW w:w="3478" w:type="dxa"/>
          </w:tcPr>
          <w:p>
            <w:pPr>
              <w:rPr>
                <w:rFonts w:ascii="Times New Roman" w:hAnsi="Times New Roman" w:cs="Times New Roman"/>
                <w:b/>
                <w:noProof/>
                <w:sz w:val="24"/>
                <w:szCs w:val="24"/>
              </w:rPr>
            </w:pPr>
            <w:r>
              <w:rPr>
                <w:rFonts w:ascii="Times New Roman" w:hAnsi="Times New Roman" w:cs="Times New Roman"/>
                <w:b/>
                <w:noProof/>
                <w:sz w:val="24"/>
                <w:szCs w:val="24"/>
              </w:rPr>
              <w:t>Timing</w:t>
            </w:r>
          </w:p>
        </w:tc>
      </w:tr>
      <w:tr>
        <w:tc>
          <w:tcPr>
            <w:tcW w:w="14218" w:type="dxa"/>
            <w:gridSpan w:val="3"/>
          </w:tcPr>
          <w:p>
            <w:pPr>
              <w:jc w:val="center"/>
              <w:rPr>
                <w:rFonts w:ascii="Times New Roman" w:hAnsi="Times New Roman" w:cs="Times New Roman"/>
                <w:b/>
                <w:noProof/>
                <w:sz w:val="24"/>
                <w:szCs w:val="24"/>
              </w:rPr>
            </w:pPr>
          </w:p>
          <w:p>
            <w:pPr>
              <w:jc w:val="center"/>
              <w:rPr>
                <w:rFonts w:ascii="Times New Roman" w:hAnsi="Times New Roman" w:cs="Times New Roman"/>
                <w:noProof/>
                <w:sz w:val="24"/>
                <w:szCs w:val="24"/>
              </w:rPr>
            </w:pPr>
            <w:r>
              <w:rPr>
                <w:rFonts w:ascii="Times New Roman" w:hAnsi="Times New Roman" w:cs="Times New Roman"/>
                <w:b/>
                <w:noProof/>
                <w:sz w:val="24"/>
                <w:szCs w:val="24"/>
              </w:rPr>
              <w:t>Preventing the movement of funds and identifying terrorist funding</w:t>
            </w:r>
          </w:p>
          <w:p>
            <w:pPr>
              <w:jc w:val="cente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i/>
                <w:noProof/>
                <w:sz w:val="24"/>
                <w:szCs w:val="24"/>
              </w:rPr>
            </w:pPr>
            <w:r>
              <w:rPr>
                <w:rFonts w:ascii="Times New Roman" w:hAnsi="Times New Roman" w:cs="Times New Roman"/>
                <w:i/>
                <w:noProof/>
                <w:sz w:val="24"/>
                <w:szCs w:val="24"/>
              </w:rPr>
              <w:t>Tackling the abuse of the financial system for terrorist financing purposes</w:t>
            </w:r>
          </w:p>
          <w:p>
            <w:pP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Bring forward the date for effective transposition and entry into force of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AMLD.</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Member States</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Adopt a EU blacklist to identify high risk third countries with strategic deficiencies in their anti-money laundering/countering terrorism financing.</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2nd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Publish a report on a supranational assessment of money laundering and terrorism financing risks and recommendations to Member States on measures suitable to address those risks.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quarter 2017</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Propose amendments to the following points of the Anti Money Laundering Directive:</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Enhanced due diligence measures/countermeasures with regards to high risk third countries;</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Virtual currency exchange platforms;</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Prepaid instruments;</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Centralised bank and payment account registers or electronic data retrieval systems;</w:t>
            </w:r>
          </w:p>
          <w:p>
            <w:pPr>
              <w:pStyle w:val="ListParagraph"/>
              <w:numPr>
                <w:ilvl w:val="0"/>
                <w:numId w:val="4"/>
              </w:numPr>
              <w:rPr>
                <w:rFonts w:ascii="Times New Roman" w:hAnsi="Times New Roman" w:cs="Times New Roman"/>
                <w:noProof/>
                <w:sz w:val="24"/>
                <w:szCs w:val="24"/>
              </w:rPr>
            </w:pPr>
            <w:r>
              <w:rPr>
                <w:rFonts w:ascii="Times New Roman" w:hAnsi="Times New Roman" w:cs="Times New Roman"/>
                <w:noProof/>
                <w:sz w:val="24"/>
                <w:szCs w:val="24"/>
              </w:rPr>
              <w:t>The access of Financial Intelligence Units to, and exchange of, information</w:t>
            </w:r>
          </w:p>
          <w:p>
            <w:pPr>
              <w:pStyle w:val="ListParagraph"/>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2nd quarter 2016</w:t>
            </w:r>
          </w:p>
        </w:tc>
      </w:tr>
    </w:tbl>
    <w:p>
      <w:pPr>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8472"/>
        <w:gridCol w:w="2268"/>
        <w:gridCol w:w="3478"/>
      </w:tblGrid>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lastRenderedPageBreak/>
              <w:t>Improving the efficiency of the EU’s transposition of UN freezing measures, including by enhanced information between EU and UN.</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2nd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Reinforcing the capacity of Member States, the Commission, EEAS and economic operators to share information on challenges to implementation of restrictive measures, including to exchange information on potential new UN listings, via the Financial Sanctions Database.</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 xml:space="preserve">At the latest by </w:t>
            </w:r>
            <w:r>
              <w:rPr>
                <w:rFonts w:ascii="Times New Roman" w:hAnsi="Times New Roman" w:cs="Times New Roman"/>
                <w:i/>
                <w:noProof/>
                <w:sz w:val="24"/>
                <w:szCs w:val="24"/>
              </w:rPr>
              <w:t>2nd quarter 2016</w:t>
            </w:r>
          </w:p>
          <w:p>
            <w:pP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Explore the possibility of a self-standing legislative instrument to allow for a broader consultation of bank and payment account registers for other investigations and by other authorities, beyond the scope of the AMLD.</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2nd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Reinforcing the cooperation between FIU through appropriate measures.</w:t>
            </w: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2nd quarter 2017</w:t>
            </w:r>
          </w:p>
          <w:p>
            <w:pP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r>
              <w:rPr>
                <w:rFonts w:ascii="Times New Roman" w:hAnsi="Times New Roman" w:cs="Times New Roman"/>
                <w:b/>
                <w:noProof/>
                <w:sz w:val="24"/>
                <w:szCs w:val="24"/>
              </w:rPr>
              <w:t>Other initiatives to complement the existing legal framework</w:t>
            </w:r>
          </w:p>
          <w:p>
            <w:pPr>
              <w:jc w:val="cente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i/>
                <w:noProof/>
                <w:sz w:val="24"/>
                <w:szCs w:val="24"/>
              </w:rPr>
            </w:pPr>
            <w:r>
              <w:rPr>
                <w:rFonts w:ascii="Times New Roman" w:hAnsi="Times New Roman" w:cs="Times New Roman"/>
                <w:i/>
                <w:noProof/>
                <w:sz w:val="24"/>
                <w:szCs w:val="24"/>
              </w:rPr>
              <w:t>Harmonizing money laundering criminal offenses and sanctions</w:t>
            </w:r>
          </w:p>
          <w:p>
            <w:pP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Legislative proposal harmonising money laundering criminal offences and sanctions.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quarter 2016;</w:t>
            </w:r>
          </w:p>
        </w:tc>
      </w:tr>
      <w:tr>
        <w:tc>
          <w:tcPr>
            <w:tcW w:w="14218" w:type="dxa"/>
            <w:gridSpan w:val="3"/>
          </w:tcPr>
          <w:p>
            <w:pPr>
              <w:jc w:val="center"/>
              <w:rPr>
                <w:rFonts w:ascii="Times New Roman" w:hAnsi="Times New Roman" w:cs="Times New Roman"/>
                <w:i/>
                <w:noProof/>
                <w:sz w:val="24"/>
                <w:szCs w:val="24"/>
              </w:rPr>
            </w:pPr>
            <w:r>
              <w:rPr>
                <w:rFonts w:ascii="Times New Roman" w:hAnsi="Times New Roman" w:cs="Times New Roman"/>
                <w:i/>
                <w:noProof/>
                <w:sz w:val="24"/>
                <w:szCs w:val="24"/>
              </w:rPr>
              <w:t>Tackling illicit cash movements</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Legislative proposal against illicit cash movements.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quarter 2016</w:t>
            </w:r>
          </w:p>
        </w:tc>
      </w:tr>
      <w:tr>
        <w:tc>
          <w:tcPr>
            <w:tcW w:w="14218" w:type="dxa"/>
            <w:gridSpan w:val="3"/>
          </w:tcPr>
          <w:p>
            <w:pPr>
              <w:jc w:val="center"/>
              <w:rPr>
                <w:rFonts w:ascii="Times New Roman" w:hAnsi="Times New Roman" w:cs="Times New Roman"/>
                <w:i/>
                <w:noProof/>
                <w:sz w:val="24"/>
                <w:szCs w:val="24"/>
              </w:rPr>
            </w:pPr>
            <w:r>
              <w:rPr>
                <w:rFonts w:ascii="Times New Roman" w:hAnsi="Times New Roman" w:cs="Times New Roman"/>
                <w:i/>
                <w:noProof/>
                <w:sz w:val="24"/>
                <w:szCs w:val="24"/>
              </w:rPr>
              <w:t>Completing the EU framework to track and freeze terrorist assets</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An EU regime for the freezing of assets of terrorists under Article 75 TFEU.</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Conclude an assessment at the latest by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Strengthening the mutual recognition of criminal assets' freezing and confiscation orders.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A possible European system which would complement the existing EU-US TFTP agreement by tracing transactions excluded under the mentioned agreement.</w:t>
            </w: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Conclude an assessment at the latest by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quarter 2016</w:t>
            </w:r>
          </w:p>
          <w:p>
            <w:pP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r>
              <w:rPr>
                <w:rFonts w:ascii="Times New Roman" w:hAnsi="Times New Roman" w:cs="Times New Roman"/>
                <w:b/>
                <w:noProof/>
                <w:sz w:val="24"/>
                <w:szCs w:val="24"/>
              </w:rPr>
              <w:t>Targeting the sources of funding</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Legislative proposal reinforcing customs' powers and cooperation and addressing terrorism financing related to trade in goods.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quarter 2017</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Legislative proposal against illicit trade in cultural goods.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quarter 2017</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EU Action Plan on Illegal Wildlife Trafficking.</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1st quarter 2016</w:t>
            </w:r>
          </w:p>
        </w:tc>
      </w:tr>
      <w:tr>
        <w:tc>
          <w:tcPr>
            <w:tcW w:w="14218" w:type="dxa"/>
            <w:gridSpan w:val="3"/>
          </w:tcPr>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cs="Times New Roman"/>
                <w:b/>
                <w:noProof/>
                <w:sz w:val="24"/>
                <w:szCs w:val="24"/>
              </w:rPr>
              <w:t>The external dimension</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Launch projects to provide technical assistance to Middle East and North African (MENA) countries to fight against the trafficking of cultural goods.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 xml:space="preserve">Commission and the High Representative </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4th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Strengthen support to third countries in complying with UNSCRs legal requirements and FATF recommendations.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 and the High Representative</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Ongoing</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Support countries in the MENA and South East Asia regions to monitor, disrupt and deny the financing of terrorism.</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 and the High Representative</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At the latest by 4th quarter 2016</w:t>
            </w:r>
          </w:p>
        </w:tc>
      </w:tr>
      <w:tr>
        <w:tc>
          <w:tcPr>
            <w:tcW w:w="8472" w:type="dxa"/>
          </w:tcPr>
          <w:p>
            <w:pPr>
              <w:rPr>
                <w:rFonts w:ascii="Times New Roman" w:hAnsi="Times New Roman" w:cs="Times New Roman"/>
                <w:noProof/>
                <w:sz w:val="24"/>
                <w:szCs w:val="24"/>
              </w:rPr>
            </w:pPr>
            <w:r>
              <w:rPr>
                <w:rFonts w:ascii="Times New Roman" w:hAnsi="Times New Roman" w:cs="Times New Roman"/>
                <w:noProof/>
                <w:sz w:val="24"/>
                <w:szCs w:val="24"/>
              </w:rPr>
              <w:t>Deepen work to exchange information with third country partners to make/sustain listings under EU autonomous measures to combat terrorism.</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cs="Times New Roman"/>
                <w:noProof/>
                <w:sz w:val="24"/>
                <w:szCs w:val="24"/>
              </w:rPr>
              <w:t>Commission and the High Representative</w:t>
            </w:r>
          </w:p>
        </w:tc>
        <w:tc>
          <w:tcPr>
            <w:tcW w:w="3478" w:type="dxa"/>
          </w:tcPr>
          <w:p>
            <w:pPr>
              <w:rPr>
                <w:rFonts w:ascii="Times New Roman" w:hAnsi="Times New Roman" w:cs="Times New Roman"/>
                <w:noProof/>
                <w:sz w:val="24"/>
                <w:szCs w:val="24"/>
              </w:rPr>
            </w:pPr>
            <w:r>
              <w:rPr>
                <w:rFonts w:ascii="Times New Roman" w:hAnsi="Times New Roman" w:cs="Times New Roman"/>
                <w:noProof/>
                <w:sz w:val="24"/>
                <w:szCs w:val="24"/>
              </w:rPr>
              <w:t>Ongoing</w:t>
            </w:r>
          </w:p>
        </w:tc>
      </w:tr>
    </w:tbl>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8695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3F6162628C63473FA0F409457587B9FA"/>
    <w:docVar w:name="LW_CROSSREFERENCE" w:val="&lt;UNUSED&gt;"/>
    <w:docVar w:name="LW_DocType" w:val="NORMAL"/>
    <w:docVar w:name="LW_EMISSION" w:val="2.2.2016"/>
    <w:docVar w:name="LW_EMISSION_ISODATE" w:val="2016-02-02"/>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50"/>
    <w:docVar w:name="LW_REF.INTERNE" w:val="&lt;UNUSED&gt;"/>
    <w:docVar w:name="LW_SUPERTITRE" w:val="&lt;UNUSED&gt;"/>
    <w:docVar w:name="LW_TITRE.OBJ.CP" w:val="Action Plan for strengthening the fight against terrorist financing"/>
    <w:docVar w:name="LW_TYPE.DOC.CP" w:val="ANNEX_x000b_"/>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4"/>
      <w:szCs w:val="24"/>
    </w:rPr>
  </w:style>
  <w:style w:type="character" w:customStyle="1" w:styleId="FootnoteTextChar">
    <w:name w:val="Footnote Text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4"/>
      <w:szCs w:val="24"/>
    </w:rPr>
  </w:style>
  <w:style w:type="character" w:customStyle="1" w:styleId="FootnoteTextChar">
    <w:name w:val="Footnote Text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1687-6313-430A-B3F6-B171B83B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3676</Characters>
  <Application>Microsoft Office Word</Application>
  <DocSecurity>0</DocSecurity>
  <Lines>147</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DIGIT/A3</cp:lastModifiedBy>
  <cp:revision>8</cp:revision>
  <cp:lastPrinted>2016-01-29T11:55:00Z</cp:lastPrinted>
  <dcterms:created xsi:type="dcterms:W3CDTF">2016-01-29T11:55:00Z</dcterms:created>
  <dcterms:modified xsi:type="dcterms:W3CDTF">2016-02-02T12:16:00Z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