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431FECA413249C791E8C4C232C97F6E" style="width:450.75pt;height:39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sz w:val="28"/>
        </w:rPr>
        <w:lastRenderedPageBreak/>
        <w:t>ПРИЛОЖЕНИЕ 1</w:t>
      </w:r>
    </w:p>
    <w:p>
      <w:pPr>
        <w:jc w:val="center"/>
        <w:rPr>
          <w:b/>
          <w:noProof/>
          <w:szCs w:val="24"/>
        </w:rPr>
      </w:pPr>
      <w:r>
        <w:rPr>
          <w:b/>
          <w:noProof/>
        </w:rPr>
        <w:t>СТАНДАРТИ ЗА ДОБРО УПРАВЛЕНИЕ В ОБЛАСТТА НА ДАНЪЧНОТО ОБЛАГАНЕ</w:t>
      </w:r>
    </w:p>
    <w:p>
      <w:pPr>
        <w:pStyle w:val="Heading1"/>
        <w:rPr>
          <w:noProof/>
        </w:rPr>
      </w:pPr>
      <w:r>
        <w:rPr>
          <w:noProof/>
        </w:rPr>
        <w:t>ПРОЗРАЧНОСТ И ОБМЕН НА ИНФОРМАЦИЯ</w:t>
      </w:r>
    </w:p>
    <w:p>
      <w:pPr>
        <w:rPr>
          <w:bCs/>
          <w:noProof/>
        </w:rPr>
      </w:pPr>
      <w:r>
        <w:rPr>
          <w:noProof/>
        </w:rPr>
        <w:t xml:space="preserve">ОИСР разработи два стандарта за прозрачност и обмен на информация за данъчни цели, договорени на международно равнище: обмен на информация при поискване (ОИП) и автоматичен обмен на информация (АОИ). </w:t>
      </w:r>
    </w:p>
    <w:p>
      <w:pPr>
        <w:rPr>
          <w:b/>
          <w:bCs/>
          <w:noProof/>
        </w:rPr>
      </w:pPr>
      <w:r>
        <w:rPr>
          <w:b/>
          <w:noProof/>
        </w:rPr>
        <w:t>1.1.</w:t>
      </w:r>
      <w:r>
        <w:rPr>
          <w:noProof/>
        </w:rPr>
        <w:tab/>
      </w:r>
      <w:r>
        <w:rPr>
          <w:b/>
          <w:noProof/>
        </w:rPr>
        <w:t xml:space="preserve">Прозрачност и обмен на информация при поискване  </w:t>
      </w:r>
    </w:p>
    <w:p>
      <w:pPr>
        <w:rPr>
          <w:noProof/>
        </w:rPr>
      </w:pPr>
      <w:r>
        <w:rPr>
          <w:noProof/>
        </w:rPr>
        <w:t>Световният форум на ОИСР относно прозрачността и обмена на информация за данъчни цели</w:t>
      </w:r>
      <w:r>
        <w:rPr>
          <w:rStyle w:val="FootnoteReference"/>
          <w:noProof/>
        </w:rPr>
        <w:footnoteReference w:id="1"/>
      </w:r>
      <w:r>
        <w:rPr>
          <w:noProof/>
        </w:rPr>
        <w:t xml:space="preserve"> провежда партньорски проверки на възможността на членуващите юрисдикции да си сътрудничат с други данъчни администрации в съответствие със стандартите за прозрачност и обмен на информация при поискване, договорени на международно равнище. Първият кръг от партньорски проверки започна през 2010 г. и завърши за почти всички членове на Световния форум. Вторият кръг на партньорски проверки ще започне през 2016 г. въз основа на преразгледан мандат</w:t>
      </w:r>
      <w:r>
        <w:rPr>
          <w:rStyle w:val="FootnoteReference"/>
          <w:noProof/>
        </w:rPr>
        <w:footnoteReference w:id="2"/>
      </w:r>
      <w:r>
        <w:rPr>
          <w:noProof/>
        </w:rPr>
        <w:t xml:space="preserve">. Мандатът от 2016 г. направи по-строги изискванията на стандарта за обмен на информация, по-специално чрез включване на изискване юрисдикциите да съхраняват и обменят информация относно действителните собственици, както и да гарантират, че са в състояние да получават и предоставят информация от всяко лице, включително финансови институции и доверени лица. </w:t>
      </w:r>
    </w:p>
    <w:p>
      <w:pPr>
        <w:rPr>
          <w:noProof/>
        </w:rPr>
      </w:pPr>
      <w:r>
        <w:rPr>
          <w:noProof/>
        </w:rPr>
        <w:t>При първия кръг от проверки процесът на партньорска проверка на Световния форум обхвана двата етапа:</w:t>
      </w:r>
    </w:p>
    <w:p>
      <w:pPr>
        <w:numPr>
          <w:ilvl w:val="0"/>
          <w:numId w:val="23"/>
        </w:numPr>
        <w:rPr>
          <w:noProof/>
        </w:rPr>
      </w:pPr>
      <w:r>
        <w:rPr>
          <w:noProof/>
        </w:rPr>
        <w:t>правните и регулаторните аспекти на обмена (етап 1)</w:t>
      </w:r>
    </w:p>
    <w:p>
      <w:pPr>
        <w:numPr>
          <w:ilvl w:val="0"/>
          <w:numId w:val="23"/>
        </w:numPr>
        <w:rPr>
          <w:noProof/>
        </w:rPr>
      </w:pPr>
      <w:r>
        <w:rPr>
          <w:noProof/>
        </w:rPr>
        <w:t>и прилагането на практика на автоматичния обмен на информация (етап 2).</w:t>
      </w:r>
    </w:p>
    <w:p>
      <w:pPr>
        <w:rPr>
          <w:noProof/>
        </w:rPr>
      </w:pPr>
      <w:r>
        <w:rPr>
          <w:noProof/>
        </w:rPr>
        <w:t xml:space="preserve">След завършването на двата етапа на процеса на проверка, всяка юрисдикция получи обща оценка. </w:t>
      </w:r>
    </w:p>
    <w:p>
      <w:pPr>
        <w:rPr>
          <w:noProof/>
        </w:rPr>
      </w:pPr>
      <w:r>
        <w:rPr>
          <w:noProof/>
        </w:rPr>
        <w:t>При проверките, започващи през 2016 г., обаче етап 1 и етап 2 ще бъдат съчетани в една проверка.</w:t>
      </w:r>
    </w:p>
    <w:p>
      <w:pPr>
        <w:rPr>
          <w:noProof/>
        </w:rPr>
      </w:pPr>
      <w:r>
        <w:rPr>
          <w:noProof/>
        </w:rPr>
        <w:t>На равнището на ЕС при оценката на спазването от страна на трети държави на стандартите за прозрачност и обмен на информация при поискване, ще се вземат предвид рейтингите на съответствието, които Световният форум</w:t>
      </w:r>
      <w:r>
        <w:rPr>
          <w:rStyle w:val="FootnoteReference"/>
          <w:noProof/>
        </w:rPr>
        <w:footnoteReference w:id="3"/>
      </w:r>
      <w:r>
        <w:rPr>
          <w:noProof/>
        </w:rPr>
        <w:t>, публикува в резултат на провежданите от него партньорски проверки.</w:t>
      </w:r>
    </w:p>
    <w:p>
      <w:pPr>
        <w:rPr>
          <w:b/>
          <w:bCs/>
          <w:noProof/>
        </w:rPr>
      </w:pPr>
      <w:r>
        <w:rPr>
          <w:b/>
          <w:noProof/>
        </w:rPr>
        <w:t>1.2.</w:t>
      </w:r>
      <w:r>
        <w:rPr>
          <w:noProof/>
        </w:rPr>
        <w:tab/>
      </w:r>
      <w:r>
        <w:rPr>
          <w:b/>
          <w:noProof/>
        </w:rPr>
        <w:t xml:space="preserve"> Автоматичен обмен на информация (АОИ) за финансови сметки</w:t>
      </w:r>
    </w:p>
    <w:p>
      <w:pPr>
        <w:rPr>
          <w:noProof/>
        </w:rPr>
      </w:pPr>
      <w:r>
        <w:rPr>
          <w:noProof/>
        </w:rPr>
        <w:t>Стандартът за автоматичен обмен на информация за финансови сметки за данъчни цели (световен стандарт), разработен в отговор на искането на Г-20 и одобрен от Съвета на ОИСР на 15 юли 2014 г.</w:t>
      </w:r>
      <w:r>
        <w:rPr>
          <w:rStyle w:val="FootnoteReference"/>
          <w:noProof/>
        </w:rPr>
        <w:footnoteReference w:id="4"/>
      </w:r>
      <w:r>
        <w:rPr>
          <w:noProof/>
        </w:rPr>
        <w:t>, изисква юрисдикциите да получават информация от финансовите си институции и автоматично да обменят тази информация с други юрисдикции на годишна основа. В него се определя информацията за финансовите сметки, която трябва да се обменя, финансовите институции, от които се изисква да докладват, различните видове сметки и обхванатите данъкоплатци, както и общите процедури за комплексна проверка, които трябва да се следват от финансовите институции.</w:t>
      </w:r>
    </w:p>
    <w:p>
      <w:pPr>
        <w:rPr>
          <w:noProof/>
        </w:rPr>
      </w:pPr>
      <w:r>
        <w:rPr>
          <w:noProof/>
        </w:rPr>
        <w:t>През 2014 г. Световният форум започна процеса на поемане на ангажимент сред своите членове. В резултат на това понастоящем 94 юрисдикции са поели ангажимент да започнат да прилагат световния стандарт до 2017 г. и 2018 г. През август 2015 г. ОИСР публикува наръчник за прилагане на общия стандарт за предоставяне на информация, в който се дават насоки на държавните служители и финансовите институции за прилагането на световния стандарт</w:t>
      </w:r>
      <w:r>
        <w:rPr>
          <w:rStyle w:val="FootnoteReference"/>
          <w:noProof/>
        </w:rPr>
        <w:footnoteReference w:id="5"/>
      </w:r>
      <w:r>
        <w:rPr>
          <w:noProof/>
        </w:rPr>
        <w:t>.</w:t>
      </w:r>
    </w:p>
    <w:p>
      <w:pPr>
        <w:rPr>
          <w:noProof/>
        </w:rPr>
      </w:pPr>
      <w:r>
        <w:rPr>
          <w:noProof/>
        </w:rPr>
        <w:t>За ЕС оценката на спазването от страна на трети държави на стандарта за прозрачност и обмен на информация при поискване ще вземе предвид рейтингите на съответствието, които Световният форум публикува в резултат на провежданите от него партньорски проверки.</w:t>
      </w:r>
    </w:p>
    <w:p>
      <w:pPr>
        <w:rPr>
          <w:b/>
          <w:noProof/>
        </w:rPr>
      </w:pPr>
      <w:r>
        <w:rPr>
          <w:b/>
          <w:noProof/>
        </w:rPr>
        <w:t>2. ЛОЯЛНА ДАНЪЧНА КОНКУРЕНЦИЯ</w:t>
      </w:r>
    </w:p>
    <w:p>
      <w:pPr>
        <w:rPr>
          <w:noProof/>
        </w:rPr>
      </w:pPr>
      <w:r>
        <w:rPr>
          <w:noProof/>
        </w:rPr>
        <w:t>Лоялна данъчна конкуренция означава съответната трета държава да не използва вредни данъчни мерки в областта на данъчното облагане на предприятията.</w:t>
      </w:r>
    </w:p>
    <w:p>
      <w:pPr>
        <w:rPr>
          <w:noProof/>
        </w:rPr>
      </w:pPr>
      <w:r>
        <w:rPr>
          <w:noProof/>
        </w:rPr>
        <w:t>Данъчни мерки, които предвиждат значително по-ниско ефективно ниво на данъчно облагане, включително данъчно облагане по нулева ставка, от нивата, които по принцип се прилагат във въпросната трета държава, трябва да се разглеждат като потенциално вредни. Това значително по-ниско ниво на облагане може да бъде постигнато посредством номиналната данъчна ставка, данъчната основа или друг релевантен фактор.</w:t>
      </w:r>
    </w:p>
    <w:p>
      <w:pPr>
        <w:rPr>
          <w:noProof/>
        </w:rPr>
      </w:pPr>
      <w:r>
        <w:rPr>
          <w:noProof/>
        </w:rPr>
        <w:t>Когато се преценява дали тези мерки са вредни, следва да се вземат предвид критериите, предвидени в Кодекса за поведение при данъчното облагане на предприятията, одобрен от Съвета, както и практиките и указанията, приети от работната група „Кодекс за поведение“.</w:t>
      </w:r>
    </w:p>
    <w:p>
      <w:pPr>
        <w:rPr>
          <w:b/>
          <w:noProof/>
        </w:rPr>
      </w:pPr>
      <w:r>
        <w:rPr>
          <w:b/>
          <w:noProof/>
        </w:rPr>
        <w:t>3. СТАНДАРТИ BEPS НА ОИСР, ПРИЕТИ ОТ Г-20</w:t>
      </w:r>
    </w:p>
    <w:p>
      <w:pPr>
        <w:rPr>
          <w:noProof/>
        </w:rPr>
      </w:pPr>
      <w:r>
        <w:rPr>
          <w:noProof/>
        </w:rPr>
        <w:t>Тъй като планът за действие BEPS на ОИСР, приет от Г-20, доведе до приемането на минимални стандарти или общ подход, те следва да бъдат част от стандартите, обхванати от настоящия раздел. Това се отнася по-специално за следните мерки:</w:t>
      </w:r>
    </w:p>
    <w:p>
      <w:pPr>
        <w:rPr>
          <w:noProof/>
        </w:rPr>
      </w:pPr>
      <w:r>
        <w:rPr>
          <w:noProof/>
        </w:rPr>
        <w:t>— хибридни споразумения (действие 2 по BEPS): общ подход към правилата, които обвързват данъчното третиране на инструмент или предприятие с данъчните резултати в юрисдикцията на контрагента;</w:t>
      </w:r>
    </w:p>
    <w:p>
      <w:pPr>
        <w:rPr>
          <w:noProof/>
        </w:rPr>
      </w:pPr>
      <w:r>
        <w:rPr>
          <w:noProof/>
        </w:rPr>
        <w:t>— ограничаване на лихвите (действие 4 по BEPS): общ подход за правила за ограничаване на правото на приспадане на нетни лихвени плащания;</w:t>
      </w:r>
    </w:p>
    <w:p>
      <w:pPr>
        <w:rPr>
          <w:noProof/>
        </w:rPr>
      </w:pPr>
      <w:r>
        <w:rPr>
          <w:noProof/>
        </w:rPr>
        <w:t>— обмен на информация във връзка с данъчни становища (действие 5 по BEPS): минимални стандарти по отношение на задължителния спонтанен обмен на информация за данъчни становища на данъкоплатец;</w:t>
      </w:r>
    </w:p>
    <w:p>
      <w:pPr>
        <w:rPr>
          <w:noProof/>
        </w:rPr>
      </w:pPr>
      <w:r>
        <w:rPr>
          <w:noProof/>
        </w:rPr>
        <w:t>— разпоредба за борба със злоупотребите с данъчни спогодби (действие 6 по BEPS): минимален стандарт за включването в спогодби за избягване на двойното данъчно облагане на разпоредби за борба със злоупотребите;</w:t>
      </w:r>
    </w:p>
    <w:p>
      <w:pPr>
        <w:rPr>
          <w:noProof/>
        </w:rPr>
      </w:pPr>
      <w:r>
        <w:rPr>
          <w:noProof/>
        </w:rPr>
        <w:t>— предотвратяване на изкуственото избягване на статуса на място на стопанска дейност (действие 7 по BEPS): изменение на спогодбите за избягване на двойното данъчно облагане по отношение на определението за място на стопанска дейност, за да се избегнат практиките за използване на посредници и изкуствената фрагментация на стопански дейности.</w:t>
      </w:r>
    </w:p>
    <w:p>
      <w:pPr>
        <w:rPr>
          <w:noProof/>
        </w:rPr>
      </w:pPr>
      <w:r>
        <w:rPr>
          <w:noProof/>
        </w:rPr>
        <w:t>— трансферно ценообразуване (действие 8 — 10 по BEPS): връщане към принципа на сделката между несвързани лица и анализа на съпоставимостта като основи на правилата за трансферно ценообразуване (нематериални активи, рискове и капитал, високорискови операции);</w:t>
      </w:r>
    </w:p>
    <w:p>
      <w:pPr>
        <w:rPr>
          <w:noProof/>
        </w:rPr>
      </w:pPr>
      <w:r>
        <w:rPr>
          <w:noProof/>
        </w:rPr>
        <w:t>— стандартизирано отчитане по държави (действие 13 по BEPS): минимален стандарт за изискванията към документацията за трансферното ценообразуване и обмена на информация за многонационалните предприятия с годишни консолидирани приходи равни или надхвърлящи 750 млн. евро (или тяхната равностойност в съответната национална парична единица).</w:t>
      </w:r>
    </w:p>
    <w:p>
      <w:pPr>
        <w:rPr>
          <w:noProof/>
        </w:rPr>
      </w:pPr>
      <w:r>
        <w:rPr>
          <w:noProof/>
        </w:rPr>
        <w:t>—  решаване на спорове (действие 14 по BEPS): минимален стандарт, за да се гарантира, че трансграничните спорове по данъчни въпроси между държавите във връзка с тълкуването или прилагането на данъчните спогодби се решават своевременно и по по-ефективен начин.</w:t>
      </w:r>
    </w:p>
    <w:p>
      <w:pPr>
        <w:rPr>
          <w:noProof/>
        </w:rPr>
      </w:pPr>
      <w:r>
        <w:rPr>
          <w:noProof/>
        </w:rPr>
        <w:t>При оценката на стандартите за лоялна данъчна конкуренция, следва да се вземат предвид резултатите от рамката, която ще бъде въведена от ОИСР и Г-20 в началото на 2016 г. за наблюдение на прилагането на BEPS от държавите от ОИСР и Г-20 и другите заинтересовани юрисдикции, както и от юрисдикциите, чието участие е от съществено значение за гарантиране на еднакви условия на конкуренция.</w:t>
      </w:r>
    </w:p>
    <w:p>
      <w:pPr>
        <w:rPr>
          <w:b/>
          <w:noProof/>
        </w:rPr>
      </w:pPr>
      <w:r>
        <w:rPr>
          <w:b/>
          <w:noProof/>
        </w:rPr>
        <w:t>4. Други приложими стандарти</w:t>
      </w:r>
    </w:p>
    <w:p>
      <w:pPr>
        <w:rPr>
          <w:noProof/>
        </w:rPr>
      </w:pPr>
      <w:r>
        <w:rPr>
          <w:noProof/>
        </w:rPr>
        <w:t>Съответните стандарти за добро управление в областта на данъчното облагане също така включват и приетите от Специалната група за финансови действия (FATF)</w:t>
      </w:r>
      <w:r>
        <w:rPr>
          <w:rStyle w:val="FootnoteReference"/>
          <w:noProof/>
        </w:rPr>
        <w:footnoteReference w:id="6"/>
      </w:r>
      <w:r>
        <w:rPr>
          <w:noProof/>
        </w:rPr>
        <w:t xml:space="preserve"> международни стандарти за борба с изпирането на пари и финансирането на тероризма и неговото разпространение. Препоръките на FATF от февруари 2012 г. (актуализирани през октомври 2015 г.) включват 40 конкретни препоръки за борба с изпирането на пари, включително препоръки 24 и 25 за установяване на действителните собственици. Данъчните престъпления, свързани с преки и непреки данъци, фигурират в препоръките на FATF като една от определените категории правонарушения, които следва да се третират като престъплението изпиране на пари. </w:t>
      </w:r>
    </w:p>
    <w:p>
      <w:pPr>
        <w:rPr>
          <w:noProof/>
        </w:rPr>
      </w:pPr>
      <w:r>
        <w:rPr>
          <w:noProof/>
        </w:rPr>
        <w:t>Оценката на този стандарт ще взема предвид юрисдикциите, в които се наблюдават недостатъците, установени от групата за преглед на международното сътрудничество (ICRG) на FATF</w:t>
      </w:r>
      <w:r>
        <w:rPr>
          <w:rStyle w:val="FootnoteReference"/>
          <w:noProof/>
        </w:rPr>
        <w:footnoteReference w:id="7"/>
      </w:r>
      <w:r>
        <w:rPr>
          <w:noProof/>
        </w:rPr>
        <w:t>.</w:t>
      </w:r>
    </w:p>
    <w:p>
      <w:pPr>
        <w:rPr>
          <w:b/>
          <w:noProof/>
          <w:sz w:val="28"/>
          <w:szCs w:val="28"/>
        </w:rPr>
      </w:pPr>
      <w:r>
        <w:rPr>
          <w:noProof/>
        </w:rPr>
        <w:br w:type="page"/>
      </w:r>
    </w:p>
    <w:p>
      <w:pPr>
        <w:jc w:val="center"/>
        <w:rPr>
          <w:b/>
          <w:noProof/>
          <w:sz w:val="28"/>
          <w:szCs w:val="28"/>
        </w:rPr>
      </w:pPr>
      <w:r>
        <w:rPr>
          <w:b/>
          <w:noProof/>
          <w:sz w:val="28"/>
        </w:rPr>
        <w:t>ПРИЛОЖЕНИЕ 2</w:t>
      </w:r>
    </w:p>
    <w:p>
      <w:pPr>
        <w:jc w:val="center"/>
        <w:rPr>
          <w:b/>
          <w:noProof/>
          <w:szCs w:val="24"/>
        </w:rPr>
      </w:pPr>
      <w:r>
        <w:rPr>
          <w:b/>
          <w:noProof/>
        </w:rPr>
        <w:t>АКТУАЛИЗАЦИЯ НА СТАНДАРТНАТА РАЗПОРЕДБА ЗА ДОБРО УПРАВЛЕНИЕ В ОБЛАСТТА НА ДАНЪЧНОТО ОБЛАГАНЕ ПО ОТНОШЕНИЕ НА СПОРАЗУМЕНИЯТА С ТРЕТИ ДЪРЖАВИ</w:t>
      </w:r>
    </w:p>
    <w:p>
      <w:pPr>
        <w:rPr>
          <w:noProof/>
          <w:szCs w:val="24"/>
        </w:rPr>
      </w:pPr>
    </w:p>
    <w:p>
      <w:pPr>
        <w:rPr>
          <w:noProof/>
        </w:rPr>
      </w:pPr>
      <w:r>
        <w:rPr>
          <w:noProof/>
        </w:rPr>
        <w:t>Комисията ще се стреми да включи следните основни елементи за обновена клауза за добро управление във всички предложения за преговори за съответни споразумения с трети държави и региони:</w:t>
      </w:r>
    </w:p>
    <w:p>
      <w:pPr>
        <w:numPr>
          <w:ilvl w:val="0"/>
          <w:numId w:val="22"/>
        </w:numPr>
        <w:rPr>
          <w:noProof/>
        </w:rPr>
      </w:pPr>
      <w:r>
        <w:rPr>
          <w:noProof/>
        </w:rPr>
        <w:t>основните минимални стандарти за добро управление — прозрачност, обмен на информация и лоялна данъчна конкуренция,</w:t>
      </w:r>
    </w:p>
    <w:p>
      <w:pPr>
        <w:numPr>
          <w:ilvl w:val="0"/>
          <w:numId w:val="22"/>
        </w:numPr>
        <w:rPr>
          <w:noProof/>
        </w:rPr>
      </w:pPr>
      <w:r>
        <w:rPr>
          <w:noProof/>
        </w:rPr>
        <w:t>новия световен стандарт на ОИСР и Г-20 за автоматичен обмен на информация (АОИ) по отношение на информацията за финансови сметки,</w:t>
      </w:r>
    </w:p>
    <w:p>
      <w:pPr>
        <w:numPr>
          <w:ilvl w:val="0"/>
          <w:numId w:val="22"/>
        </w:numPr>
        <w:rPr>
          <w:noProof/>
        </w:rPr>
      </w:pPr>
      <w:r>
        <w:rPr>
          <w:noProof/>
        </w:rPr>
        <w:t>допълнителни стандарти въз основа на BEPS на ОИСР, приет от Г-20,</w:t>
      </w:r>
    </w:p>
    <w:p>
      <w:pPr>
        <w:numPr>
          <w:ilvl w:val="0"/>
          <w:numId w:val="22"/>
        </w:numPr>
        <w:rPr>
          <w:noProof/>
        </w:rPr>
      </w:pPr>
      <w:r>
        <w:rPr>
          <w:noProof/>
        </w:rPr>
        <w:t>международни стандарти на Специалната група за финансови действия (FATF)</w:t>
      </w:r>
      <w:r>
        <w:rPr>
          <w:rStyle w:val="FootnoteReference"/>
          <w:noProof/>
        </w:rPr>
        <w:footnoteReference w:id="8"/>
      </w:r>
      <w:r>
        <w:rPr>
          <w:noProof/>
        </w:rPr>
        <w:t xml:space="preserve"> за борба с изпирането на пари и финансирането на тероризма и неговото разпространение.</w:t>
      </w:r>
    </w:p>
    <w:p>
      <w:pPr>
        <w:rPr>
          <w:noProof/>
        </w:rPr>
      </w:pPr>
      <w:r>
        <w:rPr>
          <w:noProof/>
        </w:rPr>
        <w:t xml:space="preserve">Като се има предвид разнообразието от международни партньори на ЕС, Съветът следва да предостави на Комисията достатъчна гъвкавост при текущите и бъдещите преговори с трети държави въз основа на договорената клауза.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4853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hyperlink r:id="rId1">
        <w:r>
          <w:rPr>
            <w:rStyle w:val="Hyperlink"/>
          </w:rPr>
          <w:t>http://www.oecd.org/tax/transparency/</w:t>
        </w:r>
      </w:hyperlink>
      <w:r>
        <w:t xml:space="preserve"> </w:t>
      </w:r>
    </w:p>
  </w:footnote>
  <w:footnote w:id="2">
    <w:p>
      <w:pPr>
        <w:pStyle w:val="FootnoteText"/>
      </w:pPr>
      <w:r>
        <w:rPr>
          <w:rStyle w:val="FootnoteReference"/>
        </w:rPr>
        <w:footnoteRef/>
      </w:r>
      <w:r>
        <w:t xml:space="preserve"> http://www.oecd.org/tax/transparency/exchange-of-information-on-request/#d.en.368658</w:t>
      </w:r>
    </w:p>
  </w:footnote>
  <w:footnote w:id="3">
    <w:p>
      <w:pPr>
        <w:pStyle w:val="FootnoteText"/>
      </w:pPr>
      <w:r>
        <w:rPr>
          <w:rStyle w:val="FootnoteReference"/>
        </w:rPr>
        <w:footnoteRef/>
      </w:r>
      <w:r>
        <w:t xml:space="preserve"> http://www.oecd.org/tax/transparency/GFratings.pdf</w:t>
      </w:r>
    </w:p>
  </w:footnote>
  <w:footnote w:id="4">
    <w:p>
      <w:pPr>
        <w:pStyle w:val="FootnoteText"/>
      </w:pPr>
      <w:r>
        <w:rPr>
          <w:rStyle w:val="FootnoteReference"/>
        </w:rPr>
        <w:footnoteRef/>
      </w:r>
      <w:r>
        <w:t xml:space="preserve"> </w:t>
      </w:r>
      <w:hyperlink r:id="rId2">
        <w:r>
          <w:rPr>
            <w:rStyle w:val="Hyperlink"/>
          </w:rPr>
          <w:t>http://www.oecd.org/tax/exchange-of-tax-information/Automatic-Exchange-Financial-Account-Information-Brief.pdf</w:t>
        </w:r>
      </w:hyperlink>
    </w:p>
    <w:p>
      <w:pPr>
        <w:pStyle w:val="FootnoteText"/>
      </w:pPr>
    </w:p>
  </w:footnote>
  <w:footnote w:id="5">
    <w:p>
      <w:pPr>
        <w:pStyle w:val="FootnoteText"/>
      </w:pPr>
      <w:r>
        <w:rPr>
          <w:rStyle w:val="FootnoteReference"/>
        </w:rPr>
        <w:footnoteRef/>
      </w:r>
      <w:r>
        <w:t xml:space="preserve"> </w:t>
      </w:r>
      <w:hyperlink r:id="rId3">
        <w:r>
          <w:rPr>
            <w:rStyle w:val="Hyperlink"/>
          </w:rPr>
          <w:t>http://www.oecd.org/ctp/exchange-of-tax-information/implementation-handbook-standard-for-automatic-exchange-of-financial-account-information-in-tax-matters.htm</w:t>
        </w:r>
      </w:hyperlink>
    </w:p>
    <w:p>
      <w:pPr>
        <w:pStyle w:val="FootnoteText"/>
      </w:pPr>
    </w:p>
  </w:footnote>
  <w:footnote w:id="6">
    <w:p>
      <w:pPr>
        <w:pStyle w:val="FootnoteText"/>
      </w:pPr>
      <w:r>
        <w:rPr>
          <w:rStyle w:val="FootnoteReference"/>
        </w:rPr>
        <w:footnoteRef/>
      </w:r>
      <w:r>
        <w:t xml:space="preserve"> </w:t>
      </w:r>
      <w:r>
        <w:tab/>
        <w:t xml:space="preserve">Специалната група за финансови действия (FATF) е междуправителствен орган, създаден през 1989 г., за да определя стандарти и да насърчава ефективното прилагане на мерки за борба с изпирането на пари, финансирането на тероризма и други свързани заплахи за международната финансова система.  </w:t>
      </w:r>
      <w:hyperlink r:id="rId4">
        <w:r>
          <w:rPr>
            <w:rStyle w:val="Hyperlink"/>
          </w:rPr>
          <w:t>http://www.fatf-gafi.org/home/</w:t>
        </w:r>
      </w:hyperlink>
    </w:p>
  </w:footnote>
  <w:footnote w:id="7">
    <w:p>
      <w:pPr>
        <w:pStyle w:val="FootnoteText"/>
      </w:pPr>
      <w:r>
        <w:rPr>
          <w:rStyle w:val="FootnoteReference"/>
        </w:rPr>
        <w:footnoteRef/>
      </w:r>
      <w:r>
        <w:t xml:space="preserve"> http://www.fatf-gafi.org/publications/high-riskandnon-cooperativejurisdictions/more/moreabouttheinternationalco-operationreviewgroupicrg.html?hf=10&amp;b=0&amp;s=desc(fatf_releasedate)</w:t>
      </w:r>
    </w:p>
  </w:footnote>
  <w:footnote w:id="8">
    <w:p>
      <w:pPr>
        <w:pStyle w:val="FootnoteText"/>
      </w:pPr>
      <w:r>
        <w:rPr>
          <w:rStyle w:val="FootnoteReference"/>
        </w:rPr>
        <w:footnoteRef/>
      </w:r>
      <w:r>
        <w:t xml:space="preserve"> </w:t>
      </w:r>
      <w:hyperlink r:id="rId5">
        <w:r>
          <w:rPr>
            <w:rStyle w:val="Hyperlink"/>
          </w:rPr>
          <w:t>http://www.fatf-gafi.org/home/</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2"/>
  </w:num>
  <w:num w:numId="21">
    <w:abstractNumId w:val="3"/>
  </w:num>
  <w:num w:numId="22">
    <w:abstractNumId w:val="2"/>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2"/>
    <w:docVar w:name="LW_CONFIDENCE" w:val=" "/>
    <w:docVar w:name="LW_CONST_RESTREINT_UE" w:val="RESTREINT UE"/>
    <w:docVar w:name="LW_CORRIGENDUM" w:val="&lt;UNUSED&gt;"/>
    <w:docVar w:name="LW_COVERPAGE_GUID" w:val="1431FECA413249C791E8C4C232C97F6E"/>
    <w:docVar w:name="LW_CROSSREFERENCE" w:val="&lt;EMPTY&gt;"/>
    <w:docVar w:name="LW_DocType" w:val="REP"/>
    <w:docVar w:name="LW_EMISSION" w:val="28.1.2016"/>
    <w:docVar w:name="LW_EMISSION_ISODATE" w:val="2016-01-28"/>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74?\u1098?\u1085?\u1096?\u1085?\u1072? \u1089?\u1090?\u1088?\u1072?\u1090?\u1077?\u1075?\u1080?\u1103? \u1079?\u1072? \u1077?\u1092?\u1077?\u1082?\u1090?\u1080?\u1074?\u1085?\u1086? \u1076?\u1072?\u1085?\u1098?\u1095?\u1085?\u1086? \u1086?\u1073?\u1083?\u1072?\u1075?\u1072?\u1085?\u1077?_x000b_"/>
    <w:docVar w:name="LW_PART_NBR" w:val="&lt;UNUSED&gt;"/>
    <w:docVar w:name="LW_PART_NBR_TOTAL" w:val="&lt;UNUSED&gt;"/>
    <w:docVar w:name="LW_REF.INST.NEW" w:val="COM"/>
    <w:docVar w:name="LW_REF.INST.NEW_ADOPTED" w:val="final"/>
    <w:docVar w:name="LW_REF.INST.NEW_TEXT" w:val="(2016) 24"/>
    <w:docVar w:name="LW_REF.INTERNE" w:val="&lt;UNUSED&gt;"/>
    <w:docVar w:name="LW_SUPERTITRE" w:val="&lt;UNUSED&gt;"/>
    <w:docVar w:name="LW_TITRE.OBJ.CP" w:val="&lt;UNUSED&gt;"/>
    <w:docVar w:name="LW_TYPE.DOC.CP" w:val="\u1055?\u1056?\u1048?\u1051?\u1054?\u1046?\u1045?\u1053?\u1048?\u1071?_x000b_"/>
    <w:docVar w:name="LW_TYPEACTEPRINCIPAL.CP" w:val="\u1057?\u1098?\u1086?\u1073?\u1097?\u1077?\u1085?\u1080?\u1077? \u1085?\u1072? \u1050?\u1086?\u1084?\u1080?\u1089?\u1080?\u1103?\u1090?\u1072? \u1076?\u1086? \u1045?\u1074?\u1088?\u1086?\u1087?\u1077?\u1081?\u1089?\u1082?\u1080?\u1103? \u1087?\u1072?\u1088?\u1083?\u1072?\u1084?\u1077?\u1085?\u1090? \u1080? \u1076?\u1086?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customStyle="1" w:styleId="CommentTextChar">
    <w:name w:val="Comment Text Char"/>
    <w:basedOn w:val="DefaultParagraphFont"/>
    <w:link w:val="CommentText"/>
    <w:semiHidden/>
    <w:rPr>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customStyle="1" w:styleId="CommentTextChar">
    <w:name w:val="Comment Text Char"/>
    <w:basedOn w:val="DefaultParagraphFont"/>
    <w:link w:val="CommentText"/>
    <w:semiHidden/>
    <w:rPr>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ctp/exchange-of-tax-information/implementation-handbook-standard-for-automatic-exchange-of-financial-account-information-in-tax-matters.htm" TargetMode="External"/><Relationship Id="rId2" Type="http://schemas.openxmlformats.org/officeDocument/2006/relationships/hyperlink" Target="http://www.oecd.org/tax/exchange-of-tax-information/Automatic-Exchange-Financial-Account-Information-Brief.pdf" TargetMode="External"/><Relationship Id="rId1" Type="http://schemas.openxmlformats.org/officeDocument/2006/relationships/hyperlink" Target="http://www.oecd.org/tax/transparency/" TargetMode="External"/><Relationship Id="rId5" Type="http://schemas.openxmlformats.org/officeDocument/2006/relationships/hyperlink" Target="http://www.fatf-gafi.org/home/" TargetMode="External"/><Relationship Id="rId4" Type="http://schemas.openxmlformats.org/officeDocument/2006/relationships/hyperlink" Target="http://www.fatf-gafi.or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79A3-A276-48B9-AFF6-3D52575145B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e69f030-f312-477b-8d05-3155ad93c246"/>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E289DC6F-F9D0-4D2A-A7F3-20C99E491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996ED-7298-4D18-BAD0-7746983B510A}">
  <ds:schemaRefs>
    <ds:schemaRef ds:uri="http://schemas.microsoft.com/sharepoint/v3/contenttype/forms"/>
  </ds:schemaRefs>
</ds:datastoreItem>
</file>

<file path=customXml/itemProps4.xml><?xml version="1.0" encoding="utf-8"?>
<ds:datastoreItem xmlns:ds="http://schemas.openxmlformats.org/officeDocument/2006/customXml" ds:itemID="{D0B90120-97AD-463C-9877-1FB28CF9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43</TotalTime>
  <Pages>6</Pages>
  <Words>1268</Words>
  <Characters>7472</Characters>
  <Application>Microsoft Office Word</Application>
  <DocSecurity>0</DocSecurity>
  <PresentationFormat>Microsoft Word 14.0</PresentationFormat>
  <Lines>140</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Traynor</dc:creator>
  <cp:keywords>EL4</cp:keywords>
  <cp:lastModifiedBy>DIGIT/A3</cp:lastModifiedBy>
  <cp:revision>17</cp:revision>
  <dcterms:created xsi:type="dcterms:W3CDTF">2015-12-10T16:37:00Z</dcterms:created>
  <dcterms:modified xsi:type="dcterms:W3CDTF">2016-02-01T09:04:00Z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Classification">
    <vt:lpwstr> </vt:lpwstr>
  </property>
  <property fmtid="{D5CDD505-2E9C-101B-9397-08002B2CF9AE}" pid="16" name="DocStatus">
    <vt:lpwstr>Green</vt:lpwstr>
  </property>
  <property fmtid="{D5CDD505-2E9C-101B-9397-08002B2CF9AE}" pid="17" name="First annex">
    <vt:lpwstr>1</vt:lpwstr>
  </property>
  <property fmtid="{D5CDD505-2E9C-101B-9397-08002B2CF9AE}" pid="18" name="Last annex">
    <vt:lpwstr>2</vt:lpwstr>
  </property>
  <property fmtid="{D5CDD505-2E9C-101B-9397-08002B2CF9AE}" pid="19" name="ContentTypeId">
    <vt:lpwstr>0x010100258AA79CEB83498886A3A0868112325000DDB8881E4CA0324BAC53BF18E75DA682</vt:lpwstr>
  </property>
</Properties>
</file>