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A67CC31B47741B9B98CF4AB5568669F"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rPr>
          <w:b/>
          <w:noProof/>
        </w:rPr>
      </w:pPr>
      <w:bookmarkStart w:id="1" w:name="_GoBack"/>
      <w:bookmarkEnd w:id="1"/>
    </w:p>
    <w:p>
      <w:pPr>
        <w:pStyle w:val="Heading1"/>
        <w:rPr>
          <w:rFonts w:eastAsia="Calibri"/>
          <w:noProof/>
        </w:rPr>
      </w:pPr>
      <w:r>
        <w:rPr>
          <w:noProof/>
        </w:rPr>
        <w:t>Справедливото и ефикасно данъчно облагане — крайъгълен камък на единния пазар</w:t>
      </w:r>
    </w:p>
    <w:p>
      <w:pPr>
        <w:rPr>
          <w:noProof/>
        </w:rPr>
      </w:pPr>
      <w:r>
        <w:rPr>
          <w:noProof/>
        </w:rPr>
        <w:t>Единният пазар, чиято цел е свободното движение на хора, стоки, услуги и капитали, е едно от най-големите достижения на Европа. Благодарение на него намаляват бюрократичните пречки пред специалистите и предприятията, които извършват трансгранична дейност. Той осигурява по-голям избор и по-ниски цени за потребителите и дава възможност на хората да пътуват, живеят, работят и учат навсякъде, където желаят. Поради тези причини Комисията издигна като свой приоритет изграждането на по-задълбочен и по-справедлив вътрешен пазар, който е от ключово значение, за да може икономиката да процъфтява и да принася полза за всички.</w:t>
      </w:r>
    </w:p>
    <w:p>
      <w:pPr>
        <w:rPr>
          <w:noProof/>
        </w:rPr>
      </w:pPr>
      <w:r>
        <w:rPr>
          <w:noProof/>
        </w:rPr>
        <w:t>Както се посочва в приетия през юни 2015 г. План за действие за справедлива и ефикасна система за корпоративно данъчно облагане в ЕС</w:t>
      </w:r>
      <w:r>
        <w:rPr>
          <w:rStyle w:val="FootnoteReference"/>
          <w:noProof/>
        </w:rPr>
        <w:footnoteReference w:id="2"/>
      </w:r>
      <w:r>
        <w:rPr>
          <w:noProof/>
        </w:rPr>
        <w:t>, правилно функциониращият единен пазар се нуждае от справедлива и ефикасна система за корпоративно данъчно облагане, която способства за икономическия растеж, като се основава върху принципа, че дружествата следва да плащат данъци в държавата, където са генерирани печалбите. Този принцип обаче се подкопава от агресивното данъчно планиране. Предприятията, които прибягват към агресивно данъчно планиране, получават несправедливо конкурентно предимство спрямо мнозинството предприятия, които не прилагат такива практики. Този тип агресивно поведение изопачава ценовите сигнали и дава възможност на използващите го дружества да декларират по-ниски капиталови разходи, нарушавайки еднаквите условия на конкуренция в единния пазар. Особено засегнати от това явление са малките и средните предприятия.</w:t>
      </w:r>
    </w:p>
    <w:p>
      <w:pPr>
        <w:rPr>
          <w:noProof/>
        </w:rPr>
      </w:pPr>
      <w:r>
        <w:rPr>
          <w:noProof/>
        </w:rPr>
        <w:t>От друга страна, агресивното данъчно планиране, което практикуват някои дружества, причинява значителни загуби на приходи на държавите членки и се налага други — не толкова агресивни и не толкова мобилни — данъкоплатци да понасят по-голяма данъчна тежест. Разбираемо е, че сега, когато Европа постепенно преодолява трудната икономическа криза, гражданите изразяват негодуванието си от факта, че трябва да понасят по-голяма данъчна тежест, докато някои дружества — понякога с доброволното или недоброволното съучастие на съответните правителства — избягват да плащат полагаемите им се данъци. Неравномерното разпределение на данъчната тежест подкопава справедливия характер на данъчното облагане, отразява се неблагоприятно върху дисциплината на данъкоплатците и поставя под заплаха обществения договор между гражданите и управляващите ги правителства. Изразявайки опасенията на европейските граждани, Европейският парламент поиска тези практики да бъдат прекратени.</w:t>
      </w:r>
    </w:p>
    <w:p>
      <w:pPr>
        <w:rPr>
          <w:noProof/>
        </w:rPr>
      </w:pPr>
      <w:r>
        <w:rPr>
          <w:noProof/>
        </w:rPr>
        <w:t>Държавите членки са съгласни с това и разбират, че ако желаят единният пазар да укрепне, данъчното облагане не може да се пренебрегва. Координираният подход при въвеждането на данъчни системи, които благоприятстват растежа, и при решаването на проблеми от трансграничен характер е от решаващо значение за безпрепятственото функциониране на единния пазар, за успеха на съюза на капиталовите пазари и за привличането на инвестиции в ЕС. Държавите членки вече си дават сметка за това и призовават да се сложи край на агресивното данъчно планиране</w:t>
      </w:r>
      <w:r>
        <w:rPr>
          <w:noProof/>
          <w:vertAlign w:val="superscript"/>
        </w:rPr>
        <w:footnoteReference w:id="3"/>
      </w:r>
      <w:r>
        <w:rPr>
          <w:noProof/>
        </w:rPr>
        <w:t>. За тази цел е необходимо да се приложи общ подход на равнището на ЕС или в ЕС да се въведат общи и специфични разпоредби против избягването на данъци, които да обхващат както вътрешни мерки, така и общи действия срещу външните заплахи от свиване на данъчната основа.</w:t>
      </w:r>
    </w:p>
    <w:p>
      <w:pPr>
        <w:pStyle w:val="Heading1"/>
        <w:rPr>
          <w:noProof/>
        </w:rPr>
      </w:pPr>
      <w:r>
        <w:rPr>
          <w:noProof/>
        </w:rPr>
        <w:t>Агресивното данъчно планиране — световен проблем, за който са нужни решения от европейски и от световен мащаб</w:t>
      </w:r>
    </w:p>
    <w:p>
      <w:pPr>
        <w:rPr>
          <w:noProof/>
        </w:rPr>
      </w:pPr>
      <w:r>
        <w:rPr>
          <w:b/>
          <w:noProof/>
        </w:rPr>
        <w:t>Едностранните мерки на държавите членки не биха оказали адекватно противодействие на агресивното данъчно планиране и биха създали проблеми.</w:t>
      </w:r>
      <w:r>
        <w:rPr>
          <w:noProof/>
        </w:rPr>
        <w:t xml:space="preserve"> В единния пазар, който се основава върху свободното движение на стоки, хора, услуги и капитали, некоординираните мерки срещу прехвърлянето на печалби може да донесат повече вреда, отколкото полза. Различията в подходите на отделните държави членки към този трансграничен проблем може да оставят вратички за агресивно данъчно планиране. Правилата в една държава членка може да отслабят ефективността на правилата в други държави. Липсата на координиран подход може освен това да породи несигурност и административна тежест за предприятията.</w:t>
      </w:r>
    </w:p>
    <w:p>
      <w:pPr>
        <w:rPr>
          <w:noProof/>
        </w:rPr>
      </w:pPr>
      <w:r>
        <w:rPr>
          <w:noProof/>
        </w:rPr>
        <w:t>Липсата на координиран подход може да послужи като насърчение държавите членки да не търсят най-ефикасното решение на проблема. В някои случаи те се въздържат да предприемат мерки, тъй като се опасяват, че по този начин ще се поставят в неизгодно положение от гледна точка на конкуренцията. Вместо това някои държави членки подхождат към проблема, увеличавайки усилията си да привлекат или да задържат на своя територия печалбите на многонационалните предприятия, като за тази цел понякога използват преференциални данъчни режими или индивидуални данъчни становища, предоставящи избирателно предимство, а това е в разрез с правилата на ЕС за държавната помощ. Вредната данъчна конкуренция обаче обикновено създава още по-големи стимули дружествата да прехвърлят печалбите си, което допълнително намалява общото равнище на данъчните приходи на държавите членки и ги отклонява от данъчна политика, която да способства за растежа. Въпреки че понастоящем преференциалните режими и индивидуалните данъчни становища са предмет на целенасочени действия по правоприлагане съгласно правилата за държавната помощ, тези действия трябва да бъдат допълнени със законодателни мерки.</w:t>
      </w:r>
    </w:p>
    <w:p>
      <w:pPr>
        <w:rPr>
          <w:noProof/>
        </w:rPr>
      </w:pPr>
      <w:r>
        <w:rPr>
          <w:b/>
          <w:noProof/>
        </w:rPr>
        <w:t>Агресивното данъчно планиране е световен проблем, за който са нужни решения от европейски и от световен мащаб.</w:t>
      </w:r>
      <w:r>
        <w:rPr>
          <w:noProof/>
        </w:rPr>
        <w:t xml:space="preserve"> Вече много държави членки признават, че едностранните действия не са достатъчни. Много от тях все повече подкрепят идеята, че за да се осигурят еднакви условия на конкуренция в данъчната област, е необходимо към проблема с агресивното данъчно планиране да се подходи с координирани усилия.</w:t>
      </w:r>
    </w:p>
    <w:p>
      <w:pPr>
        <w:pStyle w:val="Heading1"/>
        <w:rPr>
          <w:noProof/>
        </w:rPr>
      </w:pPr>
      <w:r>
        <w:rPr>
          <w:noProof/>
        </w:rPr>
        <w:t>Време е да се действа: нужни са политическа амбиция и правна сигурност</w:t>
      </w:r>
    </w:p>
    <w:p>
      <w:pPr>
        <w:rPr>
          <w:noProof/>
        </w:rPr>
      </w:pPr>
      <w:r>
        <w:rPr>
          <w:noProof/>
        </w:rPr>
        <w:t>В своето съобщение от 17 юни 2015 г., озаглавено „Справедлива и ефикасна система за корпоративно данъчно облагане в Европейския съюз: пет ключови области за действие“, Комисията положи основите за мерки срещу агресивното данъчно планиране. Централно място в плана за действие заема общата консолидирана основа за облагане с корпоративен данък, тъй като чрез нея корпоративното данъчно облагане ще бъде реформирано коренно и в Европа ще се постигне цялостно решение на проблема с прехвърлянето на печалби. Благодарение на нея ще се подобри данъчната среда за предприятията, тъй като ще се намали данъчната тежест.</w:t>
      </w:r>
    </w:p>
    <w:p>
      <w:pPr>
        <w:rPr>
          <w:noProof/>
        </w:rPr>
      </w:pPr>
      <w:r>
        <w:rPr>
          <w:b/>
          <w:noProof/>
        </w:rPr>
        <w:t>В очакване на предстоящото приемане на преработеното предложение относно общата консолидирана основа за облагане с корпоративен данък, в приетия през юни план за действие бяха заложени други краткосрочни мерки, които имат за цел да се гарантира, че данъчното облагане се извършва действително там, където се генерират печалбите, да се подобри данъчната среда за предприятията, да се постигне по-нататъшен напредък по отношение на данъчната прозрачност и да се засилят инструментите на ЕС за координация.</w:t>
      </w:r>
      <w:r>
        <w:rPr>
          <w:noProof/>
        </w:rPr>
        <w:t xml:space="preserve"> Тези мерки са тясно свързани с проекта на групата Г-20 и на Организацията за икономическо сътрудничество и развитие (ОИСР) за действие срещу свиването на данъчната основа и прехвърлянето на печалби (</w:t>
      </w:r>
      <w:r>
        <w:rPr>
          <w:i/>
          <w:noProof/>
        </w:rPr>
        <w:t>Base Erosion and Profit Shifting — BEPS</w:t>
      </w:r>
      <w:r>
        <w:rPr>
          <w:noProof/>
        </w:rPr>
        <w:t>), който към момента на публикуване на плана за действие все още не беше завършен. Оттогава по много от тях бе постигнат съществен напредък. В някои области на плана за действие обаче мерките на равнището на ЕС зависеха от завършването на проекта на Г-20 и ОИСР.</w:t>
      </w:r>
    </w:p>
    <w:p>
      <w:pPr>
        <w:rPr>
          <w:noProof/>
        </w:rPr>
      </w:pPr>
      <w:r>
        <w:rPr>
          <w:noProof/>
        </w:rPr>
        <w:t>Докладите на Г-20 и ОИСР</w:t>
      </w:r>
      <w:r>
        <w:rPr>
          <w:rStyle w:val="FootnoteReference"/>
          <w:noProof/>
        </w:rPr>
        <w:footnoteReference w:id="4"/>
      </w:r>
      <w:r>
        <w:rPr>
          <w:noProof/>
        </w:rPr>
        <w:t xml:space="preserve"> бяха публикувани през октомври 2015 г. и сега държавите членки следва да приложат редица от съдържащите се в тях препоръки по начин, който е в съответствие със законодателството на ЕС. Много държави членки заявиха, че възнамеряват да приложат тези решения възможно най-скоро, но има опасност да осъществят това по различни начини или да дадат различни тълкувания на мерките от пакета BEPS на ОИСР.</w:t>
      </w:r>
    </w:p>
    <w:p>
      <w:pPr>
        <w:rPr>
          <w:noProof/>
        </w:rPr>
      </w:pPr>
      <w:r>
        <w:rPr>
          <w:noProof/>
        </w:rPr>
        <w:t>Това не е достатъчно. В ЕС мерките срещу избягването на данъци трябва да се предприемат по ясен и съгласуван начин, за да се укрепи колективната позиция на държавите членки по този проблем, като същевременно се съхранят залегналите в Договора свободи и конкурентоспособността на ЕС.</w:t>
      </w:r>
    </w:p>
    <w:p>
      <w:pPr>
        <w:rPr>
          <w:noProof/>
        </w:rPr>
      </w:pPr>
      <w:r>
        <w:rPr>
          <w:b/>
          <w:noProof/>
        </w:rPr>
        <w:t>ЕС може и трябва да се стреми към разработването на общ стандарт на държавите членки.</w:t>
      </w:r>
      <w:r>
        <w:rPr>
          <w:noProof/>
        </w:rPr>
        <w:t xml:space="preserve"> ЕС разполага с инструменти, чрез които може да се гарантира, че мерките срещу избягването на данъци се прилагат координирано във всички държави членки, като по този начин държавите членки взаимно се предпазват по-ефективно от злоупотреби, а на предприятията се предоставя по-голяма правна сигурност. ЕС може да постигне общ подход по-специално чрез приемането на правни инструменти. Това е целесъобразно само в някои случаи — например, когато защитните мерки са свързани с националното законодателство. В законодателните разпоредби на ЕС може да се заложи известна гъвкавост, така че държавите членки да могат да отразят собствената си ситуация, като същевременно се гарантира поне въвеждането на минимален стандарт в Съюза. Те ще спомогнат за създаването на еднакви условия на конкуренция за държавите членки в данъчната област и ще ограничат нарушенията, които подкопават единния пазар.</w:t>
      </w:r>
    </w:p>
    <w:p>
      <w:pPr>
        <w:rPr>
          <w:b/>
          <w:noProof/>
        </w:rPr>
      </w:pPr>
      <w:r>
        <w:rPr>
          <w:noProof/>
        </w:rPr>
        <w:t>В други случаи — например, когато става дума за данъчни спогодби — приемането на законодателни разпоредби може да не е целесъобразно. В такива случаи по-подходящата форма за предоставяне на насоки относно съобразен със законодателството на ЕС подход може да е препоръка на Комисията. В други области може да е целесъобразно да се използват други инструменти, с които разполага ЕС, каквито са, например, Съвместният форум по трансферното ценообразуване, Кодексът за поведение при данъчното облагане на предприятията или Платформата по въпросите на доброто управление в областта на данъчното облагане.</w:t>
      </w:r>
    </w:p>
    <w:p>
      <w:pPr>
        <w:rPr>
          <w:noProof/>
        </w:rPr>
      </w:pPr>
      <w:r>
        <w:rPr>
          <w:b/>
          <w:noProof/>
        </w:rPr>
        <w:t xml:space="preserve">Необходими са незабавни действия, за да може в ЕС да се създаде среда за корпоративно данъчно облагане, която стимулира конкурентоспособна и благоприятстваща растежа икономика. </w:t>
      </w:r>
      <w:r>
        <w:rPr>
          <w:noProof/>
        </w:rPr>
        <w:t>Колкото повече се изчаква, толкова повече се засилва опасността да се появят различаващи се подходи, които да породят административна тежест и несигурност за предприятията и да увредят единния пазар. Няма причина да се отлага. Държавите членки проучиха задълбочено тези въпроси в рамките както на ЕС, така и на ОИСР. По време на този процес бяха проведени обстойни консултации с предприятия, неправителствени организации и професионални групи, които имаха възможност да изразят своите становища. Европейският парламент издаде доклади във връзка с агресивното данъчно планиране. Вече всички елементи са налице. Време е да се действа.</w:t>
      </w:r>
    </w:p>
    <w:p>
      <w:pPr>
        <w:pStyle w:val="Heading1"/>
        <w:rPr>
          <w:noProof/>
        </w:rPr>
      </w:pPr>
      <w:r>
        <w:rPr>
          <w:noProof/>
        </w:rPr>
        <w:t>Ефективно данъчно облагане: да се гарантира, че данъкът се плаща там, където се създава стойността</w:t>
      </w:r>
    </w:p>
    <w:p>
      <w:pPr>
        <w:rPr>
          <w:noProof/>
        </w:rPr>
      </w:pPr>
      <w:r>
        <w:rPr>
          <w:b/>
          <w:noProof/>
        </w:rPr>
        <w:t>Както се посочва в плана за действие, приет през юни 2015 г., дружествата, които се ползват от преимуществата на единния пазар и генерират печалби в него, следва да плащат данък върху тези печалби в ЕС в мястото, където се извършва съответната дейност.</w:t>
      </w:r>
      <w:r>
        <w:rPr>
          <w:noProof/>
        </w:rPr>
        <w:t xml:space="preserve"> При все това е ясно, че тази връзка се нарушава от някои дружества, които прехвърлят печалби от мястото, където са генерирани, към държави членки, които предлагат ниски данъчни ставки и преференциални режими, или извън ЕС към трети държави, които нямат нищо общо с мястото на действителната стопанска дейност. Възможно е някои от стимулите, които се предлагат на избрани предприятия, да нарушават правилата на ЕС за държавната помощ и съответно да са обект на мерки в рамките на контрола върху държавната помощ. Комисията активно се занимава със случаите на нарушаване на тези правила. Същевременно обаче стратегиите за агресивно данъчно планиране често се възползват от някои по-общи проблеми от системен характер, каквито са, например, несъответствията между данъчните законодателства на отделните държави членки и съществуващите разпоредби на ЕС в областта на данъчното облагане</w:t>
      </w:r>
      <w:r>
        <w:rPr>
          <w:rStyle w:val="FootnoteReference"/>
          <w:noProof/>
        </w:rPr>
        <w:footnoteReference w:id="5"/>
      </w:r>
      <w:r>
        <w:rPr>
          <w:noProof/>
        </w:rPr>
        <w:t>, за да плащат нисък (или да не плащат никакъв) данък в мястото, където са генерирани печалбите. Европейският парламент, както и редица държави членки и заинтересовани страни изразиха желанието си тази ситуация да се промени, поради което в приетия през юни план за действие на ангажимента за гарантиране на ефективното данъчно облагане на печалбите в ЕС беше отредено централно място.</w:t>
      </w:r>
    </w:p>
    <w:p>
      <w:pPr>
        <w:rPr>
          <w:noProof/>
        </w:rPr>
      </w:pPr>
      <w:r>
        <w:rPr>
          <w:b/>
          <w:noProof/>
        </w:rPr>
        <w:t>ЕС разполага с различни средства, чрез които да се постигне напредък в тази област, и редица инициативи за гарантиране на ефективното данъчно облагане на печалбите в единния пазар вече дават резултати.</w:t>
      </w:r>
    </w:p>
    <w:p>
      <w:pPr>
        <w:rPr>
          <w:noProof/>
        </w:rPr>
      </w:pPr>
      <w:r>
        <w:rPr>
          <w:noProof/>
        </w:rPr>
        <w:t xml:space="preserve">Новите насоки на Г-20 и ОИСР във връзка с </w:t>
      </w:r>
      <w:r>
        <w:rPr>
          <w:b/>
          <w:noProof/>
        </w:rPr>
        <w:t>трансферното ценообразуване</w:t>
      </w:r>
      <w:r>
        <w:rPr>
          <w:noProof/>
        </w:rPr>
        <w:t xml:space="preserve"> следва да спомогнат да се направи връзка между печалбите и стопанските дейности, които са ги генерирали. Комисията преразгледа мандата на Съвместния форум по трансферното ценообразуване</w:t>
      </w:r>
      <w:r>
        <w:rPr>
          <w:rStyle w:val="FootnoteReference"/>
          <w:noProof/>
        </w:rPr>
        <w:footnoteReference w:id="6"/>
      </w:r>
      <w:r>
        <w:rPr>
          <w:noProof/>
        </w:rPr>
        <w:t>, който вече интензивно проучва как най-пълноценно да се използват резултатите от работата по пакета BEPS на ОИСР, приет от Г-20, за да може в ЕС правилата да се приложат по-ефективно и по-последователно, като се отчете спецификата на единния пазар. Съвместният форум по трансферното ценообразуване неколкократно доказа, че е в състояние да намира комплексни прагматични решения на проблемите, произтичащи от трансферното ценообразуване в ЕС, и следва да продължи да постига резултати. Комисията ще следи как държавите членки прилагат новите правила и ще обмисли дали са необходими по-строги правила за предотвратяване на евентуални манипулации.</w:t>
      </w:r>
    </w:p>
    <w:p>
      <w:pPr>
        <w:rPr>
          <w:noProof/>
        </w:rPr>
      </w:pPr>
      <w:r>
        <w:rPr>
          <w:b/>
          <w:noProof/>
        </w:rPr>
        <w:t>Групата „Кодекс за поведение при данъчното облагане на предприятията“</w:t>
      </w:r>
      <w:r>
        <w:rPr>
          <w:rStyle w:val="FootnoteReference"/>
          <w:b/>
          <w:noProof/>
        </w:rPr>
        <w:footnoteReference w:id="7"/>
      </w:r>
      <w:r>
        <w:rPr>
          <w:noProof/>
        </w:rPr>
        <w:t xml:space="preserve"> установи процес на наблюдение, който да гарантира, че държавите членки прилагат преразгледания подход към т. нар. „патентни кутии“. Ако новият подход не се използва по адекватен начин, Комисията ще обмисли въвеждането на законодателни разпоредби, които да осигурят правилното му прилагане.</w:t>
      </w:r>
    </w:p>
    <w:p>
      <w:pPr>
        <w:rPr>
          <w:noProof/>
        </w:rPr>
      </w:pPr>
      <w:r>
        <w:rPr>
          <w:noProof/>
        </w:rPr>
        <w:t xml:space="preserve">Министрите на финансите на държавите — членки на ЕС, обсъдиха ефективното данъчно облагане и се споразумяха в краткосрочен план да съсредоточат усилията си върху добавянето в </w:t>
      </w:r>
      <w:r>
        <w:rPr>
          <w:b/>
          <w:noProof/>
        </w:rPr>
        <w:t>Директивата относно лихвите и авторските и лицензионните възнаграждения</w:t>
      </w:r>
      <w:r>
        <w:rPr>
          <w:rStyle w:val="FootnoteReference"/>
          <w:b/>
          <w:noProof/>
        </w:rPr>
        <w:footnoteReference w:id="8"/>
      </w:r>
      <w:r>
        <w:rPr>
          <w:noProof/>
        </w:rPr>
        <w:t xml:space="preserve"> на нова разпоредба срещу злоупотребите. Работата в тази насока продължава и Комисията е уверена, че може да се постигне съгласие.</w:t>
      </w:r>
    </w:p>
    <w:p>
      <w:pPr>
        <w:rPr>
          <w:noProof/>
        </w:rPr>
      </w:pPr>
      <w:r>
        <w:rPr>
          <w:b/>
          <w:noProof/>
        </w:rPr>
        <w:t>Сега Европа има възможност да отбележи още по-голям напредък в някои области и да предприеме действия по отношение на други структури за агресивно данъчно планиране, които бяха предмет на обсъждане както в рамките на ОИСР, така и между институциите.</w:t>
      </w:r>
      <w:r>
        <w:rPr>
          <w:noProof/>
        </w:rPr>
        <w:t xml:space="preserve"> Тези структури са разгледани по-подробно в работния документ на службите на Комисията, който придружава настоящия пакет, и в изследването на Комисията върху агресивното данъчно планиране. Други институции на ЕС, както и ОИСР набелязаха следните потенциални допълнителни мерки, които биха спомогнали за преодоляване на проблема с агресивното данъчно планиране:</w:t>
      </w:r>
    </w:p>
    <w:p>
      <w:pPr>
        <w:numPr>
          <w:ilvl w:val="0"/>
          <w:numId w:val="30"/>
        </w:numPr>
        <w:rPr>
          <w:noProof/>
        </w:rPr>
      </w:pPr>
      <w:r>
        <w:rPr>
          <w:noProof/>
        </w:rPr>
        <w:t>да се ограничи приспадането на лихви — един от основните инструменти за прехвърляне на печалби;</w:t>
      </w:r>
    </w:p>
    <w:p>
      <w:pPr>
        <w:numPr>
          <w:ilvl w:val="0"/>
          <w:numId w:val="30"/>
        </w:numPr>
        <w:rPr>
          <w:noProof/>
        </w:rPr>
      </w:pPr>
      <w:r>
        <w:rPr>
          <w:noProof/>
        </w:rPr>
        <w:t>да се отстрани отрицателното въздействие на несъответствията при хибридни субекти и инструменти, така че те да не могат да водят до двойно данъчно необлагане;</w:t>
      </w:r>
    </w:p>
    <w:p>
      <w:pPr>
        <w:numPr>
          <w:ilvl w:val="0"/>
          <w:numId w:val="30"/>
        </w:numPr>
        <w:rPr>
          <w:noProof/>
        </w:rPr>
      </w:pPr>
      <w:r>
        <w:rPr>
          <w:noProof/>
        </w:rPr>
        <w:t>да се засили строгостта на правилата относно контролираните чуждестранни дружества, с което да се гарантира ефективното данъчно облагане на печалбите, прехвърлени в държави с ниски данъци или без данъци;</w:t>
      </w:r>
    </w:p>
    <w:p>
      <w:pPr>
        <w:numPr>
          <w:ilvl w:val="0"/>
          <w:numId w:val="30"/>
        </w:numPr>
        <w:rPr>
          <w:noProof/>
        </w:rPr>
      </w:pPr>
      <w:r>
        <w:rPr>
          <w:noProof/>
        </w:rPr>
        <w:t>да се засили строгостта на правилата относно данъчното облагане на активи, които се прехвърлят в друга държава (данъчно облагане при напускане);</w:t>
      </w:r>
    </w:p>
    <w:p>
      <w:pPr>
        <w:numPr>
          <w:ilvl w:val="0"/>
          <w:numId w:val="30"/>
        </w:numPr>
        <w:rPr>
          <w:noProof/>
        </w:rPr>
      </w:pPr>
      <w:r>
        <w:rPr>
          <w:noProof/>
        </w:rPr>
        <w:t>да се откаже освобождаването от данъчно облагане на някои трансгранични постъпления на предприятията, ако в другата държава липсва ефективно данъчно облагане (правила за преминаване от освобождаване към данъчен кредит);</w:t>
      </w:r>
    </w:p>
    <w:p>
      <w:pPr>
        <w:numPr>
          <w:ilvl w:val="0"/>
          <w:numId w:val="30"/>
        </w:numPr>
        <w:rPr>
          <w:noProof/>
        </w:rPr>
      </w:pPr>
      <w:r>
        <w:rPr>
          <w:noProof/>
        </w:rPr>
        <w:t>да се въведе общо правило против злоупотребите, което да действа в целия ЕС;</w:t>
      </w:r>
    </w:p>
    <w:p>
      <w:pPr>
        <w:numPr>
          <w:ilvl w:val="0"/>
          <w:numId w:val="30"/>
        </w:numPr>
        <w:rPr>
          <w:noProof/>
        </w:rPr>
      </w:pPr>
      <w:r>
        <w:rPr>
          <w:noProof/>
        </w:rPr>
        <w:t>да се изменят правилата така, че за дружествата да е по-трудно изкуствено да избягват качеството на данъчно задължено лице в държавите членки или да злоупотребяват с данъчните спогодби (място на стопанска дейност и злоупотреба със спогодби).</w:t>
      </w:r>
    </w:p>
    <w:p>
      <w:pPr>
        <w:rPr>
          <w:noProof/>
        </w:rPr>
      </w:pPr>
      <w:r>
        <w:rPr>
          <w:noProof/>
        </w:rPr>
        <w:t>Връзката между генерирането на печалба и данъчното облагане в ЕС ще се засили чрез един общ подход на равнище ЕС. Ето защо след публикуването на плана за действие обсъжданията в Съвета бяха насочени към намирането на общо решение на тези въпроси, а държавите членки отбелязаха сериозен напредък в това отношение. Обсъжданията получиха допълнителен импулс от докладите във връзка с BEPS, които имат отношение към някои от тези действия.</w:t>
      </w:r>
    </w:p>
    <w:p>
      <w:pPr>
        <w:rPr>
          <w:noProof/>
        </w:rPr>
      </w:pPr>
      <w:r>
        <w:rPr>
          <w:noProof/>
        </w:rPr>
        <w:t xml:space="preserve">Комисията е убедена, че общите решения, които се разискват в Съвета, ще разширят значително възможностите на държавите членки да противодействат на агресивното данъчно планиране, докато станат известни резултатите от обсъжданията на консолидираната основа за облагане с корпоративен данък. Съгласно приетия през юни план за действие Комисията следва да осигури условия консенсусът по тези въпроси да придобие задължителна правна сила. </w:t>
      </w:r>
      <w:r>
        <w:rPr>
          <w:b/>
          <w:noProof/>
        </w:rPr>
        <w:t>Поради това настоящият пакет включва директива срещу избягването на данъци, чрез която Комисията изпълнява ангажимента си да представи законодателно предложение относно елементите, които може да се въведат в законодателствата на държавите членки</w:t>
      </w:r>
      <w:r>
        <w:rPr>
          <w:noProof/>
        </w:rPr>
        <w:t>, преди да е постигнато съгласие относно консолидираната основа за облагане с корпоративен данък и преди тя да бъде въведена. Пакетът дава отговор и на резолюциите на Европейския парламент, според които Комисията трябва да представи законодателни предложения относно мерките срещу избягването на данъци.</w:t>
      </w:r>
    </w:p>
    <w:p>
      <w:pPr>
        <w:rPr>
          <w:noProof/>
        </w:rPr>
      </w:pPr>
      <w:r>
        <w:rPr>
          <w:noProof/>
        </w:rPr>
        <w:t xml:space="preserve">Някои въпроси обаче не са подходящи за включване в самостоятелна директива. По-специално, в директивата не се разглеждат въпросите, свързани с данъчните спогодби. Тъй като сега е нужен един координиран подход, чрез който да се предотвратят отрицателните последици, </w:t>
      </w:r>
      <w:r>
        <w:rPr>
          <w:b/>
          <w:noProof/>
        </w:rPr>
        <w:t>Комисията представя препоръка относно изпълнението на мерки по отношение на местата на стопанска дейност, както и доклада на Г-20 и ОИСР относно злоупотребите с данъчни спогодби</w:t>
      </w:r>
      <w:r>
        <w:rPr>
          <w:noProof/>
        </w:rPr>
        <w:t>. Във връзка с това Комисията изразява своята загриженост от факта, че докладът на Г-20 и ОИСР съдържа като възможност клаузи за ограничаване на предимствата, макар да се признава, че това може да не е целесъобразно за всички региони. Тези клаузи ограничават предимствата, произтичащи от данъчните спогодби, като в обхвата им са включени само предприятията, които се притежават от местни лица на само една държава членка, и може да се разглеждат като вредни за единния пазар, тъй като препятстват трансграничните инвестиции. Тези разпоредби може да представляват проблем за съюза на капиталовите пазари. Когато държавите членки включват в своите данъчни спогодби разпоредби, основаващи се на предвидената от Г-20 и ОИСР възможност за анализ на основната цел, те следва да се съобразяват със законодателството на ЕС. За тази цел държавите членки се приканват да използват допълнителната формулировка, включена в препоръката.</w:t>
      </w:r>
    </w:p>
    <w:p>
      <w:pPr>
        <w:rPr>
          <w:noProof/>
        </w:rPr>
      </w:pPr>
      <w:r>
        <w:rPr>
          <w:b/>
          <w:noProof/>
        </w:rPr>
        <w:t xml:space="preserve">Пакетът от мерки за борба с избягването на данъци съдържа и съобщение, в което се определят стъпките за постигане на по-координиран подход на ЕС спрямо трети държави по данъчни въпроси. </w:t>
      </w:r>
      <w:r>
        <w:rPr>
          <w:noProof/>
        </w:rPr>
        <w:t>То ще допълни вече предвидените мерки срещу избягването на данъци. В него се разглежда по какъв начин ЕС може да насърчава по-ефективно използването в световен мащаб на стандарти за добро управление и да продължи да подпомага трети държави да спазват тези стандарти.</w:t>
      </w:r>
    </w:p>
    <w:p>
      <w:pPr>
        <w:rPr>
          <w:noProof/>
        </w:rPr>
      </w:pPr>
      <w:r>
        <w:rPr>
          <w:noProof/>
        </w:rPr>
        <w:t>В съобщението се представят критериите на ЕС за добро управление, които са актуализирани в съответствие с най-новите достижения в международен план и следва да служат като основа на външната политика на ЕС по данъчни въпроси. С него се цели да се подобри начинът, по който ЕС използва международните споразумения, за да поощрява доброто управление в данъчната област и се застъпва идеята на развиващите се държави да се оказва по-голяма подкрепа в областта на данъчното облагане.</w:t>
      </w:r>
    </w:p>
    <w:p>
      <w:pPr>
        <w:rPr>
          <w:noProof/>
        </w:rPr>
      </w:pPr>
      <w:r>
        <w:rPr>
          <w:noProof/>
        </w:rPr>
        <w:t xml:space="preserve">В съответствие с ангажимента, поет в плана за действие от юни 2015 г., </w:t>
      </w:r>
      <w:r>
        <w:rPr>
          <w:b/>
          <w:noProof/>
        </w:rPr>
        <w:t>в съобщението се излага подробно новата процедура на ЕС за изготвяне на списъци на трети държави за данъчни цели</w:t>
      </w:r>
      <w:r>
        <w:rPr>
          <w:noProof/>
        </w:rPr>
        <w:t>. По този начин се отразяват редица мерки, които две комисии на Европейския парламент — Специалната комисия по данъчни постановления и други мерки, сходни по естество или въздействие, и Комисията по икономически и парични въпроси — изтъкнаха като необходими за борбата с агресивното данъчно планиране, в което участват трети държави.</w:t>
      </w:r>
    </w:p>
    <w:p>
      <w:pPr>
        <w:pStyle w:val="Heading1"/>
        <w:rPr>
          <w:noProof/>
        </w:rPr>
      </w:pPr>
      <w:r>
        <w:rPr>
          <w:noProof/>
        </w:rPr>
        <w:t>Прозрачност: осигуряване на ефективен достъп до данъчна информация</w:t>
      </w:r>
    </w:p>
    <w:p>
      <w:pPr>
        <w:rPr>
          <w:noProof/>
        </w:rPr>
      </w:pPr>
      <w:r>
        <w:rPr>
          <w:b/>
          <w:noProof/>
        </w:rPr>
        <w:t>Прозрачността има решаващо значение за гарантирането на по-справедливо данъчно облагане както в ЕС, така и в международен план.</w:t>
      </w:r>
      <w:r>
        <w:rPr>
          <w:noProof/>
        </w:rPr>
        <w:t xml:space="preserve"> За да могат да противодействат на агресивното данъчно планиране, държавите членки трябва да имат достъп до информация за данъците, платени в други юрисдикции. През март 2015 г. Комисията представи предложение за постигане на по-голяма прозрачност по отношение на данъчните администрации чрез автоматичен обмен на информация относно трансгранични данъчни становища, което беше прието от Съвета през декември 2015 г. То ще спомогне за осигуряването на по-ефективно сътрудничество между данъчните органи и ще даде възможност на правителствата да защитават по-ефикасно своите данъчни основи.</w:t>
      </w:r>
    </w:p>
    <w:p>
      <w:pPr>
        <w:rPr>
          <w:noProof/>
        </w:rPr>
      </w:pPr>
      <w:r>
        <w:rPr>
          <w:noProof/>
        </w:rPr>
        <w:t xml:space="preserve">За да се гарантира справедливото данъчно облагане в единния пазар, обаче е необходимо да се предприемат и други мерки. Въпреки че неотдавна беше прието предложението за автоматичен обмен на информация относно трансгранични данъчни становища, </w:t>
      </w:r>
      <w:r>
        <w:rPr>
          <w:b/>
          <w:noProof/>
        </w:rPr>
        <w:t>все още е възможно на данъчните администрации често да им липсват данните, които са необходими, за да се определи дали дружествата са прехвърлили изкуствено значителна част от своите приходи към юрисдикции с по-благоприятни данъчни условия, прилагайки трансферно ценообразуване или други подобни практики</w:t>
      </w:r>
      <w:r>
        <w:rPr>
          <w:noProof/>
        </w:rPr>
        <w:t>. Г-20 и ОИСР препоръчаха данъчните органи на отделните държави да обменят повече информация, в това число данни относно размера на данъка, който плаща дадено дружество, както и върху какви печалби по държави плаща този данък. Тази информация е необходима за оценка и одит на практиките, които понякога използват големите многонационални дружества.</w:t>
      </w:r>
    </w:p>
    <w:p>
      <w:pPr>
        <w:rPr>
          <w:noProof/>
        </w:rPr>
      </w:pPr>
      <w:r>
        <w:rPr>
          <w:noProof/>
        </w:rPr>
        <w:t xml:space="preserve">Тези правила следва да се прилагат по еднакъв начин в целия ЕС, за да се осигурят еднакви условия на конкуренция за всички държави членки и да се избегне административната тежест, която би възникнала, ако във всяка държава членка предприятията трябва да предоставят различна информация. </w:t>
      </w:r>
      <w:r>
        <w:rPr>
          <w:b/>
          <w:noProof/>
        </w:rPr>
        <w:t>Поради това Комисията представя предложение препоръчаното от Г-20 и ОИСР отчитане по държави да се въведе на равнището на ЕС,</w:t>
      </w:r>
      <w:r>
        <w:rPr>
          <w:noProof/>
        </w:rPr>
        <w:t xml:space="preserve"> като се изхожда от съществуващата нормативна уредба относно обмена на информация, която да се актуализира чрез изменения на Директивата относно административното сътрудничество. Включването на отчитането по държави в Директивата относно административното сътрудничество ще даде възможност на държавите членки да ползват и съществуващите ѝ разпоредби във връзка с административното сътрудничество, което ще улесни обмена на информация между данъчните администрации.</w:t>
      </w:r>
    </w:p>
    <w:p>
      <w:pPr>
        <w:rPr>
          <w:noProof/>
        </w:rPr>
      </w:pPr>
      <w:r>
        <w:rPr>
          <w:noProof/>
        </w:rPr>
        <w:t>Успоредно с това Комисията понастоящем анализира по какъв начин многонационалните дружества биха могли допълнително да оповестяват някои счетоводни и данъчни данни по държави. Засилената прозрачност в корпоративното данъчно облагане би превърнала многонационалните дружества в обект на по-строг обществен контрол, благодарение на което ще се гарантира ефективното данъчно облагане на печалбите там, където са генерирани, и ще се повиши общественото доверие. Тя може да допринесе и за по-справедливия характер на данъчната система в единния пазар, като спомогне за ограничаването на практиките за избягване на данъците и свързаните с тях данъчни стратегии на държавите членки, както и като намали несправедливите различия в третирането на многонационалните дружества и останалите дружества. Същевременно всяка инициатива в тази област трябва да отчита необходимостта да се защитават законните търговски тайни и да подкрепя еднакви условия на конкуренция за предприятията, които извършват дейност в световен мащаб. Комисията разглежда различни варианти в рамките на протичащата в момента оценка на въздействието и възнамерява след нейното приключване да представи законодателно предложение през пролетта на тази година.</w:t>
      </w:r>
    </w:p>
    <w:p>
      <w:pPr>
        <w:pStyle w:val="Heading1"/>
        <w:rPr>
          <w:noProof/>
        </w:rPr>
      </w:pPr>
      <w:r>
        <w:rPr>
          <w:noProof/>
        </w:rPr>
        <w:t>Преодоляване на риска от двойно данъчно облагане</w:t>
      </w:r>
    </w:p>
    <w:p>
      <w:pPr>
        <w:rPr>
          <w:noProof/>
        </w:rPr>
      </w:pPr>
      <w:r>
        <w:rPr>
          <w:noProof/>
        </w:rPr>
        <w:t xml:space="preserve">Комисията разбира опасенията на деловия сектор, че мерките за противодействие на агресивното данъчно планиране може непреднамерено да доведат до по-често двойно данъчно облагане или до спорове между данъчните администрации относно данъчната основа, и поради това </w:t>
      </w:r>
      <w:r>
        <w:rPr>
          <w:b/>
          <w:noProof/>
        </w:rPr>
        <w:t>мерките, които се съдържат в пакета за борба с избягването на данъци, са замислени да свеждат до минимум риска от двойно данъчно облагане</w:t>
      </w:r>
      <w:r>
        <w:rPr>
          <w:noProof/>
        </w:rPr>
        <w:t>. Директивата срещу избягването на данъци, например, пояснява, че ако прилагането на правилата води до двойно данъчно облагане, на данъкоплатците следва да се предостави данъчно облекчение за данъка, платен в другата държава. Този общ принцип при възможност се съпътства от по-конкретни правила, какъвто е примерът с разпоредбите относно контролираните чуждестранни дружества. Както е посочено в приетия през юни план за действие, Комисията освен това възнамерява да представи предложение за усъвършенстване на процедурите за решаване на спорове. Работата по оценката на въздействието на това предложение протича успешно, като целта е то да бъде представено през лятото.</w:t>
      </w:r>
    </w:p>
    <w:p>
      <w:pPr>
        <w:pStyle w:val="Heading1"/>
        <w:rPr>
          <w:noProof/>
        </w:rPr>
      </w:pPr>
      <w:r>
        <w:rPr>
          <w:noProof/>
        </w:rPr>
        <w:t>Предстоящи стъпки</w:t>
      </w:r>
    </w:p>
    <w:p>
      <w:pPr>
        <w:rPr>
          <w:noProof/>
        </w:rPr>
      </w:pPr>
      <w:r>
        <w:rPr>
          <w:noProof/>
        </w:rPr>
        <w:t>След като бъде приета, общата консолидирана основа за облагане с корпоративен данък ще ограничава агресивното данъчно планиране в ЕС. Поради това нейното въвеждане продължава да бъде цел на Комисията. Обществената консултация по преработеното предложение относно общата консолидирана основа за облагане с корпоративен данък завърши неотдавна и през есента на 2016 г. Комисията следва да приеме нови законодателни предложения. Комисията ще прикани държавите членки да приемат предложението в кратки срокове. Междувременно Европа не може да чака. Пакетът от мерки за борба с избягването на данъци представя един прагматичен подход, обединяващ основните инициативи, които са необходими за повишаване на ефективността и прозрачността на данъчното облагане в единния пазар. Той ще даде допълнителен стимул на протичащия процес на реформи, ще накара държавите да предприемат нужните мерки и ще спомогне ангажиментите, поети на високо равнище, по възможност да се претворят в законодателни действия.</w:t>
      </w:r>
    </w:p>
    <w:p>
      <w:pPr>
        <w:rPr>
          <w:noProof/>
        </w:rPr>
      </w:pPr>
      <w:r>
        <w:rPr>
          <w:noProof/>
        </w:rPr>
        <w:t>Настоящият пакет съдържа следните инициативи</w:t>
      </w:r>
      <w:r>
        <w:rPr>
          <w:rStyle w:val="FootnoteReference"/>
          <w:noProof/>
        </w:rPr>
        <w:footnoteReference w:id="9"/>
      </w:r>
      <w:r>
        <w:rPr>
          <w:noProof/>
        </w:rPr>
        <w:t>:</w:t>
      </w:r>
    </w:p>
    <w:p>
      <w:pPr>
        <w:numPr>
          <w:ilvl w:val="0"/>
          <w:numId w:val="28"/>
        </w:numPr>
        <w:rPr>
          <w:noProof/>
        </w:rPr>
      </w:pPr>
      <w:r>
        <w:rPr>
          <w:noProof/>
        </w:rPr>
        <w:t>предложение за директива срещу избягването на данъци;</w:t>
      </w:r>
    </w:p>
    <w:p>
      <w:pPr>
        <w:numPr>
          <w:ilvl w:val="0"/>
          <w:numId w:val="28"/>
        </w:numPr>
        <w:rPr>
          <w:noProof/>
        </w:rPr>
      </w:pPr>
      <w:r>
        <w:rPr>
          <w:noProof/>
        </w:rPr>
        <w:t>препоръка относно изпълнението на мерки срещу злоупотребата с данъчни спогодби;</w:t>
      </w:r>
    </w:p>
    <w:p>
      <w:pPr>
        <w:numPr>
          <w:ilvl w:val="0"/>
          <w:numId w:val="29"/>
        </w:numPr>
        <w:rPr>
          <w:noProof/>
        </w:rPr>
      </w:pPr>
      <w:r>
        <w:rPr>
          <w:noProof/>
        </w:rPr>
        <w:t>предложение за директива за въвеждане на приетите от Г-20 и ОИСР изисквания за отчитане по държави;</w:t>
      </w:r>
    </w:p>
    <w:p>
      <w:pPr>
        <w:numPr>
          <w:ilvl w:val="0"/>
          <w:numId w:val="29"/>
        </w:numPr>
        <w:rPr>
          <w:noProof/>
        </w:rPr>
      </w:pPr>
      <w:r>
        <w:rPr>
          <w:noProof/>
        </w:rPr>
        <w:t>съобщение относно външна стратегия за ефективно данъчно облагане;</w:t>
      </w:r>
    </w:p>
    <w:p>
      <w:pPr>
        <w:numPr>
          <w:ilvl w:val="0"/>
          <w:numId w:val="29"/>
        </w:numPr>
        <w:rPr>
          <w:noProof/>
        </w:rPr>
      </w:pPr>
      <w:r>
        <w:rPr>
          <w:noProof/>
        </w:rPr>
        <w:t>работен документ на службите на Комисията, който съдържа допълнителен анализ в подкрепа на тези инициативи.</w:t>
      </w:r>
    </w:p>
    <w:p>
      <w:pPr>
        <w:rPr>
          <w:noProof/>
        </w:rPr>
      </w:pPr>
      <w:r>
        <w:rPr>
          <w:noProof/>
        </w:rPr>
        <w:br/>
        <w:t>Тези инициативи отразяват задълбочените и конструктивни дискусии, проведени в Съвета, в групата „Кодекс за поведение при данъчното облагане на предприятията“</w:t>
      </w:r>
      <w:r>
        <w:rPr>
          <w:b/>
          <w:noProof/>
        </w:rPr>
        <w:t xml:space="preserve"> </w:t>
      </w:r>
      <w:r>
        <w:rPr>
          <w:noProof/>
        </w:rPr>
        <w:t>и в Платформата по въпросите на доброто управление в областта на данъчното облагане</w:t>
      </w:r>
      <w:r>
        <w:rPr>
          <w:b/>
          <w:noProof/>
        </w:rPr>
        <w:t xml:space="preserve">, </w:t>
      </w:r>
      <w:r>
        <w:rPr>
          <w:noProof/>
        </w:rPr>
        <w:t>както и публикуваните наскоро доклади на Г-20 и ОИСР във връзка с BEPS. Комисията използва като ценен източник и докладите на Европейския парламент в областта на данъчното облагане и отделя специално внимание на редица препоръки, формулирани в неговите резолюции.</w:t>
      </w:r>
    </w:p>
    <w:p>
      <w:pPr>
        <w:rPr>
          <w:noProof/>
        </w:rPr>
      </w:pPr>
      <w:r>
        <w:rPr>
          <w:noProof/>
        </w:rPr>
        <w:t>Предложените в пакета мерки са в съответствие с ангажиментите, поети от държавите членки, поради което би следвало по него бързо да се постигне съгласие. Тези мерки осигуряват рамката, която е необходима, за да се осигурят реални резултати в интерес на защитата на единния пазар, и съставляват последователен и координиран подход на ЕС към корпоративното данъчно облагане — както помежду ни, така и спрямо останалия свят. От държавите членки зависи да се възползват от предоставената възможност да преодолеят различията, които съществуват помежду им, и да допринесат за изграждането на по-справедлива и по-ефикасна данъчна система в ЕС.</w:t>
      </w: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06948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w:t>
      </w:r>
      <w:hyperlink r:id="rId1">
        <w:r>
          <w:rPr>
            <w:rStyle w:val="Hyperlink"/>
          </w:rPr>
          <w:t>http://eur-lex.europa.eu/resource.html?uri=cellar:5e1fd1b0-15b7-11e5-a342-01aa75ed71a1.0004.02/DOC_1&amp;format=PDF</w:t>
        </w:r>
      </w:hyperlink>
      <w:r>
        <w:t xml:space="preserve"> </w:t>
      </w:r>
    </w:p>
  </w:footnote>
  <w:footnote w:id="3">
    <w:p>
      <w:pPr>
        <w:pStyle w:val="FootnoteText"/>
      </w:pPr>
      <w:r>
        <w:rPr>
          <w:rStyle w:val="FootnoteReference"/>
        </w:rPr>
        <w:footnoteRef/>
      </w:r>
      <w:r>
        <w:t xml:space="preserve"> </w:t>
      </w:r>
      <w:hyperlink r:id="rId2">
        <w:r>
          <w:rPr>
            <w:rStyle w:val="Hyperlink"/>
          </w:rPr>
          <w:t>http://www.consilium.europa.eu/bg/press/press-releases/2015/12/08-ecofin-conclusions-corporate-taxation/</w:t>
        </w:r>
      </w:hyperlink>
      <w:r>
        <w:t xml:space="preserve"> </w:t>
      </w:r>
    </w:p>
  </w:footnote>
  <w:footnote w:id="4">
    <w:p>
      <w:pPr>
        <w:pStyle w:val="FootnoteText"/>
      </w:pPr>
      <w:r>
        <w:rPr>
          <w:rStyle w:val="FootnoteReference"/>
        </w:rPr>
        <w:footnoteRef/>
      </w:r>
      <w:r>
        <w:t xml:space="preserve"> </w:t>
      </w:r>
      <w:hyperlink r:id="rId3">
        <w:r>
          <w:rPr>
            <w:rStyle w:val="Hyperlink"/>
          </w:rPr>
          <w:t>http://www.oecd.org/ctp/beps.htm</w:t>
        </w:r>
      </w:hyperlink>
      <w:r>
        <w:t xml:space="preserve"> </w:t>
      </w:r>
    </w:p>
  </w:footnote>
  <w:footnote w:id="5">
    <w:p>
      <w:pPr>
        <w:pStyle w:val="FootnoteText"/>
      </w:pPr>
      <w:r>
        <w:rPr>
          <w:rStyle w:val="FootnoteReference"/>
        </w:rPr>
        <w:footnoteRef/>
      </w:r>
      <w:r>
        <w:t xml:space="preserve"> </w:t>
      </w:r>
      <w:hyperlink r:id="rId4">
        <w:r>
          <w:rPr>
            <w:rStyle w:val="Hyperlink"/>
          </w:rPr>
          <w:t>http://eur-lex.europa.eu/LexUriServ/LexUriServ.do?uri=CELEX:32003L0049:bg:HTML</w:t>
        </w:r>
      </w:hyperlink>
    </w:p>
    <w:p>
      <w:pPr>
        <w:pStyle w:val="FootnoteText"/>
      </w:pPr>
      <w:hyperlink r:id="rId5">
        <w:r>
          <w:rPr>
            <w:rStyle w:val="Hyperlink"/>
          </w:rPr>
          <w:t>http://eur-lex.europa.eu/LexUriServ/LexUriServ.do?uri=CELEX:32003L0123:bg:HTML</w:t>
        </w:r>
      </w:hyperlink>
      <w:r>
        <w:t xml:space="preserve"> </w:t>
      </w:r>
    </w:p>
  </w:footnote>
  <w:footnote w:id="6">
    <w:p>
      <w:pPr>
        <w:pStyle w:val="FootnoteText"/>
      </w:pPr>
      <w:r>
        <w:rPr>
          <w:rStyle w:val="FootnoteReference"/>
        </w:rPr>
        <w:footnoteRef/>
      </w:r>
      <w:r>
        <w:t xml:space="preserve"> </w:t>
      </w:r>
      <w:hyperlink r:id="rId6">
        <w:r>
          <w:rPr>
            <w:rStyle w:val="Hyperlink"/>
          </w:rPr>
          <w:t>http://ec.europa.eu/taxation_customs/taxation/company_tax/transfer_pricing/forum/index_en.htm</w:t>
        </w:r>
      </w:hyperlink>
      <w:r>
        <w:t xml:space="preserve"> </w:t>
      </w:r>
    </w:p>
  </w:footnote>
  <w:footnote w:id="7">
    <w:p>
      <w:pPr>
        <w:pStyle w:val="FootnoteText"/>
      </w:pPr>
      <w:r>
        <w:rPr>
          <w:rStyle w:val="FootnoteReference"/>
        </w:rPr>
        <w:footnoteRef/>
      </w:r>
      <w:r>
        <w:t xml:space="preserve"> </w:t>
      </w:r>
      <w:hyperlink r:id="rId7">
        <w:r>
          <w:rPr>
            <w:rStyle w:val="Hyperlink"/>
          </w:rPr>
          <w:t>http://ec.europa.eu/taxation_customs/taxation/company_tax/harmful_tax_practices/index_en.htm</w:t>
        </w:r>
      </w:hyperlink>
      <w:r>
        <w:t xml:space="preserve"> </w:t>
      </w:r>
    </w:p>
  </w:footnote>
  <w:footnote w:id="8">
    <w:p>
      <w:pPr>
        <w:pStyle w:val="FootnoteText"/>
      </w:pPr>
      <w:r>
        <w:rPr>
          <w:rStyle w:val="FootnoteReference"/>
        </w:rPr>
        <w:footnoteRef/>
      </w:r>
      <w:r>
        <w:t xml:space="preserve"> </w:t>
      </w:r>
      <w:hyperlink r:id="rId8">
        <w:r>
          <w:rPr>
            <w:rStyle w:val="Hyperlink"/>
          </w:rPr>
          <w:t>http://eur-lex.europa.eu/LexUriServ/LexUriServ.do?uri=CELEX:32003L0049:bg:HTML</w:t>
        </w:r>
      </w:hyperlink>
    </w:p>
  </w:footnote>
  <w:footnote w:id="9">
    <w:p>
      <w:pPr>
        <w:pStyle w:val="FootnoteText"/>
      </w:pPr>
      <w:r>
        <w:rPr>
          <w:rStyle w:val="FootnoteReference"/>
        </w:rPr>
        <w:footnoteRef/>
      </w:r>
      <w:r>
        <w:t xml:space="preserve"> Предложените в настоящия документ мерки на Комисията са съгласувани с действащата многогодишна финансова рамка за периода 2014—2020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2FCB4146"/>
    <w:multiLevelType w:val="hybridMultilevel"/>
    <w:tmpl w:val="A322B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5943ED8"/>
    <w:multiLevelType w:val="hybridMultilevel"/>
    <w:tmpl w:val="27F8D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5">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nsid w:val="5C963D74"/>
    <w:multiLevelType w:val="hybridMultilevel"/>
    <w:tmpl w:val="A11C2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9">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1">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2">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4"/>
  </w:num>
  <w:num w:numId="5">
    <w:abstractNumId w:val="6"/>
  </w:num>
  <w:num w:numId="6">
    <w:abstractNumId w:val="13"/>
  </w:num>
  <w:num w:numId="7">
    <w:abstractNumId w:val="20"/>
  </w:num>
  <w:num w:numId="8">
    <w:abstractNumId w:val="21"/>
  </w:num>
  <w:num w:numId="9">
    <w:abstractNumId w:val="10"/>
  </w:num>
  <w:num w:numId="10">
    <w:abstractNumId w:val="19"/>
  </w:num>
  <w:num w:numId="11">
    <w:abstractNumId w:val="18"/>
  </w:num>
  <w:num w:numId="12">
    <w:abstractNumId w:val="15"/>
  </w:num>
  <w:num w:numId="13">
    <w:abstractNumId w:val="16"/>
  </w:num>
  <w:num w:numId="14">
    <w:abstractNumId w:val="5"/>
  </w:num>
  <w:num w:numId="15">
    <w:abstractNumId w:val="11"/>
  </w:num>
  <w:num w:numId="16">
    <w:abstractNumId w:val="3"/>
  </w:num>
  <w:num w:numId="17">
    <w:abstractNumId w:val="7"/>
  </w:num>
  <w:num w:numId="18">
    <w:abstractNumId w:val="22"/>
  </w:num>
  <w:num w:numId="19">
    <w:abstractNumId w:val="8"/>
  </w:num>
  <w:num w:numId="20">
    <w:abstractNumId w:val="23"/>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 w:numId="28">
    <w:abstractNumId w:val="17"/>
  </w:num>
  <w:num w:numId="29">
    <w:abstractNumId w:val="9"/>
  </w:num>
  <w:num w:numId="30">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CA67CC31B47741B9B98CF4AB5568669F"/>
    <w:docVar w:name="LW_CROSSREFERENCE" w:val="{SWD(2016) 6 final}"/>
    <w:docVar w:name="LW_DocType" w:val="REP"/>
    <w:docVar w:name="LW_EMISSION" w:val="28.1.2016"/>
    <w:docVar w:name="LW_EMISSION_ISODATE" w:val="2016-01-28"/>
    <w:docVar w:name="LW_EMISSION_LOCATION" w:val="BRX"/>
    <w:docVar w:name="LW_EMISSION_PREFIX" w:val="Брюксел, "/>
    <w:docVar w:name="LW_EMISSION_SUFFIX" w:val=" \u1075?."/>
    <w:docVar w:name="LW_ID_DOCTYPE_NONLW" w:val="CP-012"/>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23"/>
    <w:docVar w:name="LW_REF.INTERNE" w:val="&lt;UNUSED&gt;"/>
    <w:docVar w:name="LW_SOUS.TITRE.OBJ.CP" w:val="&lt;UNUSED&gt;"/>
    <w:docVar w:name="LW_SUPERTITRE" w:val="&lt;UNUSED&gt;"/>
    <w:docVar w:name="LW_TITRE.OBJ.CP" w:val="\u1055?\u1072?\u1082?\u1077?\u1090? \u1086?\u1090? \u1084?\u1077?\u1088?\u1082?\u1080? \u1079?\u1072? \u1073?\u1086?\u1088?\u1073?\u1072? \u1089? \u1080?\u1079?\u1073?\u1103?\u1075?\u1074?\u1072?\u1085?\u1077?\u1090?\u1086? \u1085?\u1072? \u1076?\u1072?\u1085?\u1098?\u1094?\u1080?: \u1089?\u1083?\u1077?\u1076?\u1074?\u1072?\u1097?\u1080? \u1089?\u1090?\u1098?\u1087?\u1082?\u1080? \u1082?\u1098?\u1084? \u1077?\u1092?\u1077?\u1082?\u1090?\u1080?\u1074?\u1085?\u1086? \u1076?\u1072?\u1085?\u1098?\u1095?\u1085?\u1086? \u1086?\u1073?\u1083?\u1072?\u1075?\u1072?\u1085?\u1077? \u1080? \u1087?\u1086?-\u1075?\u1086?\u1083?\u1103?\u1084?\u1072? \u1076?\u1072?\u1085?\u1098?\u1095?\u1085?\u1072? \u1087?\u1088?\u1086?\u1079?\u1088?\u1072?\u1095?\u1085?\u1086?\u1089?\u1090? \u1074? \u1045?\u1057?"/>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99"/>
    <w:lsdException w:name="footer" w:uiPriority="99"/>
    <w:lsdException w:name="caption" w:semiHidden="0" w:unhideWhenUsed="0"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uiPriority w:val="99"/>
    <w:rPr>
      <w:sz w:val="24"/>
      <w:lang w:eastAsia="bg-BG"/>
    </w:rPr>
  </w:style>
  <w:style w:type="character" w:styleId="FootnoteReference">
    <w:name w:val="foot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semiHidden/>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99"/>
    <w:lsdException w:name="footer" w:uiPriority="99"/>
    <w:lsdException w:name="caption" w:semiHidden="0" w:unhideWhenUsed="0"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uiPriority w:val="99"/>
    <w:rPr>
      <w:sz w:val="24"/>
      <w:lang w:eastAsia="bg-BG"/>
    </w:rPr>
  </w:style>
  <w:style w:type="character" w:styleId="FootnoteReference">
    <w:name w:val="foot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semiHidden/>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xUriServ/LexUriServ.do?uri=CELEX:32003L0049:bg:HTML" TargetMode="External"/><Relationship Id="rId3" Type="http://schemas.openxmlformats.org/officeDocument/2006/relationships/hyperlink" Target="http://www.oecd.org/ctp/beps.htm" TargetMode="External"/><Relationship Id="rId7" Type="http://schemas.openxmlformats.org/officeDocument/2006/relationships/hyperlink" Target="http://ec.europa.eu/taxation_customs/taxation/company_tax/harmful_tax_practices/index_en.htm" TargetMode="External"/><Relationship Id="rId2" Type="http://schemas.openxmlformats.org/officeDocument/2006/relationships/hyperlink" Target="http://www.consilium.europa.eu/bg/press/press-releases/2015/12/08-ecofin-conclusions-corporate-taxation/" TargetMode="External"/><Relationship Id="rId1" Type="http://schemas.openxmlformats.org/officeDocument/2006/relationships/hyperlink" Target="http://eur-lex.europa.eu/resource.html?uri=cellar:5e1fd1b0-15b7-11e5-a342-01aa75ed71a1.0004.02/DOC_1&amp;format=PDF" TargetMode="External"/><Relationship Id="rId6" Type="http://schemas.openxmlformats.org/officeDocument/2006/relationships/hyperlink" Target="http://ec.europa.eu/taxation_customs/taxation/company_tax/transfer_pricing/forum/index_en.htm" TargetMode="External"/><Relationship Id="rId5" Type="http://schemas.openxmlformats.org/officeDocument/2006/relationships/hyperlink" Target="http://eur-lex.europa.eu/LexUriServ/LexUriServ.do?uri=CELEX:32003L0123:bg:HTML" TargetMode="External"/><Relationship Id="rId4" Type="http://schemas.openxmlformats.org/officeDocument/2006/relationships/hyperlink" Target="http://eur-lex.europa.eu/LexUriServ/LexUriServ.do?uri=CELEX:32003L0049:bg: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9EB7B-F592-4038-B632-22BA269A8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75</TotalTime>
  <Pages>11</Pages>
  <Words>3964</Words>
  <Characters>23550</Characters>
  <Application>Microsoft Office Word</Application>
  <DocSecurity>0</DocSecurity>
  <PresentationFormat>Microsoft Word 14.0</PresentationFormat>
  <Lines>406</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42</cp:revision>
  <cp:lastPrinted>2016-01-19T10:31:00Z</cp:lastPrinted>
  <dcterms:created xsi:type="dcterms:W3CDTF">2016-01-22T08:23:00Z</dcterms:created>
  <dcterms:modified xsi:type="dcterms:W3CDTF">2016-01-29T11:32:00Z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Bert Zuijdendorp</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