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9A" w:rsidRDefault="00867678" w:rsidP="0086767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5A61D6B3B904AE384B041644EBF88D7" style="width:450.7pt;height:352.5pt">
            <v:imagedata r:id="rId9" o:title=""/>
          </v:shape>
        </w:pict>
      </w:r>
    </w:p>
    <w:p w:rsidR="00C0119A" w:rsidRDefault="00C0119A">
      <w:pPr>
        <w:rPr>
          <w:noProof/>
        </w:rPr>
        <w:sectPr w:rsidR="00C0119A" w:rsidSect="0086767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0119A" w:rsidRDefault="00867678">
      <w:pPr>
        <w:pStyle w:val="Exposdesmotifstitre"/>
        <w:rPr>
          <w:noProof/>
        </w:rPr>
      </w:pPr>
      <w:bookmarkStart w:id="0" w:name="_GoBack"/>
      <w:bookmarkEnd w:id="0"/>
      <w:r>
        <w:rPr>
          <w:noProof/>
        </w:rPr>
        <w:lastRenderedPageBreak/>
        <w:t>ОБЯСНИТЕЛЕН МЕМОРАНДУМ</w:t>
      </w:r>
      <w:r>
        <w:rPr>
          <w:noProof/>
        </w:rPr>
        <w:br/>
      </w:r>
    </w:p>
    <w:p w:rsidR="00C0119A" w:rsidRDefault="00867678">
      <w:pPr>
        <w:pStyle w:val="ManualHeading1"/>
        <w:rPr>
          <w:noProof/>
        </w:rPr>
      </w:pPr>
      <w:r>
        <w:rPr>
          <w:noProof/>
        </w:rPr>
        <w:t>1.</w:t>
      </w:r>
      <w:r>
        <w:rPr>
          <w:noProof/>
        </w:rPr>
        <w:tab/>
        <w:t>КОНТЕКСТ НА ПРЕДЛОЖЕНИЕТО</w:t>
      </w:r>
    </w:p>
    <w:p w:rsidR="00C0119A" w:rsidRDefault="00867678">
      <w:pPr>
        <w:pStyle w:val="ManualHeading2"/>
        <w:rPr>
          <w:rFonts w:eastAsia="Arial Unicode MS"/>
          <w:noProof/>
        </w:rPr>
      </w:pPr>
      <w:r>
        <w:rPr>
          <w:noProof/>
        </w:rPr>
        <w:t>•</w:t>
      </w:r>
      <w:r>
        <w:rPr>
          <w:noProof/>
        </w:rPr>
        <w:tab/>
        <w:t>Мотиви и цели на предложението</w:t>
      </w:r>
    </w:p>
    <w:p w:rsidR="00C0119A" w:rsidRDefault="00867678">
      <w:pPr>
        <w:spacing w:after="0"/>
        <w:rPr>
          <w:rFonts w:eastAsia="Times New Roman"/>
          <w:noProof/>
        </w:rPr>
      </w:pPr>
      <w:r>
        <w:rPr>
          <w:noProof/>
        </w:rPr>
        <w:t xml:space="preserve">В заключенията си </w:t>
      </w:r>
      <w:r>
        <w:rPr>
          <w:noProof/>
        </w:rPr>
        <w:t>от 18 декември 2014 г. Европейският съвет подчертава, че „спешно е необходимо да се активизират усилията в борбата с избягването на данъци и с агресивното данъчно планиране, както на световно равнище, така и на равнище ЕС“. От декември 2014 г. Комисията да</w:t>
      </w:r>
      <w:r>
        <w:rPr>
          <w:noProof/>
        </w:rPr>
        <w:t>де бърз старт на първите мерки, насочени към възприемането на европейски подход. В същото време ОИСР приключи работата си по определянето в световен мащаб на правилата и стандартите, свързани с тези цели.</w:t>
      </w:r>
    </w:p>
    <w:p w:rsidR="00C0119A" w:rsidRDefault="00867678">
      <w:pPr>
        <w:spacing w:after="0"/>
        <w:rPr>
          <w:rFonts w:eastAsia="Times New Roman"/>
          <w:noProof/>
        </w:rPr>
      </w:pPr>
      <w:r>
        <w:rPr>
          <w:noProof/>
        </w:rPr>
        <w:t>С настоящата директива за изменение на Директива 20</w:t>
      </w:r>
      <w:r>
        <w:rPr>
          <w:noProof/>
        </w:rPr>
        <w:t>11/16/ЕС на Съвета, която е част от пакета на Комисията за борба с избягването на данъци, се дава отговор на политическия приоритет за борба с избягването на данъци и с агресивното данъчно планиране. Предложението е в отговор и на исканията, отправени от с</w:t>
      </w:r>
      <w:r>
        <w:rPr>
          <w:noProof/>
        </w:rPr>
        <w:t>трана на Европейския парламент. То е в съответствие с инициативите, обявени в Плана за действие на Комисията за по-справедлива система за корпоративно данъчно облагане (COM (2015) 302) с цел борба с избягването на данъчно облагане.</w:t>
      </w:r>
    </w:p>
    <w:p w:rsidR="00C0119A" w:rsidRDefault="00867678">
      <w:pPr>
        <w:spacing w:after="0"/>
        <w:rPr>
          <w:rFonts w:eastAsia="Times New Roman"/>
          <w:noProof/>
        </w:rPr>
      </w:pPr>
      <w:r>
        <w:rPr>
          <w:noProof/>
        </w:rPr>
        <w:t>Предприятията традиционн</w:t>
      </w:r>
      <w:r>
        <w:rPr>
          <w:noProof/>
        </w:rPr>
        <w:t xml:space="preserve">о разглеждат данъчното планиране като легитимна дейност въз основа на схващането, че за целта те използват законни механизми, за да намалят данъчните си задължения. Същевременно през последните години данъчното планиране става все по-усложнено, развива се </w:t>
      </w:r>
      <w:r>
        <w:rPr>
          <w:noProof/>
        </w:rPr>
        <w:t>и обхваща различни юрисдикции, като пренасочва облагаемите печалби към държави с благоприятни данъчни режими. Този „агресивен“ начин на данъчно планиране може да приема разнообразни форми, като например използване на техническите аспекти на данъчната систе</w:t>
      </w:r>
      <w:r>
        <w:rPr>
          <w:noProof/>
        </w:rPr>
        <w:t>ма или на несъответствията между две или повече данъчни системи с цел намаляване или избягване на данъчните задължения. В резултат на това може да се стигне до двойно приспадане (например един и същ разход се приспада както в държавата на източника, така и</w:t>
      </w:r>
      <w:r>
        <w:rPr>
          <w:noProof/>
        </w:rPr>
        <w:t xml:space="preserve"> в държавата, на която дружеството е местно лице), а също и до двойно данъчно необлагане (например даден доход не се облага с данък нито в държавата на източника, нито в държавата, на която получателят е местно лице).</w:t>
      </w:r>
    </w:p>
    <w:p w:rsidR="00C0119A" w:rsidRDefault="00867678">
      <w:pPr>
        <w:spacing w:after="0"/>
        <w:rPr>
          <w:rFonts w:eastAsia="Times New Roman"/>
          <w:noProof/>
        </w:rPr>
      </w:pPr>
      <w:r>
        <w:rPr>
          <w:noProof/>
        </w:rPr>
        <w:t>За разлика от малките и средните предп</w:t>
      </w:r>
      <w:r>
        <w:rPr>
          <w:noProof/>
        </w:rPr>
        <w:t>риятия или отделните данъкоплатци, мултинационалните групи от предприятия се намират в изгодна позиция, която им позволява да използват съществуващите в националното и международното данъчно законодателство празноти, за да прехвърлят печалбите си от една д</w:t>
      </w:r>
      <w:r>
        <w:rPr>
          <w:noProof/>
        </w:rPr>
        <w:t>ържава в друга и по този начин да намалят своите данъчни задължения.</w:t>
      </w:r>
    </w:p>
    <w:p w:rsidR="00C0119A" w:rsidRDefault="00867678">
      <w:pPr>
        <w:spacing w:after="0"/>
        <w:rPr>
          <w:rFonts w:eastAsia="Times New Roman"/>
          <w:noProof/>
        </w:rPr>
      </w:pPr>
      <w:r>
        <w:rPr>
          <w:noProof/>
        </w:rPr>
        <w:t>Световната икономическа и финансова криза от последните години разкри пред обществото необходимостта да се гарантира, че всички данъкоплатци плащат полагащия им се дял от данъците. Това с</w:t>
      </w:r>
      <w:r>
        <w:rPr>
          <w:noProof/>
        </w:rPr>
        <w:t xml:space="preserve">ледва да доведе до по-високи данъчни приходи, които на свой ред да допринесат за намаляване на дефицита в обществения сектор в полза на всички граждани. </w:t>
      </w:r>
    </w:p>
    <w:p w:rsidR="00C0119A" w:rsidRDefault="00867678">
      <w:pPr>
        <w:spacing w:after="0"/>
        <w:rPr>
          <w:rFonts w:eastAsia="Times New Roman"/>
          <w:noProof/>
        </w:rPr>
      </w:pPr>
      <w:r>
        <w:rPr>
          <w:noProof/>
        </w:rPr>
        <w:t xml:space="preserve">В този контекст данъчните органи се нуждаят от изчерпателна и актуална информация относно структурата </w:t>
      </w:r>
      <w:r>
        <w:rPr>
          <w:noProof/>
        </w:rPr>
        <w:t>на МГП, политиката им на трансферно ценообразуване и вътрешните им сделки със свързани лица. За да се предотврати избягването на данъци и агресивното данъчно планиране, с настоящата директива по отношение на МГП се налагат изисквания за прозрачност. Изискв</w:t>
      </w:r>
      <w:r>
        <w:rPr>
          <w:noProof/>
        </w:rPr>
        <w:t xml:space="preserve">а се МГП да предоставят — ежегодно и за всяка данъчна юрисдикция, в която извършват дейност — определена информация, </w:t>
      </w:r>
      <w:r>
        <w:rPr>
          <w:noProof/>
        </w:rPr>
        <w:lastRenderedPageBreak/>
        <w:t>включително за размера на приходите, печалбата преди данъка върху дохода, платения и начисления данък върху дохода, броя на наетите лица, о</w:t>
      </w:r>
      <w:r>
        <w:rPr>
          <w:noProof/>
        </w:rPr>
        <w:t>бявения капитал, неразпределената печалба и материалните активи. Тази информация ще даде възможност на данъчните органи да противодействат на вредните данъчни практики чрез промени в законодателството или подходящи оценки на риска и данъчни одити. По-голям</w:t>
      </w:r>
      <w:r>
        <w:rPr>
          <w:noProof/>
        </w:rPr>
        <w:t xml:space="preserve">ата прозрачност би следвало да поощри МГП да плащат своя справедлив дял от данъците в държавата, в която са реализирали печалбата си. </w:t>
      </w:r>
    </w:p>
    <w:p w:rsidR="00C0119A" w:rsidRDefault="00867678">
      <w:pPr>
        <w:spacing w:after="0"/>
        <w:rPr>
          <w:rFonts w:eastAsia="Times New Roman"/>
          <w:noProof/>
        </w:rPr>
      </w:pPr>
      <w:r>
        <w:rPr>
          <w:noProof/>
        </w:rPr>
        <w:t>С новите изисквания за прозрачност административната тежест за предприятията следва да бъде минимална. МГП в ЕС принципно</w:t>
      </w:r>
      <w:r>
        <w:rPr>
          <w:noProof/>
        </w:rPr>
        <w:t xml:space="preserve"> не следва да бъдат задължени да предоставят информация на всички държави — членки на ЕС, в които осъществяват дейност, а само на данъчните органи в държавата, на която те са местни лица за данъчни цели. Според изискването в директивата, след като получат </w:t>
      </w:r>
      <w:r>
        <w:rPr>
          <w:noProof/>
        </w:rPr>
        <w:t>отчета по държави, държавите членки трябва да предоставят информацията на онези държави членки, в които съгласно информацията в отчета дружествата от МГП са местни лица за данъчни цели или подлежат на данъчно облагане по отношение на дейността, която извър</w:t>
      </w:r>
      <w:r>
        <w:rPr>
          <w:noProof/>
        </w:rPr>
        <w:t>шват чрез място на стопанска дейност.</w:t>
      </w:r>
    </w:p>
    <w:p w:rsidR="00C0119A" w:rsidRDefault="00867678">
      <w:pPr>
        <w:spacing w:after="0"/>
        <w:rPr>
          <w:rFonts w:eastAsia="Times New Roman"/>
          <w:noProof/>
        </w:rPr>
      </w:pPr>
      <w:r>
        <w:rPr>
          <w:noProof/>
        </w:rPr>
        <w:t>За да може както тежестта от отчитането, така и ползите за данъчните администрации да бъдат равномерно разпределени, единствено МГП, чийто общ приход на консолидирана основа е на стойност 750 000 000 EUR или повече, ще</w:t>
      </w:r>
      <w:r>
        <w:rPr>
          <w:noProof/>
        </w:rPr>
        <w:t xml:space="preserve"> бъдат задължени да предоставят отчет по държави. По оценки на Организацията за икономическо сътрудничество и развитие (ОИСР) приблизително 85 до 90 процента от МГП няма да бъдат засегнати от изискването, но онези от тях, които контролират около 90 процент</w:t>
      </w:r>
      <w:r>
        <w:rPr>
          <w:noProof/>
        </w:rPr>
        <w:t>а от корпоративните доходи, ще трябва да предоставят отчет по държави.</w:t>
      </w:r>
    </w:p>
    <w:p w:rsidR="00C0119A" w:rsidRDefault="00867678">
      <w:pPr>
        <w:rPr>
          <w:rFonts w:eastAsia="Times New Roman"/>
          <w:noProof/>
        </w:rPr>
      </w:pPr>
      <w:r>
        <w:rPr>
          <w:noProof/>
        </w:rPr>
        <w:t>Сега повече от всякога сътрудничеството между данъчните органи на държавите членки е решаващо за преодоляването на проблема с избягването на данъци и агресивното данъчно планиране. Адми</w:t>
      </w:r>
      <w:r>
        <w:rPr>
          <w:noProof/>
        </w:rPr>
        <w:t>нистративното сътрудничество между данъчните органи на държавите членки е заложено в законодателството на ЕС, в което са определени и редица инструменти, подпомагащи взаимодействието при събирането на дължимите данъчни приходи, включително при обмена на ин</w:t>
      </w:r>
      <w:r>
        <w:rPr>
          <w:noProof/>
        </w:rPr>
        <w:t>формация. ЕС обаче трябва да продължи да укрепва това сътрудничество, за да гарантира гладкото функциониране на вътрешния пазар по отношение на основните права, залегнали в Хартата на основните права на ЕС.</w:t>
      </w:r>
    </w:p>
    <w:p w:rsidR="00C0119A" w:rsidRDefault="00867678">
      <w:pPr>
        <w:spacing w:after="0"/>
        <w:rPr>
          <w:rFonts w:eastAsia="Times New Roman"/>
          <w:noProof/>
        </w:rPr>
      </w:pPr>
      <w:r>
        <w:rPr>
          <w:noProof/>
        </w:rPr>
        <w:t>С Директива 77/799/ЕИО на Съвета</w:t>
      </w:r>
      <w:r>
        <w:rPr>
          <w:rStyle w:val="FootnoteReference"/>
          <w:noProof/>
        </w:rPr>
        <w:footnoteReference w:id="1"/>
      </w:r>
      <w:r>
        <w:rPr>
          <w:noProof/>
        </w:rPr>
        <w:t xml:space="preserve"> за първи път бе</w:t>
      </w:r>
      <w:r>
        <w:rPr>
          <w:noProof/>
        </w:rPr>
        <w:t xml:space="preserve"> потърсен отговор на необходимостта от активизиране на усилията на държавите членки за взаимопомощ в областта на данъчното облагане. Тя бе заменена от Директива 2011/16/ЕС на Съвета</w:t>
      </w:r>
      <w:r>
        <w:rPr>
          <w:rStyle w:val="FootnoteReference"/>
          <w:noProof/>
        </w:rPr>
        <w:footnoteReference w:id="2"/>
      </w:r>
      <w:r>
        <w:rPr>
          <w:noProof/>
        </w:rPr>
        <w:t xml:space="preserve"> (ДАС), чиято цел бе да подобри ефективността на предходната директива. Пр</w:t>
      </w:r>
      <w:r>
        <w:rPr>
          <w:noProof/>
        </w:rPr>
        <w:t>ез последните години бяха приети две изменения на директивата с Директива 2014/107/ЕС (ДАС2) и Директива (ЕС) 2015/2376 (ДАС3), като целта бе да се осигурят допълнителни инструменти в областта на финансовите отчети, данъчните становища и предварителните сп</w:t>
      </w:r>
      <w:r>
        <w:rPr>
          <w:noProof/>
        </w:rPr>
        <w:t>оразумения за ценообразуване, посредством които данъчните органи да търсят решения на проблема с данъчните измами, отклонението от данъчно облагане и агресивното данъчно планиране.</w:t>
      </w:r>
    </w:p>
    <w:p w:rsidR="00C0119A" w:rsidRDefault="00867678">
      <w:pPr>
        <w:rPr>
          <w:rFonts w:eastAsia="Times New Roman"/>
          <w:noProof/>
        </w:rPr>
      </w:pPr>
      <w:r>
        <w:rPr>
          <w:noProof/>
        </w:rPr>
        <w:t xml:space="preserve">Целта на настоящото предложение е да се гарантира, че Директива 2011/16/ЕС </w:t>
      </w:r>
      <w:r>
        <w:rPr>
          <w:noProof/>
        </w:rPr>
        <w:t xml:space="preserve">продължава да осигурява условията, необходими за всеобхватното и ефективно административно сътрудничество между данъчните администрации, като предвижда задължителен автоматичен обмен на информация относно отчетите по държави. </w:t>
      </w:r>
    </w:p>
    <w:p w:rsidR="00C0119A" w:rsidRDefault="00867678">
      <w:pPr>
        <w:rPr>
          <w:rFonts w:eastAsia="Times New Roman"/>
          <w:noProof/>
        </w:rPr>
      </w:pPr>
      <w:r>
        <w:rPr>
          <w:noProof/>
        </w:rPr>
        <w:t>Настоящата директива е в съот</w:t>
      </w:r>
      <w:r>
        <w:rPr>
          <w:noProof/>
        </w:rPr>
        <w:t>ветствие с тенденциите в международен план. На 5 октомври 2015 г. ОИСР представи окончателните си доклади по Плана за действие срещу свиването на данъчната основа и прехвърлянето на печалби (BEPS), който е сред най-големите инициативи за промяна на съществ</w:t>
      </w:r>
      <w:r>
        <w:rPr>
          <w:noProof/>
        </w:rPr>
        <w:t>уващите данъчни норми в международен мащаб. На 15 и 16 ноември 2015 г. пакетът на ОИСР беше подкрепен от лидерите на Г-20. В резултат на работата по действие 13 от Плана за действие на ОИСР относно BEPS бе създаден набор от стандарти за предоставянето на и</w:t>
      </w:r>
      <w:r>
        <w:rPr>
          <w:noProof/>
        </w:rPr>
        <w:t>нформация във връзка с трансферното ценообразуване на МГП, включително глобалния файл, локалния файл и отчета по държави. Директивата допринася за прилагането на отчитането по държави в рамките на Съюза.</w:t>
      </w:r>
    </w:p>
    <w:p w:rsidR="00C0119A" w:rsidRDefault="00867678">
      <w:pPr>
        <w:rPr>
          <w:rFonts w:eastAsia="Times New Roman"/>
          <w:noProof/>
        </w:rPr>
      </w:pPr>
      <w:r>
        <w:rPr>
          <w:noProof/>
        </w:rPr>
        <w:t>Повечето държави членки, в качеството си на членки н</w:t>
      </w:r>
      <w:r>
        <w:rPr>
          <w:noProof/>
        </w:rPr>
        <w:t>а ОИСР, са поели ангажимент да постигнат крайните резултати, посочени в окончателните доклади по 15-те действия за борба с BEPS. Поради това за успешното функциониране на вътрешния пазар е от съществено значение държавите членки да транспонират политически</w:t>
      </w:r>
      <w:r>
        <w:rPr>
          <w:noProof/>
        </w:rPr>
        <w:t xml:space="preserve">те ангажименти, поети в рамките на BEPS, в националните си системи по съгласуван и достатъчно координиран начин. Това би следвало да е пътят, по който да се стигне до възможно най-много ползи за вътрешния пазар като цяло. В противен случай съществува риск </w:t>
      </w:r>
      <w:r>
        <w:rPr>
          <w:noProof/>
        </w:rPr>
        <w:t xml:space="preserve">едностранното изпълнение на проекта BEPS да доведе до конфликт между националните политики и до възникването на нови пречки за вътрешния пазар, който ще продължи да бъде разпокъсан на 28 части и да бъде ощетяван поради несъответствия и други изкривявания. </w:t>
      </w:r>
    </w:p>
    <w:p w:rsidR="00C0119A" w:rsidRDefault="00867678">
      <w:pPr>
        <w:rPr>
          <w:rFonts w:eastAsia="Times New Roman"/>
          <w:noProof/>
        </w:rPr>
      </w:pPr>
      <w:r>
        <w:rPr>
          <w:noProof/>
        </w:rPr>
        <w:t xml:space="preserve">Настоящата инициатива цели да уеднакви в известна степен изпълнението на дейност 13 по проекта BEPS в рамките на целия ЕС. Друга цел на директивата е да се насърчи лоялната конкуренция между различните стопански субекти, като в крайна сметка се предпазят </w:t>
      </w:r>
      <w:r>
        <w:rPr>
          <w:noProof/>
        </w:rPr>
        <w:t>данъчните основи на държавите — членки на ЕС.</w:t>
      </w:r>
    </w:p>
    <w:p w:rsidR="00C0119A" w:rsidRDefault="00867678">
      <w:pPr>
        <w:rPr>
          <w:rFonts w:eastAsia="Times New Roman"/>
          <w:noProof/>
        </w:rPr>
      </w:pPr>
      <w:r>
        <w:rPr>
          <w:noProof/>
        </w:rPr>
        <w:t>Предложението бе изготвено по начин, който позволява автоматичният обмен на информация за отчетите по държави да се извършва въз основа на съществуващите в Директива 2011/16/ЕС норми относно практическите догов</w:t>
      </w:r>
      <w:r>
        <w:rPr>
          <w:noProof/>
        </w:rPr>
        <w:t xml:space="preserve">орености за обмена на информация, включително използването на стандартни формуляри. </w:t>
      </w:r>
    </w:p>
    <w:p w:rsidR="00C0119A" w:rsidRDefault="00867678">
      <w:pPr>
        <w:rPr>
          <w:rFonts w:eastAsia="Times New Roman"/>
          <w:noProof/>
        </w:rPr>
      </w:pPr>
      <w:bookmarkStart w:id="1" w:name="_Toc365037718"/>
      <w:bookmarkStart w:id="2" w:name="_Toc343094535"/>
      <w:bookmarkEnd w:id="1"/>
      <w:bookmarkEnd w:id="2"/>
      <w:r>
        <w:rPr>
          <w:noProof/>
        </w:rPr>
        <w:t>Ангажиментът на Комисията да изготви такова предложение за автоматичен обмен на информация относно отчитането по държави е включен в работната ѝ програма за 2016 г</w:t>
      </w:r>
      <w:r>
        <w:rPr>
          <w:rStyle w:val="FootnoteReference"/>
          <w:noProof/>
        </w:rPr>
        <w:footnoteReference w:id="3"/>
      </w:r>
      <w:r>
        <w:rPr>
          <w:noProof/>
        </w:rPr>
        <w:t>.</w:t>
      </w:r>
    </w:p>
    <w:p w:rsidR="00C0119A" w:rsidRDefault="00C0119A">
      <w:pPr>
        <w:rPr>
          <w:rFonts w:eastAsia="Times New Roman"/>
          <w:noProof/>
        </w:rPr>
      </w:pPr>
    </w:p>
    <w:p w:rsidR="00C0119A" w:rsidRDefault="00867678">
      <w:pPr>
        <w:pStyle w:val="ManualHeading2"/>
        <w:rPr>
          <w:rFonts w:eastAsia="Arial Unicode MS"/>
          <w:noProof/>
          <w:bdr w:val="none" w:sz="0" w:space="0" w:color="auto" w:frame="1"/>
        </w:rPr>
      </w:pPr>
      <w:r>
        <w:rPr>
          <w:noProof/>
        </w:rPr>
        <w:t>•</w:t>
      </w:r>
      <w:r>
        <w:rPr>
          <w:noProof/>
        </w:rPr>
        <w:tab/>
        <w:t>Съ</w:t>
      </w:r>
      <w:r>
        <w:rPr>
          <w:noProof/>
        </w:rPr>
        <w:t>гласуваност със съществуващите разпоредби в тази област на политиката</w:t>
      </w:r>
    </w:p>
    <w:p w:rsidR="00C0119A" w:rsidRDefault="00867678">
      <w:pPr>
        <w:keepNext/>
        <w:tabs>
          <w:tab w:val="left" w:pos="850"/>
        </w:tabs>
        <w:outlineLvl w:val="1"/>
        <w:rPr>
          <w:rFonts w:eastAsia="Times New Roman"/>
          <w:b/>
          <w:noProof/>
        </w:rPr>
      </w:pPr>
      <w:r>
        <w:rPr>
          <w:b/>
          <w:noProof/>
        </w:rPr>
        <w:t>Пакет от мерки за данъчна прозрачност (COM (2015) 136)</w:t>
      </w:r>
    </w:p>
    <w:p w:rsidR="00C0119A" w:rsidRDefault="00867678">
      <w:pPr>
        <w:rPr>
          <w:noProof/>
        </w:rPr>
      </w:pPr>
      <w:r>
        <w:rPr>
          <w:noProof/>
        </w:rPr>
        <w:t>Пакетът обхваща два основни елемента: i) предложение за въвеждане на автоматичен обмен на информация между държавите членки относно</w:t>
      </w:r>
      <w:r>
        <w:rPr>
          <w:noProof/>
        </w:rPr>
        <w:t xml:space="preserve"> данъчните им становища ii) информация от страна на Комисията във връзка с провежданата от нея оценка на необходимостта от въвеждане на допълнителни изисквания за оповестяване на някои видове корпоративна данъчна информация.</w:t>
      </w:r>
    </w:p>
    <w:p w:rsidR="00C0119A" w:rsidRDefault="00867678">
      <w:pPr>
        <w:rPr>
          <w:noProof/>
        </w:rPr>
      </w:pPr>
      <w:r>
        <w:rPr>
          <w:noProof/>
        </w:rPr>
        <w:t>Настоящото предложение не изклю</w:t>
      </w:r>
      <w:r>
        <w:rPr>
          <w:noProof/>
        </w:rPr>
        <w:t>чва възможността в бъдеще Комисията да направи предложение за налагане на дружествата на задължения за публично оповестяване.</w:t>
      </w:r>
    </w:p>
    <w:p w:rsidR="00C0119A" w:rsidRDefault="00867678">
      <w:pPr>
        <w:rPr>
          <w:b/>
          <w:noProof/>
        </w:rPr>
      </w:pPr>
      <w:r>
        <w:rPr>
          <w:b/>
          <w:noProof/>
        </w:rPr>
        <w:t>План за действие на Комисията за по-справедлива система за корпоративно данъчно облагане (COM (2015) 302)</w:t>
      </w:r>
    </w:p>
    <w:p w:rsidR="00C0119A" w:rsidRDefault="00867678">
      <w:pPr>
        <w:rPr>
          <w:noProof/>
        </w:rPr>
      </w:pPr>
      <w:r>
        <w:rPr>
          <w:noProof/>
        </w:rPr>
        <w:t>Настоящото предложение е</w:t>
      </w:r>
      <w:r>
        <w:rPr>
          <w:noProof/>
        </w:rPr>
        <w:t xml:space="preserve"> в съответствие с инициативите, обявени в Плана за действие по отношение на борбата с избягването на данъци.</w:t>
      </w:r>
    </w:p>
    <w:p w:rsidR="00C0119A" w:rsidRDefault="00867678">
      <w:pPr>
        <w:pStyle w:val="ManualHeading1"/>
        <w:rPr>
          <w:noProof/>
        </w:rPr>
      </w:pPr>
      <w:r>
        <w:rPr>
          <w:noProof/>
        </w:rPr>
        <w:t>2.</w:t>
      </w:r>
      <w:r>
        <w:rPr>
          <w:noProof/>
        </w:rPr>
        <w:tab/>
        <w:t>ПРАВНО ОСНОВАНИЕ, СУБСИДИАРНОСТ И ПРОПОРЦИОНАЛНОСТ</w:t>
      </w:r>
    </w:p>
    <w:p w:rsidR="00C0119A" w:rsidRDefault="00867678">
      <w:pPr>
        <w:pStyle w:val="ManualHeading2"/>
        <w:rPr>
          <w:rFonts w:eastAsia="Arial Unicode MS"/>
          <w:noProof/>
          <w:bdr w:val="none" w:sz="0" w:space="0" w:color="auto" w:frame="1"/>
        </w:rPr>
      </w:pPr>
      <w:r>
        <w:rPr>
          <w:noProof/>
        </w:rPr>
        <w:t>•</w:t>
      </w:r>
      <w:r>
        <w:rPr>
          <w:noProof/>
        </w:rPr>
        <w:tab/>
        <w:t>Правно основание</w:t>
      </w:r>
    </w:p>
    <w:p w:rsidR="00C0119A" w:rsidRDefault="00867678">
      <w:pPr>
        <w:rPr>
          <w:rFonts w:eastAsia="Times New Roman"/>
          <w:noProof/>
        </w:rPr>
      </w:pPr>
      <w:r>
        <w:rPr>
          <w:noProof/>
        </w:rPr>
        <w:t>С предложението се изменя Директива 2011/16/ЕС,  изменена с Директива 2014</w:t>
      </w:r>
      <w:r>
        <w:rPr>
          <w:noProof/>
        </w:rPr>
        <w:t>/107/ЕС</w:t>
      </w:r>
      <w:r>
        <w:rPr>
          <w:rStyle w:val="FootnoteReference"/>
          <w:noProof/>
        </w:rPr>
        <w:footnoteReference w:id="4"/>
      </w:r>
      <w:r>
        <w:rPr>
          <w:noProof/>
        </w:rPr>
        <w:t xml:space="preserve"> и с Директива (ЕС) 2015/2376 на Съвета</w:t>
      </w:r>
      <w:r>
        <w:rPr>
          <w:rStyle w:val="FootnoteReference"/>
          <w:noProof/>
        </w:rPr>
        <w:footnoteReference w:id="5"/>
      </w:r>
      <w:r>
        <w:rPr>
          <w:noProof/>
        </w:rPr>
        <w:t>, като се въвежда специфично изискване за автоматичен обмен на информация относно отчитането по държави.</w:t>
      </w:r>
    </w:p>
    <w:p w:rsidR="00C0119A" w:rsidRDefault="00867678">
      <w:pPr>
        <w:rPr>
          <w:rFonts w:eastAsia="Times New Roman"/>
          <w:noProof/>
        </w:rPr>
      </w:pPr>
      <w:r>
        <w:rPr>
          <w:noProof/>
        </w:rPr>
        <w:t>Измененията се съдържат в член 1 от предложението. Те включват по-специално:</w:t>
      </w:r>
    </w:p>
    <w:p w:rsidR="00C0119A" w:rsidRDefault="00867678">
      <w:pPr>
        <w:rPr>
          <w:rFonts w:eastAsia="Times New Roman"/>
          <w:noProof/>
        </w:rPr>
      </w:pPr>
      <w:r>
        <w:rPr>
          <w:noProof/>
        </w:rPr>
        <w:t>Член 3 (Определения) се из</w:t>
      </w:r>
      <w:r>
        <w:rPr>
          <w:noProof/>
        </w:rPr>
        <w:t xml:space="preserve">меня. </w:t>
      </w:r>
    </w:p>
    <w:p w:rsidR="00C0119A" w:rsidRDefault="00867678">
      <w:pPr>
        <w:rPr>
          <w:rFonts w:eastAsia="Times New Roman"/>
          <w:noProof/>
        </w:rPr>
      </w:pPr>
      <w:r>
        <w:rPr>
          <w:noProof/>
        </w:rPr>
        <w:t xml:space="preserve">В член 8аа от държавите членки се изисква да въведат задължение за МГП да представят съответната информация (отчета по държави), като автоматично обменят получената информация с другите заинтересовани държави членки.  </w:t>
      </w:r>
    </w:p>
    <w:p w:rsidR="00C0119A" w:rsidRDefault="00867678">
      <w:pPr>
        <w:rPr>
          <w:rFonts w:eastAsia="Times New Roman"/>
          <w:noProof/>
        </w:rPr>
      </w:pPr>
      <w:r>
        <w:rPr>
          <w:noProof/>
        </w:rPr>
        <w:t>В член 20, параграф 6 за целит</w:t>
      </w:r>
      <w:r>
        <w:rPr>
          <w:noProof/>
        </w:rPr>
        <w:t>е на обмена е предвидено използването на стандартен формуляр, а в член 21, параграф 7 се определени практическите договорености.</w:t>
      </w:r>
    </w:p>
    <w:p w:rsidR="00C0119A" w:rsidRDefault="00867678">
      <w:pPr>
        <w:rPr>
          <w:rFonts w:eastAsia="Times New Roman"/>
          <w:noProof/>
        </w:rPr>
      </w:pPr>
      <w:r>
        <w:rPr>
          <w:noProof/>
        </w:rPr>
        <w:t>Добавен е нов член 25а относно санкциите.</w:t>
      </w:r>
    </w:p>
    <w:p w:rsidR="00C0119A" w:rsidRDefault="00867678">
      <w:pPr>
        <w:rPr>
          <w:rFonts w:eastAsia="Times New Roman"/>
          <w:noProof/>
        </w:rPr>
      </w:pPr>
      <w:r>
        <w:rPr>
          <w:noProof/>
        </w:rPr>
        <w:t>Добавено е и ново приложение, в което са посочени определенията, приложими по отношен</w:t>
      </w:r>
      <w:r>
        <w:rPr>
          <w:noProof/>
        </w:rPr>
        <w:t xml:space="preserve">ие на предложението, задълженията за МГП, а също и образците за обмен на информация. </w:t>
      </w:r>
    </w:p>
    <w:p w:rsidR="00C0119A" w:rsidRDefault="00867678">
      <w:pPr>
        <w:pStyle w:val="ManualHeading2"/>
        <w:rPr>
          <w:rFonts w:eastAsia="Arial Unicode MS"/>
          <w:noProof/>
          <w:bdr w:val="none" w:sz="0" w:space="0" w:color="auto" w:frame="1"/>
        </w:rPr>
      </w:pPr>
      <w:r>
        <w:rPr>
          <w:noProof/>
        </w:rPr>
        <w:t>•</w:t>
      </w:r>
      <w:r>
        <w:rPr>
          <w:noProof/>
        </w:rPr>
        <w:tab/>
        <w:t xml:space="preserve">Субсидиарност (при неизключителна компетентност) </w:t>
      </w:r>
    </w:p>
    <w:p w:rsidR="00C0119A" w:rsidRDefault="00867678">
      <w:pPr>
        <w:rPr>
          <w:rFonts w:eastAsia="Times New Roman"/>
          <w:noProof/>
        </w:rPr>
      </w:pPr>
      <w:r>
        <w:rPr>
          <w:noProof/>
        </w:rPr>
        <w:t>Предметът на измененията попада в обхвата на правното основание на Директива 2011/16/ЕС — член 115 от Договора за функ</w:t>
      </w:r>
      <w:r>
        <w:rPr>
          <w:noProof/>
        </w:rPr>
        <w:t>ционирането на Европейския съюз (ДФЕС), чиито разпоредби са насочени към гладкото функциониране на вътрешния пазар. В член 115 от ДФЕС се предвижда сближаването на онези разпоредби, предвидени в закони, подзаконови или административни актове на държавите ч</w:t>
      </w:r>
      <w:r>
        <w:rPr>
          <w:noProof/>
        </w:rPr>
        <w:t>ленки, които пряко се отнасят до създаването или функционирането на вътрешния пазар и пораждат необходимост от сближаване на законодателството.</w:t>
      </w:r>
    </w:p>
    <w:p w:rsidR="00C0119A" w:rsidRDefault="00867678">
      <w:pPr>
        <w:rPr>
          <w:rFonts w:eastAsia="Times New Roman"/>
          <w:noProof/>
        </w:rPr>
      </w:pPr>
      <w:r>
        <w:rPr>
          <w:noProof/>
        </w:rPr>
        <w:t>За да обезпечи гладкото функциониране на вътрешния пазар, ЕС трябва да гарантира лоялна конкуренция и равнопоста</w:t>
      </w:r>
      <w:r>
        <w:rPr>
          <w:noProof/>
        </w:rPr>
        <w:t>веност между малките и средните предприятия и европейските и неевропейските МГП. Възможностите на МГП да използват практики за агресивно данъчно планиране произтичат от трансграничния мащаб на тяхната дейност. Затова задължението за отчитане следва да важи</w:t>
      </w:r>
      <w:r>
        <w:rPr>
          <w:noProof/>
        </w:rPr>
        <w:t xml:space="preserve"> за всички мултинационални предприятия, които са част от европейски и неевропейски групи. Без този елемент инициативата ще бъде по-малко ефективна при постигането на крайната цел, а именно осигуряване на гладкото функциониране на вътрешния пазар.</w:t>
      </w:r>
    </w:p>
    <w:p w:rsidR="00C0119A" w:rsidRDefault="00867678">
      <w:pPr>
        <w:rPr>
          <w:rFonts w:eastAsia="Times New Roman"/>
          <w:noProof/>
        </w:rPr>
      </w:pPr>
      <w:r>
        <w:rPr>
          <w:noProof/>
        </w:rPr>
        <w:t>Настоящот</w:t>
      </w:r>
      <w:r>
        <w:rPr>
          <w:noProof/>
        </w:rPr>
        <w:t>о предложение е съобразено с принципа на субсидиарност, определен в член 5, параграф 3 от Договора за Европейския съюз.</w:t>
      </w:r>
    </w:p>
    <w:p w:rsidR="00C0119A" w:rsidRDefault="00867678">
      <w:pPr>
        <w:rPr>
          <w:rFonts w:eastAsia="Times New Roman"/>
          <w:noProof/>
        </w:rPr>
      </w:pPr>
      <w:r>
        <w:rPr>
          <w:noProof/>
        </w:rPr>
        <w:t xml:space="preserve">Следователно достъпът на държавите членки до отчитането по държави може да бъде осигурен по ефективен начин единствено чрез действие на </w:t>
      </w:r>
      <w:r>
        <w:rPr>
          <w:noProof/>
        </w:rPr>
        <w:t>равнището на Съюза. Целта — а именно всички държави членки да получават отчетите по държави — не може да бъде постигната в достатъчна степен чрез некоординирани действия, предприемани самостоятелно от всяка държава членка. Освен това, за да бъде възможен о</w:t>
      </w:r>
      <w:r>
        <w:rPr>
          <w:noProof/>
        </w:rPr>
        <w:t>бмен на информация, която потенциално оказва влияние върху данъчните основи на повече от една държава членка, е необходимо да се възприеме общ подход, който да бъде задължителен. Следва да се отбележи, че тъй като МГП обикновено упражняват дейност в различ</w:t>
      </w:r>
      <w:r>
        <w:rPr>
          <w:noProof/>
        </w:rPr>
        <w:t>ни държави членки, настоящото предложение се характеризира с трансграничен елемент.</w:t>
      </w:r>
    </w:p>
    <w:p w:rsidR="00C0119A" w:rsidRDefault="00867678">
      <w:pPr>
        <w:pStyle w:val="ManualHeading2"/>
        <w:rPr>
          <w:rFonts w:eastAsia="Arial Unicode MS"/>
          <w:noProof/>
          <w:bdr w:val="none" w:sz="0" w:space="0" w:color="auto" w:frame="1"/>
        </w:rPr>
      </w:pPr>
      <w:r>
        <w:rPr>
          <w:noProof/>
        </w:rPr>
        <w:t>•</w:t>
      </w:r>
      <w:r>
        <w:rPr>
          <w:noProof/>
        </w:rPr>
        <w:tab/>
        <w:t>Пропорционалност</w:t>
      </w:r>
    </w:p>
    <w:p w:rsidR="00C0119A" w:rsidRDefault="00867678">
      <w:pPr>
        <w:rPr>
          <w:rFonts w:eastAsia="Times New Roman"/>
          <w:noProof/>
        </w:rPr>
      </w:pPr>
      <w:r>
        <w:rPr>
          <w:noProof/>
        </w:rPr>
        <w:t xml:space="preserve">Конкретният проблем, който беше установен и за който е необходимо да се намери решение в рамките на политиката, е липсата на прозрачност по отношение на </w:t>
      </w:r>
      <w:r>
        <w:rPr>
          <w:noProof/>
        </w:rPr>
        <w:t>корпоративните структури с трансграничен елемент и значителна по мащаб на дейност, която оказва неблагоприятен ефект, особено върху гладкото функциониране на вътрешния пазар. Решението в рамките на политиката обхваща само МГП, които извършват дейност в няк</w:t>
      </w:r>
      <w:r>
        <w:rPr>
          <w:noProof/>
        </w:rPr>
        <w:t>олко държави, както в рамките на Европейския съюз, така и в юрисдикции извън него. По този начин от гледна точка на решаването на установения проблем предложението съответства в най-голяма степен на принципа на пропорционалността. За основа се използва авт</w:t>
      </w:r>
      <w:r>
        <w:rPr>
          <w:noProof/>
        </w:rPr>
        <w:t>оматичният обмен на основна информация, чрез който става възможно всяка държава членка, в която дружеството извършва дейност, да получава информация. Следователно предложените изменения не надхвърлят действията, необходими за преодоляването на разглежданит</w:t>
      </w:r>
      <w:r>
        <w:rPr>
          <w:noProof/>
        </w:rPr>
        <w:t xml:space="preserve">е проблеми, и така допринасят за постигането на целите на Договора по отношение на гладкото и ефективно функциониране на вътрешния пазар. </w:t>
      </w:r>
    </w:p>
    <w:p w:rsidR="00C0119A" w:rsidRDefault="00867678">
      <w:pPr>
        <w:rPr>
          <w:rFonts w:eastAsia="Times New Roman"/>
          <w:noProof/>
        </w:rPr>
      </w:pPr>
      <w:r>
        <w:rPr>
          <w:noProof/>
        </w:rPr>
        <w:t>Настоящото предложение е съобразено с принципа на пропорционалност, определен в член 5, параграф 4 от Договора за Евр</w:t>
      </w:r>
      <w:r>
        <w:rPr>
          <w:noProof/>
        </w:rPr>
        <w:t>опейския съюз.</w:t>
      </w:r>
    </w:p>
    <w:p w:rsidR="00C0119A" w:rsidRDefault="00867678">
      <w:pPr>
        <w:pStyle w:val="ManualHeading2"/>
        <w:rPr>
          <w:rFonts w:eastAsia="Arial Unicode MS"/>
          <w:noProof/>
          <w:bdr w:val="none" w:sz="0" w:space="0" w:color="auto" w:frame="1"/>
        </w:rPr>
      </w:pPr>
      <w:r>
        <w:rPr>
          <w:noProof/>
        </w:rPr>
        <w:t>•</w:t>
      </w:r>
      <w:r>
        <w:rPr>
          <w:noProof/>
        </w:rPr>
        <w:tab/>
        <w:t>Избор на инструмент</w:t>
      </w:r>
    </w:p>
    <w:p w:rsidR="00C0119A" w:rsidRDefault="00867678">
      <w:pPr>
        <w:rPr>
          <w:rFonts w:eastAsia="Times New Roman"/>
          <w:noProof/>
        </w:rPr>
      </w:pPr>
      <w:r>
        <w:rPr>
          <w:noProof/>
        </w:rPr>
        <w:t xml:space="preserve">Целта на настоящото предложение е обхватът на автоматичния обмен на информация (АОИ) в ЕС да бъде разширен. Инициатива на равнището на ЕС е необходима както от гледна точка на вътрешния пазар, така и от гледна точка на ефикасността и ефективността: </w:t>
      </w:r>
    </w:p>
    <w:p w:rsidR="00C0119A" w:rsidRDefault="00867678">
      <w:pPr>
        <w:ind w:left="720" w:hanging="720"/>
        <w:rPr>
          <w:rFonts w:eastAsia="Times New Roman"/>
          <w:noProof/>
        </w:rPr>
      </w:pPr>
      <w:r>
        <w:rPr>
          <w:noProof/>
        </w:rPr>
        <w:t>–</w:t>
      </w:r>
      <w:r>
        <w:rPr>
          <w:noProof/>
        </w:rPr>
        <w:tab/>
        <w:t>така</w:t>
      </w:r>
      <w:r>
        <w:rPr>
          <w:noProof/>
        </w:rPr>
        <w:t>ва инициатива осигурява съгласуван, последователен и широкообхватен подход на ЕС по отношение на АОИ в рамките на вътрешния пазар; тя би осигурила единен за всички държави членки подход към отчитането, което на свой ред би било източник на икономии от разх</w:t>
      </w:r>
      <w:r>
        <w:rPr>
          <w:noProof/>
        </w:rPr>
        <w:t>оди както за данъчните администрации, така и за предприятията;</w:t>
      </w:r>
    </w:p>
    <w:p w:rsidR="00C0119A" w:rsidRDefault="00867678">
      <w:pPr>
        <w:ind w:left="720" w:hanging="720"/>
        <w:rPr>
          <w:rFonts w:eastAsia="Times New Roman"/>
          <w:noProof/>
        </w:rPr>
      </w:pPr>
      <w:r>
        <w:rPr>
          <w:noProof/>
        </w:rPr>
        <w:t>–</w:t>
      </w:r>
      <w:r>
        <w:rPr>
          <w:noProof/>
        </w:rPr>
        <w:tab/>
        <w:t>използването на правен инструмент на равнището на ЕС би гарантирало и сигурност за данъчните администрации и дружествата в рамките на ЕС;</w:t>
      </w:r>
    </w:p>
    <w:p w:rsidR="00C0119A" w:rsidRDefault="00867678">
      <w:pPr>
        <w:ind w:left="720" w:hanging="720"/>
        <w:rPr>
          <w:rFonts w:eastAsia="Times New Roman"/>
          <w:noProof/>
        </w:rPr>
      </w:pPr>
      <w:r>
        <w:rPr>
          <w:noProof/>
        </w:rPr>
        <w:t>–</w:t>
      </w:r>
      <w:r>
        <w:rPr>
          <w:noProof/>
        </w:rPr>
        <w:tab/>
        <w:t>такъв правен инструмент на равнището на ЕС би допри</w:t>
      </w:r>
      <w:r>
        <w:rPr>
          <w:noProof/>
        </w:rPr>
        <w:t>несъл за по-нататъшното развитие на международния стандарт за АОИ относно отчетите по държави в съответствие с обсъжданията и договореностите, постигнати в рамките на ОИСР;</w:t>
      </w:r>
    </w:p>
    <w:p w:rsidR="00C0119A" w:rsidRDefault="00867678">
      <w:pPr>
        <w:ind w:left="720" w:hanging="720"/>
        <w:rPr>
          <w:rFonts w:eastAsia="Times New Roman"/>
          <w:noProof/>
        </w:rPr>
      </w:pPr>
      <w:r>
        <w:rPr>
          <w:noProof/>
        </w:rPr>
        <w:t>–</w:t>
      </w:r>
      <w:r>
        <w:rPr>
          <w:noProof/>
        </w:rPr>
        <w:tab/>
        <w:t>за да се улесни отчитането на информацията съгласно ДАС, правният инструмент на р</w:t>
      </w:r>
      <w:r>
        <w:rPr>
          <w:noProof/>
        </w:rPr>
        <w:t>авнището на ЕС ще предполага използването на информационно-технологични решения, които вече са въведени или са в процес на разработване. Съгласно настоящата директива държавите — членки на ЕС, обменят информация в специални формати, като използват специале</w:t>
      </w:r>
      <w:r>
        <w:rPr>
          <w:noProof/>
        </w:rPr>
        <w:t>н комуникационен канал. Тези формати лесно могат да бъдат разширени, така че да бъдат използвани и за допълнителните позиции, които се предлага да бъдат включени. Тъй като държавите членки са инвестирали много време и средства при разработването на тези фо</w:t>
      </w:r>
      <w:r>
        <w:rPr>
          <w:noProof/>
        </w:rPr>
        <w:t>рмати, ще бъдат реализирани икономии от мащаба, ако те обменят информацията за новите позиции чрез вече съществуващите формати.</w:t>
      </w:r>
    </w:p>
    <w:p w:rsidR="00C0119A" w:rsidRDefault="00867678">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rsidR="00C0119A" w:rsidRDefault="00867678">
      <w:pPr>
        <w:pStyle w:val="ManualHeading2"/>
        <w:rPr>
          <w:rFonts w:eastAsia="Arial Unicode MS"/>
          <w:noProof/>
          <w:bdr w:val="none" w:sz="0" w:space="0" w:color="auto" w:frame="1"/>
        </w:rPr>
      </w:pPr>
      <w:r>
        <w:rPr>
          <w:noProof/>
        </w:rPr>
        <w:t>•</w:t>
      </w:r>
      <w:r>
        <w:rPr>
          <w:noProof/>
        </w:rPr>
        <w:tab/>
        <w:t>Консултации със заинтерес</w:t>
      </w:r>
      <w:r>
        <w:rPr>
          <w:noProof/>
        </w:rPr>
        <w:t>ованите страни</w:t>
      </w:r>
    </w:p>
    <w:p w:rsidR="00C0119A" w:rsidRDefault="00867678">
      <w:pPr>
        <w:keepNext/>
        <w:tabs>
          <w:tab w:val="left" w:pos="850"/>
        </w:tabs>
        <w:outlineLvl w:val="1"/>
        <w:rPr>
          <w:rFonts w:eastAsia="Arial Unicode MS"/>
          <w:b/>
          <w:noProof/>
          <w:bdr w:val="none" w:sz="0" w:space="0" w:color="auto" w:frame="1"/>
        </w:rPr>
      </w:pPr>
      <w:r>
        <w:rPr>
          <w:b/>
          <w:noProof/>
        </w:rPr>
        <w:t>Консултации в контекста на Плана за действие относно данъчните измами и отклонението от данъчно облагане и включените в него препоръки (COM (2012) 722), както и в рамките на други форуми</w:t>
      </w:r>
      <w:r>
        <w:rPr>
          <w:noProof/>
        </w:rPr>
        <w:tab/>
      </w:r>
    </w:p>
    <w:p w:rsidR="00C0119A" w:rsidRDefault="00867678">
      <w:pPr>
        <w:rPr>
          <w:rFonts w:eastAsia="Times New Roman"/>
          <w:noProof/>
        </w:rPr>
      </w:pPr>
      <w:r>
        <w:rPr>
          <w:noProof/>
        </w:rPr>
        <w:t>В резолюцията си от 21 май 2013 г.</w:t>
      </w:r>
      <w:r>
        <w:rPr>
          <w:rStyle w:val="FootnoteReference"/>
          <w:noProof/>
        </w:rPr>
        <w:footnoteReference w:id="6"/>
      </w:r>
      <w:r>
        <w:rPr>
          <w:noProof/>
        </w:rPr>
        <w:t xml:space="preserve"> Европейският парламент приветства Плана за действие на Комисията и включените в него препоръки и настоятелно призовава държавите членки да следват своите ангажименти и да възприемат плана за действие на Комисията; в резолюцията също така се подчертава, че</w:t>
      </w:r>
      <w:r>
        <w:rPr>
          <w:noProof/>
        </w:rPr>
        <w:t xml:space="preserve"> ЕС следва да поеме водеща роля в обсъждането в световен мащаб на борбата с данъчните измами, избягването на данъци и данъчните убежища, по-специално по отношение на популяризирането на обмена на информация.</w:t>
      </w:r>
    </w:p>
    <w:p w:rsidR="00C0119A" w:rsidRDefault="00867678">
      <w:pPr>
        <w:rPr>
          <w:rFonts w:eastAsia="Times New Roman"/>
          <w:noProof/>
        </w:rPr>
      </w:pPr>
      <w:r>
        <w:rPr>
          <w:noProof/>
        </w:rPr>
        <w:t>Европейският икономически и социален комитет при</w:t>
      </w:r>
      <w:r>
        <w:rPr>
          <w:noProof/>
        </w:rPr>
        <w:t>е становището си на 17 април 2013 г</w:t>
      </w:r>
      <w:r>
        <w:rPr>
          <w:rStyle w:val="FootnoteReference"/>
          <w:noProof/>
        </w:rPr>
        <w:footnoteReference w:id="7"/>
      </w:r>
      <w:r>
        <w:rPr>
          <w:noProof/>
        </w:rPr>
        <w:t xml:space="preserve">.  Комитетът одобрява плана за действие на Комисията и подкрепя усилията ѝ за намиране на подходящи решения, насочени към намаляване на данъчните измами и отклонението от данъчно облагане. </w:t>
      </w:r>
    </w:p>
    <w:p w:rsidR="00C0119A" w:rsidRDefault="00867678">
      <w:pPr>
        <w:rPr>
          <w:rFonts w:eastAsia="Times New Roman"/>
          <w:noProof/>
        </w:rPr>
      </w:pPr>
      <w:r>
        <w:rPr>
          <w:noProof/>
        </w:rPr>
        <w:t>През последните години държави</w:t>
      </w:r>
      <w:r>
        <w:rPr>
          <w:noProof/>
        </w:rPr>
        <w:t>те членки работиха усилено в рамките на групата „Кодекс за поведение“, за да подобрят обмена на информация относно трансграничните становища и в областта на трансферното ценообразуване. Съветът получава редовна информация под формата на доклади за заключен</w:t>
      </w:r>
      <w:r>
        <w:rPr>
          <w:noProof/>
        </w:rPr>
        <w:t>ията на тази работна група</w:t>
      </w:r>
      <w:r>
        <w:rPr>
          <w:rStyle w:val="FootnoteReference"/>
          <w:noProof/>
        </w:rPr>
        <w:footnoteReference w:id="8"/>
      </w:r>
      <w:r>
        <w:rPr>
          <w:noProof/>
        </w:rPr>
        <w:t xml:space="preserve">. </w:t>
      </w:r>
    </w:p>
    <w:p w:rsidR="00C0119A" w:rsidRDefault="00867678">
      <w:pPr>
        <w:rPr>
          <w:rFonts w:eastAsia="Times New Roman"/>
          <w:noProof/>
        </w:rPr>
      </w:pPr>
      <w:r>
        <w:rPr>
          <w:noProof/>
        </w:rPr>
        <w:t>Повечето държави членки са членки на ОИСР и са участвали в продължителните и задълбочени дискусии относно действията за борба с BEPS, проведени в периода между 2013 и 2015 г., включително в подготовката на редица технически ас</w:t>
      </w:r>
      <w:r>
        <w:rPr>
          <w:noProof/>
        </w:rPr>
        <w:t>пекти. ОИСР организира широки обществени консултации със заинтересованите страни за всяко едно от действията по проекта BEPS. Освен това Комисията е провела както вътрешни разисквания, така и обсъждания с експерти от ОИСР по редица теми от областта на BEPS</w:t>
      </w:r>
      <w:r>
        <w:rPr>
          <w:noProof/>
        </w:rPr>
        <w:t>, по-специално при съмнения относно съвместимостта на някои от идеите и/или предложените решения с правото на ЕС.</w:t>
      </w:r>
    </w:p>
    <w:p w:rsidR="00C0119A" w:rsidRDefault="00867678">
      <w:pPr>
        <w:rPr>
          <w:rFonts w:eastAsia="Times New Roman"/>
          <w:noProof/>
        </w:rPr>
      </w:pPr>
      <w:r>
        <w:rPr>
          <w:noProof/>
        </w:rPr>
        <w:t>През втората половина на 2014 г. италианското председателство на Съвета представи идеята за пътна карта на ЕС относно BEPS и насърчи постигане</w:t>
      </w:r>
      <w:r>
        <w:rPr>
          <w:noProof/>
        </w:rPr>
        <w:t>то на съгласуваност с други успоредни инициативи на ОИСР при спазване на правото на ЕС. Този подход бе одобрен от работната група на високо равнище по въпросите на данъчното облагане и бе възприет в работата на следващите председателства. Обсъжданията на п</w:t>
      </w:r>
      <w:r>
        <w:rPr>
          <w:noProof/>
        </w:rPr>
        <w:t>ътната карта на ЕС относно BEPS продължиха и през 2015 г. Целта бе да се даде принос към работата на ОИСР и да се създадат условия за безпроблемното изпълнение на бъдещите препоръки на ОИСР, като в същото време се вземат предвид особеностите на ЕС.</w:t>
      </w:r>
    </w:p>
    <w:p w:rsidR="00C0119A" w:rsidRDefault="00867678">
      <w:pPr>
        <w:rPr>
          <w:rFonts w:eastAsia="Times New Roman"/>
          <w:noProof/>
        </w:rPr>
      </w:pPr>
      <w:r>
        <w:rPr>
          <w:noProof/>
        </w:rPr>
        <w:t>Проведе</w:t>
      </w:r>
      <w:r>
        <w:rPr>
          <w:noProof/>
        </w:rPr>
        <w:t>ната от Комисията обществена консултация относно прозрачността в данъчната област даде възможност на заинтересованите страни да изразят становището си относно различните аспекти на прозрачността в областта на корпоративното данъчно облагане, по-специално о</w:t>
      </w:r>
      <w:r>
        <w:rPr>
          <w:noProof/>
        </w:rPr>
        <w:t>тносно отчитането по държави. Представените варианти бяха съсредоточени главно върху публичното отчитане на предприятията, като бе засегнат също и обменът на информация между данъчните администрации съгласно изискването в действие 13 от проекта BEPS. Комис</w:t>
      </w:r>
      <w:r>
        <w:rPr>
          <w:noProof/>
        </w:rPr>
        <w:t>ията получи общо 422 отговора, по-голямата част от които съдържаха важна обратна информация по отношение на публичните и непубличните мерки за прозрачност в данъчната област. Що се отнася до действие 13 от проекта BEPS, макар че стопанските субекти не поср</w:t>
      </w:r>
      <w:r>
        <w:rPr>
          <w:noProof/>
        </w:rPr>
        <w:t>ещат с ентусиазъм обмена на такава информация между данъчните органи, повечето отговори бяха в подкрепа на мярката.</w:t>
      </w:r>
    </w:p>
    <w:p w:rsidR="00C0119A" w:rsidRDefault="00C0119A">
      <w:pPr>
        <w:rPr>
          <w:rFonts w:eastAsia="Times New Roman"/>
          <w:noProof/>
        </w:rPr>
      </w:pPr>
    </w:p>
    <w:p w:rsidR="00C0119A" w:rsidRDefault="00867678">
      <w:pPr>
        <w:keepNext/>
        <w:tabs>
          <w:tab w:val="left" w:pos="850"/>
        </w:tabs>
        <w:outlineLvl w:val="1"/>
        <w:rPr>
          <w:rFonts w:eastAsia="Times New Roman"/>
          <w:b/>
          <w:noProof/>
        </w:rPr>
      </w:pPr>
      <w:r>
        <w:rPr>
          <w:b/>
          <w:noProof/>
        </w:rPr>
        <w:t>Държави членки</w:t>
      </w:r>
    </w:p>
    <w:p w:rsidR="00C0119A" w:rsidRDefault="00867678">
      <w:pPr>
        <w:spacing w:before="0" w:after="240"/>
        <w:rPr>
          <w:rFonts w:eastAsia="Arial Unicode MS"/>
          <w:noProof/>
        </w:rPr>
      </w:pPr>
      <w:r>
        <w:rPr>
          <w:noProof/>
        </w:rPr>
        <w:t>Директивата е съобразена с международните тенденции на равнището на ОИСР и с работата на организацията в областта на BEPS, в</w:t>
      </w:r>
      <w:r>
        <w:rPr>
          <w:noProof/>
        </w:rPr>
        <w:t xml:space="preserve"> която повечето държави — членки на ЕС, също участват. Европейската комисия също взе много активно участие, бяха проведени обстойни консултации и с други юрисдикции и заинтересовани страни. </w:t>
      </w:r>
    </w:p>
    <w:p w:rsidR="00C0119A" w:rsidRDefault="00867678">
      <w:pPr>
        <w:pStyle w:val="ManualHeading2"/>
        <w:rPr>
          <w:rFonts w:eastAsia="Arial Unicode MS"/>
          <w:noProof/>
          <w:bdr w:val="none" w:sz="0" w:space="0" w:color="auto" w:frame="1"/>
        </w:rPr>
      </w:pPr>
      <w:r>
        <w:rPr>
          <w:noProof/>
        </w:rPr>
        <w:t>•</w:t>
      </w:r>
      <w:r>
        <w:rPr>
          <w:noProof/>
        </w:rPr>
        <w:tab/>
        <w:t>Оценка на въздействието</w:t>
      </w:r>
    </w:p>
    <w:p w:rsidR="00C0119A" w:rsidRDefault="00867678">
      <w:pPr>
        <w:rPr>
          <w:rFonts w:eastAsia="Arial Unicode MS"/>
          <w:noProof/>
        </w:rPr>
      </w:pPr>
      <w:r>
        <w:rPr>
          <w:noProof/>
        </w:rPr>
        <w:t>След като в началото на 2013 г. ОИСР пу</w:t>
      </w:r>
      <w:r>
        <w:rPr>
          <w:noProof/>
        </w:rPr>
        <w:t>бликува доклада си относно преодоляването на свиването на данъчната основа и прехвърлянето на печалби и т.нар. План за действие срещу BEPS беше одобрен от лидерите на Г-20 през септември 2013 г., ОИСР започна интензивна двугодишна работа, резултатът от коя</w:t>
      </w:r>
      <w:r>
        <w:rPr>
          <w:noProof/>
        </w:rPr>
        <w:t>то бе представянето на 13 доклада през ноември 2015 г. В тези доклади се определят нови или засилени международни стандарти, както и конкретни мерки за подпомагане на държавите за овладяване на проблема с BEPS. В рамките на тези усилия членовете на ОИСР/Г-</w:t>
      </w:r>
      <w:r>
        <w:rPr>
          <w:noProof/>
        </w:rPr>
        <w:t>20 са поели ангажимент по отношение на пространния пакет от мерки и последователното му прилагане.</w:t>
      </w:r>
    </w:p>
    <w:p w:rsidR="00C0119A" w:rsidRDefault="00867678">
      <w:pPr>
        <w:rPr>
          <w:rFonts w:eastAsia="Arial Unicode MS"/>
          <w:noProof/>
        </w:rPr>
      </w:pPr>
      <w:r>
        <w:rPr>
          <w:noProof/>
        </w:rPr>
        <w:t>В качеството си на членки на ОИСР много от държавите членки вече са започнали, в някои области неотложно, да транспонират резултатите от проекта BEPS в своит</w:t>
      </w:r>
      <w:r>
        <w:rPr>
          <w:noProof/>
        </w:rPr>
        <w:t xml:space="preserve">е национални законодателства. Поради това е от решаващо значение да се постигне бърз напредък при договарянето на правилата, чрез които ще се гарантира координирано изпълнение на заключенията относно BEPS в целия ЕС.  Поради опасенията за сериозен риск от </w:t>
      </w:r>
      <w:r>
        <w:rPr>
          <w:noProof/>
        </w:rPr>
        <w:t>фрагментиране на вътрешния пазар, което би било най-вероятният резултат от некоординирани едностранни действия от държавите членки, в настоящото предложение се извеждат решения за постигане на съгласуваност и известна степен на уеднаквяване при прилагането</w:t>
      </w:r>
      <w:r>
        <w:rPr>
          <w:noProof/>
        </w:rPr>
        <w:t xml:space="preserve"> на действие 13 от проекта BEPS в рамките на ЕС.</w:t>
      </w:r>
    </w:p>
    <w:p w:rsidR="00C0119A" w:rsidRDefault="00867678">
      <w:pPr>
        <w:rPr>
          <w:rFonts w:eastAsia="Arial Unicode MS"/>
          <w:noProof/>
        </w:rPr>
      </w:pPr>
      <w:r>
        <w:rPr>
          <w:noProof/>
        </w:rPr>
        <w:t xml:space="preserve">Комисията полага всички усилия, за да отговори едновременно както на спешната нужда от действия, така и на категоричната необходимост да се предотврати ситуация, в която функционирането на вътрешния пазар е </w:t>
      </w:r>
      <w:r>
        <w:rPr>
          <w:noProof/>
        </w:rPr>
        <w:t>изложено на риск, било чрез самостоятелни действия на държавите членки (независимо дали са членки на ОИСР или не) и приети от тях едностранни мерки, било въобще поради липсата на действия на други държави членки. Възможността да бъдат предложени актове с н</w:t>
      </w:r>
      <w:r>
        <w:rPr>
          <w:noProof/>
        </w:rPr>
        <w:t>езадължителна юридическа сила също бе разгледана, но бе отхвърлена като неподходяща от гледна точка на осигуряването на координиран подход.</w:t>
      </w:r>
    </w:p>
    <w:p w:rsidR="00C0119A" w:rsidRDefault="00867678">
      <w:pPr>
        <w:rPr>
          <w:rFonts w:eastAsia="Arial Unicode MS"/>
          <w:noProof/>
        </w:rPr>
      </w:pPr>
      <w:r>
        <w:rPr>
          <w:noProof/>
        </w:rPr>
        <w:t>Настоящото предложение се придружава от отделен работен документ на службите на Комисията, в който е поместена актуа</w:t>
      </w:r>
      <w:r>
        <w:rPr>
          <w:noProof/>
        </w:rPr>
        <w:t xml:space="preserve">лна информация и доказателствен материал и е представен подробен преглед на съществуващите научни трудове и икономически доказателства в областта на свиването на данъчната основа и прехвърлянето на печалби. Документът стъпва върху последните проучвания на </w:t>
      </w:r>
      <w:r>
        <w:rPr>
          <w:noProof/>
        </w:rPr>
        <w:t>ОИСР, Европейската комисия и Европейския парламент, наред с други. В него са откроени основните и най-често срещани механизми, които според ОИСР са свързани с агресивното данъчно планиране. Обобщени са и заключенията от задълбочения преглед на основните ме</w:t>
      </w:r>
      <w:r>
        <w:rPr>
          <w:noProof/>
        </w:rPr>
        <w:t>ханизми за агресивно данъчно планиране въз основа на проведения през 2015 г. от името на Комисията анализ по държави членки. Описан е начинът, по който изпълнението на действие 13 от Плана за действие BEPS чрез настоящото предложение допълва други инициати</w:t>
      </w:r>
      <w:r>
        <w:rPr>
          <w:noProof/>
        </w:rPr>
        <w:t>ви за прилагане на докладите на ОИСР в областта на BEPS в рамките на ЕС и допринася за постигането на общо минимално ниво на защита срещу избягването на данъци.</w:t>
      </w:r>
    </w:p>
    <w:p w:rsidR="00C0119A" w:rsidRDefault="00867678">
      <w:pPr>
        <w:rPr>
          <w:rFonts w:eastAsia="Arial Unicode MS"/>
          <w:noProof/>
        </w:rPr>
      </w:pPr>
      <w:r>
        <w:rPr>
          <w:noProof/>
        </w:rPr>
        <w:t xml:space="preserve">В този контекст за настоящото предложение не беше извършена оценка на въздействието въз основа </w:t>
      </w:r>
      <w:r>
        <w:rPr>
          <w:noProof/>
        </w:rPr>
        <w:t>на следните основания: налице е тясна връзка с работата на ОИСР в областта на BEPS и по-конкретно с действие 13; работният документ на службите на Комисията съдържа значителен набор от данни и анализи; на по-ранен етап заинтересованите страни бяха включени</w:t>
      </w:r>
      <w:r>
        <w:rPr>
          <w:noProof/>
        </w:rPr>
        <w:t xml:space="preserve"> активно в консултациите по техническите елементи на предложените правила; и по-конкретно, в момента има неотложна потребност от координирани действия в рамките на ЕС в тази област, която представлява политически приоритет от международно значение.</w:t>
      </w:r>
    </w:p>
    <w:p w:rsidR="00C0119A" w:rsidRDefault="00867678">
      <w:pPr>
        <w:pStyle w:val="ManualHeading1"/>
        <w:rPr>
          <w:noProof/>
        </w:rPr>
      </w:pPr>
      <w:r>
        <w:rPr>
          <w:noProof/>
        </w:rPr>
        <w:t>4.</w:t>
      </w:r>
      <w:r>
        <w:rPr>
          <w:noProof/>
        </w:rPr>
        <w:tab/>
        <w:t>ОТРА</w:t>
      </w:r>
      <w:r>
        <w:rPr>
          <w:noProof/>
        </w:rPr>
        <w:t>ЖЕНИЕ ВЪРХУ БЮДЖЕТА</w:t>
      </w:r>
    </w:p>
    <w:p w:rsidR="00C0119A" w:rsidRDefault="00867678">
      <w:pPr>
        <w:rPr>
          <w:rFonts w:eastAsia="Times New Roman"/>
          <w:noProof/>
        </w:rPr>
      </w:pPr>
      <w:r>
        <w:rPr>
          <w:noProof/>
        </w:rPr>
        <w:t>Отражението на предложението върху бюджета на ЕС е представено във финансовата обосновка, придружаваща предложението, и се вписва в рамките на наличните ресурси. Разходите за допълнителните информационно-технологични инструменти, чрез к</w:t>
      </w:r>
      <w:r>
        <w:rPr>
          <w:noProof/>
        </w:rPr>
        <w:t>оито да се улесни предоставянето на информация между държавите членки, ще бъдат финансирани по програма „Фискалис 2020“, предвидена в Регламент (ЕС) № 1286/2013, по която се осигурява финансова подкрепа за дейности, насочени към подобряването на администра</w:t>
      </w:r>
      <w:r>
        <w:rPr>
          <w:noProof/>
        </w:rPr>
        <w:t>тивното сътрудничество между данъчните органи в ЕС.</w:t>
      </w:r>
    </w:p>
    <w:p w:rsidR="00C0119A" w:rsidRDefault="00C0119A">
      <w:pPr>
        <w:rPr>
          <w:rFonts w:eastAsia="Times New Roman"/>
          <w:noProof/>
        </w:rPr>
      </w:pPr>
    </w:p>
    <w:p w:rsidR="00C0119A" w:rsidRDefault="00C0119A">
      <w:pPr>
        <w:spacing w:before="0" w:after="0"/>
        <w:jc w:val="left"/>
        <w:rPr>
          <w:noProof/>
        </w:rPr>
        <w:sectPr w:rsidR="00C0119A" w:rsidSect="00867678">
          <w:footerReference w:type="default" r:id="rId16"/>
          <w:footerReference w:type="first" r:id="rId17"/>
          <w:pgSz w:w="11907" w:h="16839"/>
          <w:pgMar w:top="1134" w:right="1417" w:bottom="1134" w:left="1417" w:header="709" w:footer="709" w:gutter="0"/>
          <w:cols w:space="720"/>
          <w:docGrid w:linePitch="326"/>
        </w:sectPr>
      </w:pPr>
    </w:p>
    <w:p w:rsidR="00C0119A" w:rsidRDefault="00867678" w:rsidP="00867678">
      <w:pPr>
        <w:pStyle w:val="Rfrenceinterinstitutionnelle"/>
        <w:rPr>
          <w:noProof/>
        </w:rPr>
      </w:pPr>
      <w:r w:rsidRPr="00867678">
        <w:t>2016/0010 (CNS)</w:t>
      </w:r>
    </w:p>
    <w:p w:rsidR="00C0119A" w:rsidRDefault="00867678" w:rsidP="00867678">
      <w:pPr>
        <w:pStyle w:val="Statut"/>
        <w:rPr>
          <w:noProof/>
        </w:rPr>
      </w:pPr>
      <w:r w:rsidRPr="00867678">
        <w:t>Предложение за</w:t>
      </w:r>
    </w:p>
    <w:p w:rsidR="00C0119A" w:rsidRDefault="00867678" w:rsidP="00867678">
      <w:pPr>
        <w:pStyle w:val="Typedudocument"/>
        <w:rPr>
          <w:noProof/>
        </w:rPr>
      </w:pPr>
      <w:r w:rsidRPr="00867678">
        <w:t>ДИРЕКТИВА НА СЪВЕТА</w:t>
      </w:r>
    </w:p>
    <w:p w:rsidR="00C0119A" w:rsidRDefault="00867678" w:rsidP="00867678">
      <w:pPr>
        <w:pStyle w:val="Titreobjet"/>
        <w:rPr>
          <w:noProof/>
        </w:rPr>
      </w:pPr>
      <w:r w:rsidRPr="00867678">
        <w:t>за изменение на Директива 2011/16/ЕС по отношение на задължителния автоматичен обмен на информация в областта на данъчното облагане</w:t>
      </w:r>
    </w:p>
    <w:p w:rsidR="00C0119A" w:rsidRDefault="00867678">
      <w:pPr>
        <w:pStyle w:val="Institutionquiagit"/>
        <w:rPr>
          <w:noProof/>
        </w:rPr>
      </w:pPr>
      <w:r>
        <w:rPr>
          <w:noProof/>
        </w:rPr>
        <w:t>СЪВЕТЪТ НА ЕВРОПЕЙСКИЯ СЪЮЗ,</w:t>
      </w:r>
    </w:p>
    <w:p w:rsidR="00C0119A" w:rsidRDefault="00867678">
      <w:pPr>
        <w:rPr>
          <w:noProof/>
        </w:rPr>
      </w:pPr>
      <w:r>
        <w:rPr>
          <w:noProof/>
        </w:rPr>
        <w:t>като взе предвид Договора за функционирането на Европейския съюз, и по-специално членове 113 и 115 от него,</w:t>
      </w:r>
    </w:p>
    <w:p w:rsidR="00C0119A" w:rsidRDefault="00867678">
      <w:pPr>
        <w:rPr>
          <w:noProof/>
        </w:rPr>
      </w:pPr>
      <w:r>
        <w:rPr>
          <w:noProof/>
        </w:rPr>
        <w:t>като взе предвид предложението на Европ</w:t>
      </w:r>
      <w:r>
        <w:rPr>
          <w:noProof/>
        </w:rPr>
        <w:t>ейската комисия,</w:t>
      </w:r>
    </w:p>
    <w:p w:rsidR="00C0119A" w:rsidRDefault="00867678">
      <w:pPr>
        <w:rPr>
          <w:noProof/>
        </w:rPr>
      </w:pPr>
      <w:r>
        <w:rPr>
          <w:noProof/>
        </w:rPr>
        <w:t>след предаване на проекта на законодателния акт на националните парламенти,</w:t>
      </w:r>
    </w:p>
    <w:p w:rsidR="00C0119A" w:rsidRDefault="00867678">
      <w:pPr>
        <w:rPr>
          <w:noProof/>
        </w:rPr>
      </w:pPr>
      <w:r>
        <w:rPr>
          <w:noProof/>
        </w:rPr>
        <w:t>като взе предвид становището на Европейския парламент</w:t>
      </w:r>
      <w:r>
        <w:rPr>
          <w:rStyle w:val="FootnoteReference"/>
          <w:noProof/>
        </w:rPr>
        <w:footnoteReference w:id="9"/>
      </w:r>
      <w:r>
        <w:rPr>
          <w:noProof/>
        </w:rPr>
        <w:t>,</w:t>
      </w:r>
    </w:p>
    <w:p w:rsidR="00C0119A" w:rsidRDefault="00867678">
      <w:pPr>
        <w:rPr>
          <w:noProof/>
        </w:rPr>
      </w:pPr>
      <w:r>
        <w:rPr>
          <w:noProof/>
        </w:rPr>
        <w:t>като взе предвид становището на Европейския икономически и социален комитет</w:t>
      </w:r>
      <w:r>
        <w:rPr>
          <w:rStyle w:val="FootnoteReference"/>
          <w:noProof/>
        </w:rPr>
        <w:footnoteReference w:id="10"/>
      </w:r>
      <w:r>
        <w:rPr>
          <w:noProof/>
        </w:rPr>
        <w:t>,</w:t>
      </w:r>
    </w:p>
    <w:p w:rsidR="00C0119A" w:rsidRDefault="00867678">
      <w:pPr>
        <w:rPr>
          <w:noProof/>
        </w:rPr>
      </w:pPr>
      <w:r>
        <w:rPr>
          <w:noProof/>
        </w:rPr>
        <w:t xml:space="preserve">в съответствие със специална </w:t>
      </w:r>
      <w:r>
        <w:rPr>
          <w:noProof/>
        </w:rPr>
        <w:t>законодателна процедура,</w:t>
      </w:r>
    </w:p>
    <w:p w:rsidR="00C0119A" w:rsidRDefault="00867678">
      <w:pPr>
        <w:rPr>
          <w:noProof/>
        </w:rPr>
      </w:pPr>
      <w:r>
        <w:rPr>
          <w:noProof/>
        </w:rPr>
        <w:t>като има предвид, че:</w:t>
      </w:r>
      <w:r>
        <w:rPr>
          <w:i/>
          <w:noProof/>
        </w:rPr>
        <w:t xml:space="preserve"> </w:t>
      </w:r>
    </w:p>
    <w:p w:rsidR="00C0119A" w:rsidRDefault="00867678">
      <w:pPr>
        <w:pStyle w:val="ManualConsidrant"/>
        <w:rPr>
          <w:noProof/>
        </w:rPr>
      </w:pPr>
      <w:r>
        <w:rPr>
          <w:noProof/>
        </w:rPr>
        <w:t>(1)</w:t>
      </w:r>
      <w:r>
        <w:rPr>
          <w:noProof/>
        </w:rPr>
        <w:tab/>
        <w:t>През последните години предизвикателствата, свързани с данъчните измами и отклонението от данъчно облагане, нараснаха значително и тази тенденция буди тревога както в рамките на Съюза, така и в световен м</w:t>
      </w:r>
      <w:r>
        <w:rPr>
          <w:noProof/>
        </w:rPr>
        <w:t>ащаб. Автоматичният обмен на информация представлява важен инструмент в това отношение, затова в своето съобщение от 6 декември 2012 г., съдържащо план за действие за засилване на борбата с данъчните измами и отклонението от данъчно облагане, Комисията под</w:t>
      </w:r>
      <w:r>
        <w:rPr>
          <w:noProof/>
        </w:rPr>
        <w:t>черта необходимостта от активно насърчаване на автоматичния обмен на информация и на бъдещите европейски и международни стандарти за прозрачност и обмен на информация в данъчната област. В заключенията си от 22 май 2013 г. Европейският съвет поиска разширя</w:t>
      </w:r>
      <w:r>
        <w:rPr>
          <w:noProof/>
        </w:rPr>
        <w:t>ване на обхвата на автоматичния обмен на информация както на равнището на ЕС, така и на световно равнище, с оглед на борбата срещу данъчните измами, отклонението от данъчно облагане и агресивното данъчно планиране.</w:t>
      </w:r>
    </w:p>
    <w:p w:rsidR="00C0119A" w:rsidRDefault="00867678">
      <w:pPr>
        <w:pStyle w:val="ManualConsidrant"/>
        <w:rPr>
          <w:noProof/>
        </w:rPr>
      </w:pPr>
      <w:r>
        <w:rPr>
          <w:noProof/>
        </w:rPr>
        <w:t>(2)</w:t>
      </w:r>
      <w:r>
        <w:rPr>
          <w:noProof/>
        </w:rPr>
        <w:tab/>
        <w:t>Тъй като мултинационалните групи от п</w:t>
      </w:r>
      <w:r>
        <w:rPr>
          <w:noProof/>
        </w:rPr>
        <w:t>редприятия (МГП) извършват дейност в различни държави, те имат възможност да използват практики за агресивно данъчно планиране, до които националните дружества нямат достъп. При това положение националните дружества, които обикновено са малки и средни пред</w:t>
      </w:r>
      <w:r>
        <w:rPr>
          <w:noProof/>
        </w:rPr>
        <w:t>приятия (МСП), могат да се окажат особено силно засегнати, тъй като данъчната им тежест е по-висока от тази на МГП. От друга страна, всички държави членки могат да понесат загуба на приходи, като съществува и риск от конкуренция за привличане на МГП чрез п</w:t>
      </w:r>
      <w:r>
        <w:rPr>
          <w:noProof/>
        </w:rPr>
        <w:t>редлагането на данъчни предимства. Това се превръща в проблем за гладкото функциониране на вътрешния пазар.</w:t>
      </w:r>
    </w:p>
    <w:p w:rsidR="00C0119A" w:rsidRDefault="00867678">
      <w:pPr>
        <w:pStyle w:val="ManualConsidrant"/>
        <w:rPr>
          <w:noProof/>
        </w:rPr>
      </w:pPr>
      <w:r>
        <w:rPr>
          <w:noProof/>
        </w:rPr>
        <w:t>(3)</w:t>
      </w:r>
      <w:r>
        <w:rPr>
          <w:noProof/>
        </w:rPr>
        <w:tab/>
        <w:t>Данъчните органи на Съюза се нуждаят от изчерпателна и адекватна информация относно структурата на МГП, политиката им за трансферно ценообразува</w:t>
      </w:r>
      <w:r>
        <w:rPr>
          <w:noProof/>
        </w:rPr>
        <w:t>не и вътрешните им сделки в рамките на ЕС и извън него. Тази информация ще даде възможност на данъчните органи да противодействат на вредните данъчни практики чрез промени в законодателството или подходящи оценки на риска и данъчни одити, както и да опреде</w:t>
      </w:r>
      <w:r>
        <w:rPr>
          <w:noProof/>
        </w:rPr>
        <w:t>лят дали предприятията са участвали в практики, водещи до изкуствено прехвърляне на значителни по размер печалби в по-облагодетелствани в данъчно отношение райони.</w:t>
      </w:r>
    </w:p>
    <w:p w:rsidR="00C0119A" w:rsidRDefault="00867678">
      <w:pPr>
        <w:pStyle w:val="ManualConsidrant"/>
        <w:rPr>
          <w:noProof/>
        </w:rPr>
      </w:pPr>
      <w:r>
        <w:rPr>
          <w:noProof/>
        </w:rPr>
        <w:t>(4)</w:t>
      </w:r>
      <w:r>
        <w:rPr>
          <w:noProof/>
        </w:rPr>
        <w:tab/>
        <w:t xml:space="preserve">По-голямата прозрачност спрямо данъчните органи би могла да стимулира МГП да се откажат </w:t>
      </w:r>
      <w:r>
        <w:rPr>
          <w:noProof/>
        </w:rPr>
        <w:t>от някои практики и да заплащат своя справедлив дял от данъците в държавата, в която реализират печалби. Затова повишаването на прозрачността за МГП представлява съществена част от усилията за овладяване на проблема със свиването на данъчната основа и прех</w:t>
      </w:r>
      <w:r>
        <w:rPr>
          <w:noProof/>
        </w:rPr>
        <w:t>върлянето на печалби.</w:t>
      </w:r>
    </w:p>
    <w:p w:rsidR="00C0119A" w:rsidRDefault="00867678">
      <w:pPr>
        <w:pStyle w:val="ManualConsidrant"/>
        <w:rPr>
          <w:noProof/>
        </w:rPr>
      </w:pPr>
      <w:r>
        <w:rPr>
          <w:noProof/>
        </w:rPr>
        <w:t>(5)</w:t>
      </w:r>
      <w:r>
        <w:rPr>
          <w:noProof/>
        </w:rPr>
        <w:tab/>
        <w:t>В Резолюция на Съвета и на представителите на правителствата на държавите членки по отношение на Кодекса за поведение относно документацията във връзка с трансферното ценообразуване при свързани предприятия в Европейския съюз (ДТЦ</w:t>
      </w:r>
      <w:r>
        <w:rPr>
          <w:noProof/>
        </w:rPr>
        <w:t>) вече е предвиден метод, чрез който МГП в Съюза могат да предоставят на данъчните органи информация за глобалната стопанска дейност и политиките за трансферно ценообразуване (глобален файл), както и информация за конкретните сделки на местното предприятие</w:t>
      </w:r>
      <w:r>
        <w:rPr>
          <w:noProof/>
        </w:rPr>
        <w:t xml:space="preserve"> (локален файл). Тези правила относно ДТЦ обаче понастоящем не предвиждат никакъв механизъм за предоставяне на отчети по държави. </w:t>
      </w:r>
    </w:p>
    <w:p w:rsidR="00C0119A" w:rsidRDefault="00867678">
      <w:pPr>
        <w:pStyle w:val="ManualConsidrant"/>
        <w:rPr>
          <w:noProof/>
        </w:rPr>
      </w:pPr>
      <w:r>
        <w:rPr>
          <w:noProof/>
        </w:rPr>
        <w:t>(6)</w:t>
      </w:r>
      <w:r>
        <w:rPr>
          <w:noProof/>
        </w:rPr>
        <w:tab/>
        <w:t>В отчета по държави МГП следва ежегодно да предоставят информация за размера на дохода, печалбата преди данъка върху дохо</w:t>
      </w:r>
      <w:r>
        <w:rPr>
          <w:noProof/>
        </w:rPr>
        <w:t xml:space="preserve">дите, както и за платения и начисления данък върху дохода за всяка данъчна юрисдикция, в която извършват дейност. МГП следва също така да отчитат броя на своите наети лица, обявения капитал, неразпределената печалба и материалните активи във всяка данъчна </w:t>
      </w:r>
      <w:r>
        <w:rPr>
          <w:noProof/>
        </w:rPr>
        <w:t>юрисдикция. На последно място, МГП следва да идентифицират всички предприятия в групата, които извършват стопанска дейност в определена данъчна юрисдикция, и да предоставят информация за тази дейност по отношение на всяко едно от тях.</w:t>
      </w:r>
    </w:p>
    <w:p w:rsidR="00C0119A" w:rsidRDefault="00867678">
      <w:pPr>
        <w:pStyle w:val="ManualConsidrant"/>
        <w:rPr>
          <w:rFonts w:eastAsia="Times New Roman"/>
          <w:noProof/>
        </w:rPr>
      </w:pPr>
      <w:r>
        <w:rPr>
          <w:noProof/>
        </w:rPr>
        <w:t>(7)</w:t>
      </w:r>
      <w:r>
        <w:rPr>
          <w:noProof/>
        </w:rPr>
        <w:tab/>
        <w:t>С оглед на по-ефи</w:t>
      </w:r>
      <w:r>
        <w:rPr>
          <w:noProof/>
        </w:rPr>
        <w:t>касното използване на публичните ресурси и намаляването на административната тежест за МГП, задължението за отчитане следва да се прилага само за МГП, чийто годишен приход на консолидирана основа е над определен размер. С директивата следва да се гарантира</w:t>
      </w:r>
      <w:r>
        <w:rPr>
          <w:noProof/>
        </w:rPr>
        <w:t>, че в целия ЕС се събира една и съща информация, която се предоставя своевременно на данъчните администрации.</w:t>
      </w:r>
    </w:p>
    <w:p w:rsidR="00C0119A" w:rsidRDefault="00867678">
      <w:pPr>
        <w:pStyle w:val="ManualConsidrant"/>
        <w:rPr>
          <w:noProof/>
        </w:rPr>
      </w:pPr>
      <w:r>
        <w:rPr>
          <w:noProof/>
        </w:rPr>
        <w:t>(8)</w:t>
      </w:r>
      <w:r>
        <w:rPr>
          <w:noProof/>
        </w:rPr>
        <w:tab/>
        <w:t xml:space="preserve">За да се обезпечи гладкото функциониране на вътрешния пазар, ЕС трябва да осигури лоялна конкуренция между европейските МГП и неевропейските </w:t>
      </w:r>
      <w:r>
        <w:rPr>
          <w:noProof/>
        </w:rPr>
        <w:t>МГП, при които едно или повече от принадлежащите към групата предприятия се намират в ЕС. Поради това задължението за отчитане следва да се прилага и за двата вида МГП.</w:t>
      </w:r>
    </w:p>
    <w:p w:rsidR="00C0119A" w:rsidRDefault="00867678">
      <w:pPr>
        <w:pStyle w:val="ManualConsidrant"/>
        <w:rPr>
          <w:noProof/>
        </w:rPr>
      </w:pPr>
      <w:r>
        <w:rPr>
          <w:noProof/>
        </w:rPr>
        <w:t>(9)</w:t>
      </w:r>
      <w:r>
        <w:rPr>
          <w:noProof/>
        </w:rPr>
        <w:tab/>
        <w:t>Държавите членки следва да установят правила относно санкциите, приложими при наруш</w:t>
      </w:r>
      <w:r>
        <w:rPr>
          <w:noProof/>
        </w:rPr>
        <w:t>ения на националните разпоредби, приети съгласно настоящата директива, и да гарантират, че тези санкции са ефективни, пропорционални и възпиращи, както и че действително се прилагат.</w:t>
      </w:r>
    </w:p>
    <w:p w:rsidR="00C0119A" w:rsidRDefault="00867678">
      <w:pPr>
        <w:pStyle w:val="ManualConsidrant"/>
        <w:rPr>
          <w:noProof/>
        </w:rPr>
      </w:pPr>
      <w:r>
        <w:rPr>
          <w:noProof/>
        </w:rPr>
        <w:t>(10)</w:t>
      </w:r>
      <w:r>
        <w:rPr>
          <w:noProof/>
        </w:rPr>
        <w:tab/>
        <w:t>За да се осигури гладкото функциониране на вътрешния пазар, е необхо</w:t>
      </w:r>
      <w:r>
        <w:rPr>
          <w:noProof/>
        </w:rPr>
        <w:t>димо да се гарантира, че държавите членки приемат координирани правила относно задълженията за прозрачност по отношение на МГП.</w:t>
      </w:r>
    </w:p>
    <w:p w:rsidR="00C0119A" w:rsidRDefault="00867678">
      <w:pPr>
        <w:pStyle w:val="ManualConsidrant"/>
        <w:rPr>
          <w:rFonts w:eastAsia="Times New Roman"/>
          <w:noProof/>
        </w:rPr>
      </w:pPr>
      <w:r>
        <w:rPr>
          <w:noProof/>
        </w:rPr>
        <w:t>(11)</w:t>
      </w:r>
      <w:r>
        <w:rPr>
          <w:noProof/>
        </w:rPr>
        <w:tab/>
        <w:t>Що се отнася до обмена на информация между държавите членки, в Директива 2011/16/ЕС на Съвета от 15 февруари 2011 г. относн</w:t>
      </w:r>
      <w:r>
        <w:rPr>
          <w:noProof/>
        </w:rPr>
        <w:t>о административното сътрудничество в областта на данъчното облагане и за отмяна на Директива 77/799/ЕИО такъв задължителен обмен вече е предвиден в редица области. Обхватът му следва да бъде разширен, така че да включва и задължителния автоматичен обмен на</w:t>
      </w:r>
      <w:r>
        <w:rPr>
          <w:noProof/>
        </w:rPr>
        <w:t xml:space="preserve"> информация между държавите членки по отношение на отчетите по държави.</w:t>
      </w:r>
    </w:p>
    <w:p w:rsidR="00C0119A" w:rsidRDefault="00867678">
      <w:pPr>
        <w:pStyle w:val="ManualConsidrant"/>
        <w:rPr>
          <w:noProof/>
        </w:rPr>
      </w:pPr>
      <w:r>
        <w:rPr>
          <w:noProof/>
        </w:rPr>
        <w:t>(12)</w:t>
      </w:r>
      <w:r>
        <w:rPr>
          <w:noProof/>
        </w:rPr>
        <w:tab/>
        <w:t xml:space="preserve">Във всеки отделен случай задължителният автоматичен обмен между държавите членки на информация относно отчетите по държави следва да включва съобщаването на определен набор от </w:t>
      </w:r>
      <w:r>
        <w:rPr>
          <w:noProof/>
        </w:rPr>
        <w:t xml:space="preserve">основна информация, до която да имат достъп онези държави членки, в които, въз основа на информацията в съответния отчет, едно или повече принадлежащи към МГП предприятия са или местни лица за данъчни цели, или подлежат на данъчно облагане по отношение на </w:t>
      </w:r>
      <w:r>
        <w:rPr>
          <w:noProof/>
        </w:rPr>
        <w:t>стопанската дейност, която извършват чрез място на стопанска дейност на МГП.</w:t>
      </w:r>
    </w:p>
    <w:p w:rsidR="00C0119A" w:rsidRDefault="00867678">
      <w:pPr>
        <w:pStyle w:val="ManualConsidrant"/>
        <w:rPr>
          <w:noProof/>
        </w:rPr>
      </w:pPr>
      <w:r>
        <w:rPr>
          <w:noProof/>
        </w:rPr>
        <w:t>(13)</w:t>
      </w:r>
      <w:r>
        <w:rPr>
          <w:noProof/>
        </w:rPr>
        <w:tab/>
        <w:t>За да се сведат до минимум разходите и административната тежест както за данъчните администрации, така и за МГП, е необходимо да се предвидят съобразени с международните тенд</w:t>
      </w:r>
      <w:r>
        <w:rPr>
          <w:noProof/>
        </w:rPr>
        <w:t>енции правила и да се насърчи тяхното прилагане. На 19 юли 2013 г. Организацията за икономическо сътрудничество и развитие (ОИСР) публикува План за действие срещу свиването на данъчната основа и прехвърлянето на печалби (BEPS), който е сред най-големите ин</w:t>
      </w:r>
      <w:r>
        <w:rPr>
          <w:noProof/>
        </w:rPr>
        <w:t>ициативи за промяна на съществуващите данъчни норми в международен мащаб. На 5 октомври 2015 г. ОИСР представи окончателните си доклади, които бяха одобрени от финансовите министри на държавите от Г-20. По време на срещата, проведена на 15 и 16 ноември 201</w:t>
      </w:r>
      <w:r>
        <w:rPr>
          <w:noProof/>
        </w:rPr>
        <w:t>5 г., пакетът на ОИСР беше подкрепен и от лидерите на Г-20.</w:t>
      </w:r>
    </w:p>
    <w:p w:rsidR="00C0119A" w:rsidRDefault="00867678">
      <w:pPr>
        <w:pStyle w:val="ManualConsidrant"/>
        <w:rPr>
          <w:noProof/>
        </w:rPr>
      </w:pPr>
      <w:r>
        <w:rPr>
          <w:noProof/>
        </w:rPr>
        <w:t>(14)</w:t>
      </w:r>
      <w:r>
        <w:rPr>
          <w:noProof/>
        </w:rPr>
        <w:tab/>
        <w:t>В резултат на работата по действие 13 от Плана за действие срещу BEPS бе създаден набор от стандарти относно предоставянето на информация за МГП, включително глобалния файл, локалния файл и о</w:t>
      </w:r>
      <w:r>
        <w:rPr>
          <w:noProof/>
        </w:rPr>
        <w:t>тчета по държави. Затова е уместно стандартите на ОИСР да се вземат предвид при установяването на правилата за отчитането по държави.</w:t>
      </w:r>
    </w:p>
    <w:p w:rsidR="00C0119A" w:rsidRDefault="00867678">
      <w:pPr>
        <w:pStyle w:val="ManualConsidrant"/>
        <w:rPr>
          <w:noProof/>
        </w:rPr>
      </w:pPr>
      <w:r>
        <w:rPr>
          <w:noProof/>
        </w:rPr>
        <w:t>(15)</w:t>
      </w:r>
      <w:r>
        <w:rPr>
          <w:noProof/>
        </w:rPr>
        <w:tab/>
        <w:t>При действието на равнището на Съюза в областта на отчитането по държави следва да продължи да се обръща специално вн</w:t>
      </w:r>
      <w:r>
        <w:rPr>
          <w:noProof/>
        </w:rPr>
        <w:t>имание на предлаганите занапред промени на равнището на ОИСР. При прилагането на настоящата директива държавите членки следва да използват окончателния доклад за 2015 г. по действие 13 от проекта относно свиването на данъчната основа и прехвърлянето на печ</w:t>
      </w:r>
      <w:r>
        <w:rPr>
          <w:noProof/>
        </w:rPr>
        <w:t xml:space="preserve">алби на ОИСР/Г-20, който бе разработен от ОИСР, като средство за онагледяване или тълкуване на същността на настоящата директива, както и с цел съгласуваното ѝ прилагане в държавите членки. </w:t>
      </w:r>
    </w:p>
    <w:p w:rsidR="00C0119A" w:rsidRDefault="00867678">
      <w:pPr>
        <w:pStyle w:val="ManualConsidrant"/>
        <w:rPr>
          <w:noProof/>
        </w:rPr>
      </w:pPr>
      <w:r>
        <w:rPr>
          <w:noProof/>
        </w:rPr>
        <w:t>(16)</w:t>
      </w:r>
      <w:r>
        <w:rPr>
          <w:noProof/>
        </w:rPr>
        <w:tab/>
        <w:t>Необходимо е да се уточнят езиковите договорености за обмена</w:t>
      </w:r>
      <w:r>
        <w:rPr>
          <w:noProof/>
        </w:rPr>
        <w:t xml:space="preserve"> на информация между държавите членки относно отчетите по държави. Освен това е нужно да се приемат практическите договорености, необходими за актуализирането на мрежата CCN. За да се осигурят еднакви условия за прилагането на член 20, параграф 6 и член 21</w:t>
      </w:r>
      <w:r>
        <w:rPr>
          <w:noProof/>
        </w:rPr>
        <w:t>, параграф 7, на Комисията следва да бъдат предоставени изпълнителни правомощия. Те следва да се упражняват в съответствие с Регламент (ЕС) № 182/2011 на Европейския парламент и на Съвета.</w:t>
      </w:r>
    </w:p>
    <w:p w:rsidR="00C0119A" w:rsidRDefault="00867678">
      <w:pPr>
        <w:pStyle w:val="ManualConsidrant"/>
        <w:rPr>
          <w:noProof/>
        </w:rPr>
      </w:pPr>
      <w:r>
        <w:rPr>
          <w:noProof/>
        </w:rPr>
        <w:t>(17)</w:t>
      </w:r>
      <w:r>
        <w:rPr>
          <w:noProof/>
        </w:rPr>
        <w:tab/>
        <w:t>С оглед на по-ефективното използване на ресурсите и улесняване</w:t>
      </w:r>
      <w:r>
        <w:rPr>
          <w:noProof/>
        </w:rPr>
        <w:t>то на обмена на информация, както и за да се избегне необходимостта всички държави членки да въвеждат сходни по характер промени в системите си, обменът на информация следва да се извършва посредством общата комуникационна мрежа (CCN), разработена от Съюза</w:t>
      </w:r>
      <w:r>
        <w:rPr>
          <w:noProof/>
        </w:rPr>
        <w:t>. Практическите договорености, необходими за актуализирането на системата, следва да бъдат приети от Комисията в съответствие с процедурата по член 26, параграф 2 от Директива 2011/16/ЕС.</w:t>
      </w:r>
    </w:p>
    <w:p w:rsidR="00C0119A" w:rsidRDefault="00867678">
      <w:pPr>
        <w:pStyle w:val="ManualConsidrant"/>
        <w:rPr>
          <w:rFonts w:eastAsia="Times New Roman"/>
          <w:noProof/>
        </w:rPr>
      </w:pPr>
      <w:r>
        <w:rPr>
          <w:noProof/>
        </w:rPr>
        <w:t>(18)</w:t>
      </w:r>
      <w:r>
        <w:rPr>
          <w:noProof/>
        </w:rPr>
        <w:tab/>
        <w:t>Обхватът на задължителния обмен на информация следва да бъде ра</w:t>
      </w:r>
      <w:r>
        <w:rPr>
          <w:noProof/>
        </w:rPr>
        <w:t>зширен, така че да включва автоматичния обмен на информация относно отчетите по държави.</w:t>
      </w:r>
    </w:p>
    <w:p w:rsidR="00C0119A" w:rsidRDefault="00867678">
      <w:pPr>
        <w:pStyle w:val="ManualConsidrant"/>
        <w:rPr>
          <w:noProof/>
        </w:rPr>
      </w:pPr>
      <w:r>
        <w:rPr>
          <w:noProof/>
        </w:rPr>
        <w:t>(19)</w:t>
      </w:r>
      <w:r>
        <w:rPr>
          <w:noProof/>
        </w:rPr>
        <w:tab/>
        <w:t>В настоящата директива се зачитат основните права и се спазват принципите, признати по-специално в Хартата на основните права на Европейския съюз.</w:t>
      </w:r>
      <w:r>
        <w:rPr>
          <w:rStyle w:val="Heading3Char"/>
          <w:noProof/>
          <w:lang w:val="bg-BG"/>
        </w:rPr>
        <w:t xml:space="preserve"> </w:t>
      </w:r>
    </w:p>
    <w:p w:rsidR="00C0119A" w:rsidRDefault="00867678">
      <w:pPr>
        <w:pStyle w:val="ManualConsidrant"/>
        <w:rPr>
          <w:noProof/>
        </w:rPr>
      </w:pPr>
      <w:r>
        <w:rPr>
          <w:noProof/>
        </w:rPr>
        <w:t>(20)</w:t>
      </w:r>
      <w:r>
        <w:rPr>
          <w:noProof/>
        </w:rPr>
        <w:tab/>
        <w:t>Доколкото</w:t>
      </w:r>
      <w:r>
        <w:rPr>
          <w:noProof/>
        </w:rPr>
        <w:t xml:space="preserve"> целта на настоящата директива, а именно ефикасно административно сътрудничество между държавите членки при условия, които са съвместими с правилното функциониране на вътрешния пазар, не може да бъде постигната в достатъчна степен от държавите членки, а пр</w:t>
      </w:r>
      <w:r>
        <w:rPr>
          <w:noProof/>
        </w:rPr>
        <w:t>едвид необходимостта от уеднаквяване и ефективност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w:t>
      </w:r>
      <w:r>
        <w:rPr>
          <w:noProof/>
        </w:rPr>
        <w:t xml:space="preserve"> пропорционалност, посочен в същия член, настоящата директива не надхвърля необходимото за постигането на тази цел.</w:t>
      </w:r>
    </w:p>
    <w:p w:rsidR="00C0119A" w:rsidRDefault="00867678">
      <w:pPr>
        <w:pStyle w:val="ManualConsidrant"/>
        <w:rPr>
          <w:rFonts w:eastAsia="Times New Roman"/>
          <w:noProof/>
        </w:rPr>
      </w:pPr>
      <w:r>
        <w:rPr>
          <w:noProof/>
        </w:rPr>
        <w:t>(21)</w:t>
      </w:r>
      <w:r>
        <w:rPr>
          <w:noProof/>
        </w:rPr>
        <w:tab/>
      </w:r>
      <w:r>
        <w:rPr>
          <w:rStyle w:val="Heading3Char"/>
          <w:noProof/>
          <w:lang w:val="bg-BG"/>
        </w:rPr>
        <w:t xml:space="preserve"> </w:t>
      </w:r>
      <w:r>
        <w:rPr>
          <w:noProof/>
        </w:rPr>
        <w:t>Поради това Директива 2011/16/ЕС следва да бъде съответно изменена,</w:t>
      </w:r>
    </w:p>
    <w:p w:rsidR="00C0119A" w:rsidRDefault="00867678">
      <w:pPr>
        <w:pStyle w:val="Formuledadoption"/>
        <w:rPr>
          <w:noProof/>
        </w:rPr>
      </w:pPr>
      <w:r>
        <w:rPr>
          <w:noProof/>
        </w:rPr>
        <w:t>ПРИЕ НАСТОЯЩАТА ДИРЕКТИВА:</w:t>
      </w:r>
    </w:p>
    <w:p w:rsidR="00C0119A" w:rsidRDefault="00867678">
      <w:pPr>
        <w:pStyle w:val="Titrearticle"/>
        <w:rPr>
          <w:noProof/>
        </w:rPr>
      </w:pPr>
      <w:r>
        <w:rPr>
          <w:noProof/>
        </w:rPr>
        <w:t>Член 1</w:t>
      </w:r>
    </w:p>
    <w:p w:rsidR="00C0119A" w:rsidRDefault="00867678">
      <w:pPr>
        <w:rPr>
          <w:rFonts w:eastAsia="Times New Roman"/>
          <w:noProof/>
        </w:rPr>
      </w:pPr>
      <w:r>
        <w:rPr>
          <w:noProof/>
        </w:rPr>
        <w:t xml:space="preserve">Директива 2011/16/ЕС се изменя, </w:t>
      </w:r>
      <w:r>
        <w:rPr>
          <w:noProof/>
        </w:rPr>
        <w:t>както следва:</w:t>
      </w:r>
    </w:p>
    <w:p w:rsidR="00C0119A" w:rsidRDefault="00867678">
      <w:pPr>
        <w:rPr>
          <w:rFonts w:eastAsia="Times New Roman"/>
          <w:noProof/>
        </w:rPr>
      </w:pPr>
      <w:r>
        <w:rPr>
          <w:noProof/>
        </w:rPr>
        <w:t>1)</w:t>
      </w:r>
      <w:r>
        <w:rPr>
          <w:noProof/>
        </w:rPr>
        <w:tab/>
        <w:t xml:space="preserve">Член 3 се изменя, както следва: </w:t>
      </w:r>
    </w:p>
    <w:p w:rsidR="00C0119A" w:rsidRDefault="00867678">
      <w:pPr>
        <w:pStyle w:val="Point0"/>
        <w:rPr>
          <w:noProof/>
        </w:rPr>
      </w:pPr>
      <w:r>
        <w:rPr>
          <w:noProof/>
        </w:rPr>
        <w:t>а)</w:t>
      </w:r>
      <w:r>
        <w:rPr>
          <w:noProof/>
        </w:rPr>
        <w:tab/>
        <w:t>точка 9 се заменя със следното:</w:t>
      </w:r>
    </w:p>
    <w:p w:rsidR="00C0119A" w:rsidRDefault="00867678">
      <w:pPr>
        <w:rPr>
          <w:rFonts w:eastAsia="Times New Roman"/>
          <w:noProof/>
        </w:rPr>
      </w:pPr>
      <w:r>
        <w:rPr>
          <w:noProof/>
        </w:rPr>
        <w:t>„9. „автоматичен обмен на информация“ означава,</w:t>
      </w:r>
    </w:p>
    <w:p w:rsidR="00C0119A" w:rsidRDefault="00867678">
      <w:pPr>
        <w:rPr>
          <w:rFonts w:eastAsia="Times New Roman"/>
          <w:noProof/>
        </w:rPr>
      </w:pPr>
      <w:r>
        <w:rPr>
          <w:noProof/>
        </w:rPr>
        <w:t>а) за целите на член 8, параграф 1 и членове 8а и 8аа — системно предоставяне на друга държава членка на предварително опре</w:t>
      </w:r>
      <w:r>
        <w:rPr>
          <w:noProof/>
        </w:rPr>
        <w:t>делена информация, без предварително отправено искане, на предварително определени редовни интервали от време; за целите на член 8, параграф 1 позоваването на понятието „налична информация“ се отнася за информация в данъчните регистри на предоставящата я д</w:t>
      </w:r>
      <w:r>
        <w:rPr>
          <w:noProof/>
        </w:rPr>
        <w:t>ържава членка, която е достъпна в съответствие с процедурите за събиране и обработване на информация в тази държава членка;</w:t>
      </w:r>
    </w:p>
    <w:p w:rsidR="00C0119A" w:rsidRDefault="00867678">
      <w:pPr>
        <w:rPr>
          <w:rFonts w:eastAsia="Times New Roman"/>
          <w:noProof/>
        </w:rPr>
      </w:pPr>
      <w:r>
        <w:rPr>
          <w:noProof/>
        </w:rPr>
        <w:t>б) за целите на член 8, параграф 3а — системно предоставяне на предварително определена информация относно местни лица на други държ</w:t>
      </w:r>
      <w:r>
        <w:rPr>
          <w:noProof/>
        </w:rPr>
        <w:t xml:space="preserve">ави членки на съответната държава членка, на която те са местни лица, без предварително отправено искане, на предварително определени редовни интервали от време; </w:t>
      </w:r>
    </w:p>
    <w:p w:rsidR="00C0119A" w:rsidRDefault="00867678">
      <w:pPr>
        <w:rPr>
          <w:rFonts w:eastAsia="Times New Roman"/>
          <w:noProof/>
        </w:rPr>
      </w:pPr>
      <w:r>
        <w:rPr>
          <w:noProof/>
        </w:rPr>
        <w:t>в) за целите на останалите разпоредби на настоящата директива освен член 8, параграфи 1 и 3a,</w:t>
      </w:r>
      <w:r>
        <w:rPr>
          <w:noProof/>
        </w:rPr>
        <w:t xml:space="preserve"> член 8а и член 8аа — системно предоставяне на предварително определена информация в съответствие с букви а) и б) от настоящата точка.“</w:t>
      </w:r>
    </w:p>
    <w:p w:rsidR="00C0119A" w:rsidRDefault="00C0119A">
      <w:pPr>
        <w:rPr>
          <w:rFonts w:eastAsia="Times New Roman"/>
          <w:noProof/>
        </w:rPr>
      </w:pPr>
    </w:p>
    <w:p w:rsidR="00C0119A" w:rsidRDefault="00867678">
      <w:pPr>
        <w:pStyle w:val="Point0"/>
        <w:rPr>
          <w:noProof/>
        </w:rPr>
      </w:pPr>
      <w:r>
        <w:rPr>
          <w:noProof/>
        </w:rPr>
        <w:t>б)</w:t>
      </w:r>
      <w:r>
        <w:rPr>
          <w:noProof/>
        </w:rPr>
        <w:tab/>
        <w:t>добавя се следната втора алинея:</w:t>
      </w:r>
    </w:p>
    <w:p w:rsidR="00C0119A" w:rsidRDefault="00867678">
      <w:pPr>
        <w:rPr>
          <w:rFonts w:eastAsia="Times New Roman"/>
          <w:noProof/>
        </w:rPr>
      </w:pPr>
      <w:r>
        <w:rPr>
          <w:noProof/>
        </w:rPr>
        <w:t>„В контекста на член 8, параграфи 3a и 7a, член 21, параграф 2 и член 25, параграфи</w:t>
      </w:r>
      <w:r>
        <w:rPr>
          <w:noProof/>
        </w:rPr>
        <w:t xml:space="preserve"> 2 и 3 понятията, оградени с кавички, имат същото значение като в съответните определения, установени в приложение I. В контекста на член 8аа и приложение III понятията, оградени с кавички, имат същото значение като в съответните определения, установени в </w:t>
      </w:r>
      <w:r>
        <w:rPr>
          <w:noProof/>
        </w:rPr>
        <w:t>приложение III.“</w:t>
      </w:r>
    </w:p>
    <w:p w:rsidR="00C0119A" w:rsidRDefault="00C0119A">
      <w:pPr>
        <w:rPr>
          <w:rFonts w:eastAsia="Times New Roman"/>
          <w:noProof/>
        </w:rPr>
      </w:pPr>
    </w:p>
    <w:p w:rsidR="00C0119A" w:rsidRDefault="00867678">
      <w:pPr>
        <w:ind w:left="720" w:hanging="720"/>
        <w:rPr>
          <w:rFonts w:eastAsia="Times New Roman"/>
          <w:noProof/>
        </w:rPr>
      </w:pPr>
      <w:r>
        <w:rPr>
          <w:noProof/>
        </w:rPr>
        <w:t>2)</w:t>
      </w:r>
      <w:r>
        <w:rPr>
          <w:noProof/>
        </w:rPr>
        <w:tab/>
        <w:t xml:space="preserve">В глава II, раздел II се създава следният член 8аа: </w:t>
      </w:r>
    </w:p>
    <w:p w:rsidR="00C0119A" w:rsidRDefault="00867678">
      <w:pPr>
        <w:ind w:left="720" w:hanging="720"/>
        <w:jc w:val="center"/>
        <w:rPr>
          <w:rFonts w:eastAsia="Times New Roman"/>
          <w:i/>
          <w:noProof/>
        </w:rPr>
      </w:pPr>
      <w:r>
        <w:rPr>
          <w:i/>
          <w:noProof/>
        </w:rPr>
        <w:t>„Член 8аа</w:t>
      </w:r>
    </w:p>
    <w:p w:rsidR="00C0119A" w:rsidRDefault="00867678">
      <w:pPr>
        <w:ind w:left="720" w:hanging="720"/>
        <w:jc w:val="center"/>
        <w:rPr>
          <w:rFonts w:eastAsia="Times New Roman"/>
          <w:noProof/>
        </w:rPr>
      </w:pPr>
      <w:r>
        <w:rPr>
          <w:b/>
          <w:noProof/>
        </w:rPr>
        <w:t>Обхват и условия на задължителния автоматичен обмен на информация относно отчетите по държави</w:t>
      </w:r>
    </w:p>
    <w:p w:rsidR="00C0119A" w:rsidRDefault="00867678">
      <w:pPr>
        <w:ind w:left="720" w:hanging="720"/>
        <w:rPr>
          <w:rFonts w:eastAsia="Times New Roman"/>
          <w:b/>
          <w:noProof/>
        </w:rPr>
      </w:pPr>
      <w:r>
        <w:rPr>
          <w:b/>
          <w:noProof/>
        </w:rPr>
        <w:t xml:space="preserve"> </w:t>
      </w:r>
    </w:p>
    <w:p w:rsidR="00C0119A" w:rsidRDefault="00867678">
      <w:pPr>
        <w:ind w:left="720" w:hanging="720"/>
        <w:rPr>
          <w:rFonts w:eastAsia="Times New Roman"/>
          <w:noProof/>
        </w:rPr>
      </w:pPr>
      <w:r>
        <w:rPr>
          <w:noProof/>
        </w:rPr>
        <w:t>1.</w:t>
      </w:r>
      <w:r>
        <w:rPr>
          <w:noProof/>
        </w:rPr>
        <w:tab/>
        <w:t xml:space="preserve">Всяка държава членка взема необходимите мерки, за да изиска от „крайното </w:t>
      </w:r>
      <w:r>
        <w:rPr>
          <w:noProof/>
        </w:rPr>
        <w:t>предприятие майка“ на дадена „МГП“, което е нейно местно лице за данъчни цели, или от всяко друго „отчитащо се предприятие“ в съответствие с приложение III, раздел II да представи отчет по държави за своята „отчетна финансова година“ в срок от 12 месеца сл</w:t>
      </w:r>
      <w:r>
        <w:rPr>
          <w:noProof/>
        </w:rPr>
        <w:t>ед последния ден на „отчетната финансова година“ на „МГП“ в съответствие с приложение III, раздел II.</w:t>
      </w:r>
    </w:p>
    <w:p w:rsidR="00C0119A" w:rsidRDefault="00867678">
      <w:pPr>
        <w:ind w:left="720" w:hanging="720"/>
        <w:rPr>
          <w:rFonts w:eastAsia="Times New Roman"/>
          <w:noProof/>
        </w:rPr>
      </w:pPr>
      <w:r>
        <w:rPr>
          <w:noProof/>
        </w:rPr>
        <w:t>2.</w:t>
      </w:r>
      <w:r>
        <w:rPr>
          <w:noProof/>
        </w:rPr>
        <w:tab/>
        <w:t>Компетентният орган на държава членка, която е получила „отчета по държави“ съгласно параграф 1, в рамките на срока, определен в параграф 4, чрез автом</w:t>
      </w:r>
      <w:r>
        <w:rPr>
          <w:noProof/>
        </w:rPr>
        <w:t>атичен обмен предоставя този доклад на всяка друга държава членка, в която, въз основа на информацията в отчета по държави, една или повече „съставни единици“ на „МГП“ на „отчитащото се предприятие“ са или местни лица за данъчни цели, или подлежат на данъч</w:t>
      </w:r>
      <w:r>
        <w:rPr>
          <w:noProof/>
        </w:rPr>
        <w:t xml:space="preserve">но облагане по отношение на дейността, извършвана чрез място на стопанска дейност. </w:t>
      </w:r>
    </w:p>
    <w:p w:rsidR="00C0119A" w:rsidRDefault="00867678">
      <w:pPr>
        <w:ind w:left="720" w:hanging="720"/>
        <w:rPr>
          <w:rFonts w:eastAsia="Times New Roman"/>
          <w:noProof/>
        </w:rPr>
      </w:pPr>
      <w:r>
        <w:rPr>
          <w:noProof/>
        </w:rPr>
        <w:t>3.</w:t>
      </w:r>
      <w:r>
        <w:rPr>
          <w:noProof/>
        </w:rPr>
        <w:tab/>
        <w:t>Отчетът по държави съдържа следната информация относно „МГП“:</w:t>
      </w:r>
    </w:p>
    <w:p w:rsidR="00C0119A" w:rsidRDefault="00867678">
      <w:pPr>
        <w:ind w:left="720" w:hanging="720"/>
        <w:rPr>
          <w:rFonts w:eastAsia="Times New Roman"/>
          <w:noProof/>
        </w:rPr>
      </w:pPr>
      <w:r>
        <w:rPr>
          <w:noProof/>
        </w:rPr>
        <w:tab/>
        <w:t>a)</w:t>
      </w:r>
      <w:r>
        <w:rPr>
          <w:noProof/>
        </w:rPr>
        <w:tab/>
        <w:t>за всяка юрисдикция, в която „МГП“ извършва дейност — обобщена информация относно размера на приходите,</w:t>
      </w:r>
      <w:r>
        <w:rPr>
          <w:noProof/>
        </w:rPr>
        <w:t xml:space="preserve"> печалбата (загубата) преди данъка върху дохода, платения данък върху дохода, начисления данък върху дохода, обявения капитал, натрупаната печалба, броя на наетите лица и материалните активи, различни от парични средства или парични еквиваленти;</w:t>
      </w:r>
    </w:p>
    <w:p w:rsidR="00C0119A" w:rsidRDefault="00867678">
      <w:pPr>
        <w:ind w:left="720"/>
        <w:rPr>
          <w:rFonts w:eastAsia="Times New Roman"/>
          <w:noProof/>
        </w:rPr>
      </w:pPr>
      <w:r>
        <w:rPr>
          <w:noProof/>
        </w:rPr>
        <w:t>б)</w:t>
      </w:r>
      <w:r>
        <w:rPr>
          <w:noProof/>
        </w:rPr>
        <w:tab/>
        <w:t>идентиф</w:t>
      </w:r>
      <w:r>
        <w:rPr>
          <w:noProof/>
        </w:rPr>
        <w:t>икация на всяка „съставна единица“ на „МГП“, като се посочва юрисдикцията, в която „съставната единица“ е местно лице за данъчни цели, и юрисдикцията, съгласно чието законодателство съставната единица е организирана, когато тя е различна от юрисдикцията, в</w:t>
      </w:r>
      <w:r>
        <w:rPr>
          <w:noProof/>
        </w:rPr>
        <w:t xml:space="preserve"> която „съставната единица“ е местно лице за данъчни цели, както и естеството на основната стопанска дейност или дейности на тази „съставна единица“.</w:t>
      </w:r>
    </w:p>
    <w:p w:rsidR="00C0119A" w:rsidRDefault="00867678">
      <w:pPr>
        <w:ind w:left="720" w:hanging="720"/>
        <w:rPr>
          <w:rFonts w:eastAsia="Times New Roman"/>
          <w:noProof/>
        </w:rPr>
      </w:pPr>
      <w:r>
        <w:rPr>
          <w:noProof/>
        </w:rPr>
        <w:t xml:space="preserve">4. </w:t>
      </w:r>
      <w:r>
        <w:rPr>
          <w:noProof/>
        </w:rPr>
        <w:tab/>
        <w:t>Предоставянето на информацията се извършва в срок от 15 месеца след последния ден на финансовата годин</w:t>
      </w:r>
      <w:r>
        <w:rPr>
          <w:noProof/>
        </w:rPr>
        <w:t>а за „МГП“, за която се отнася отчетът по държави. Първият отчет по държави се предоставя за финансовата година на „МГП“, започваща на 1 януари 2016 г. или след това.</w:t>
      </w:r>
    </w:p>
    <w:p w:rsidR="00C0119A" w:rsidRDefault="00867678">
      <w:pPr>
        <w:ind w:left="720" w:hanging="720"/>
        <w:rPr>
          <w:rFonts w:eastAsia="Times New Roman"/>
          <w:noProof/>
        </w:rPr>
      </w:pPr>
      <w:r>
        <w:rPr>
          <w:noProof/>
        </w:rPr>
        <w:t xml:space="preserve">5. </w:t>
      </w:r>
      <w:r>
        <w:rPr>
          <w:noProof/>
        </w:rPr>
        <w:tab/>
        <w:t>Разпоредбите на член 17, параграф 4 не се прилагат за информацията, която се обменя в</w:t>
      </w:r>
      <w:r>
        <w:rPr>
          <w:noProof/>
        </w:rPr>
        <w:t xml:space="preserve"> съответствие с параграфи 1 и 4 от настоящия член.“;</w:t>
      </w:r>
    </w:p>
    <w:p w:rsidR="00C0119A" w:rsidRDefault="00C0119A">
      <w:pPr>
        <w:ind w:left="720" w:hanging="720"/>
        <w:rPr>
          <w:rFonts w:eastAsia="Times New Roman"/>
          <w:noProof/>
        </w:rPr>
      </w:pPr>
    </w:p>
    <w:p w:rsidR="00C0119A" w:rsidRDefault="00867678">
      <w:pPr>
        <w:ind w:left="720" w:hanging="720"/>
        <w:rPr>
          <w:rFonts w:eastAsia="Times New Roman"/>
          <w:noProof/>
        </w:rPr>
      </w:pPr>
      <w:r>
        <w:rPr>
          <w:noProof/>
        </w:rPr>
        <w:t>3)</w:t>
      </w:r>
      <w:r>
        <w:rPr>
          <w:noProof/>
        </w:rPr>
        <w:tab/>
        <w:t>В член 20 се добавя следният параграф 6:</w:t>
      </w:r>
    </w:p>
    <w:p w:rsidR="00C0119A" w:rsidRDefault="00867678">
      <w:pPr>
        <w:ind w:left="720" w:hanging="720"/>
        <w:rPr>
          <w:rFonts w:eastAsia="Times New Roman"/>
          <w:noProof/>
        </w:rPr>
      </w:pPr>
      <w:r>
        <w:rPr>
          <w:noProof/>
        </w:rPr>
        <w:tab/>
        <w:t>„6. Автоматичният обмен на информация относно отчета по държави съгласно член 8аа се извършва чрез стандартния формуляр, установен в таблици 1, 2 и 3 от разд</w:t>
      </w:r>
      <w:r>
        <w:rPr>
          <w:noProof/>
        </w:rPr>
        <w:t>ел III на приложение III. Посредством актове за изпълнение Комисията приема езиковите договорености за този обмен в срок до 31 декември 2016 г. Езиковите договорености не възпрепятстват държавите членки да съобщават информацията, посочена в член 8аа, на вс</w:t>
      </w:r>
      <w:r>
        <w:rPr>
          <w:noProof/>
        </w:rPr>
        <w:t>еки един от официалните и работните езици на Съюза. Въпреки това тези езикови договорености може да предвиждат, че основните елементи на подобна информация се изпращат също така и на друг официален език на Съюза. Тези актове за изпълнение се приемат в съот</w:t>
      </w:r>
      <w:r>
        <w:rPr>
          <w:noProof/>
        </w:rPr>
        <w:t>ветствие с процедурата по разглеждане, посочена в член 26, параграф 2.“;</w:t>
      </w:r>
    </w:p>
    <w:p w:rsidR="00C0119A" w:rsidRDefault="00C0119A">
      <w:pPr>
        <w:ind w:left="720" w:hanging="720"/>
        <w:rPr>
          <w:rFonts w:eastAsia="Times New Roman"/>
          <w:noProof/>
        </w:rPr>
      </w:pPr>
    </w:p>
    <w:p w:rsidR="00C0119A" w:rsidRDefault="00867678">
      <w:pPr>
        <w:tabs>
          <w:tab w:val="left" w:pos="709"/>
        </w:tabs>
        <w:ind w:left="709" w:hanging="709"/>
        <w:rPr>
          <w:rFonts w:eastAsia="Times New Roman"/>
          <w:noProof/>
        </w:rPr>
      </w:pPr>
      <w:r>
        <w:rPr>
          <w:noProof/>
        </w:rPr>
        <w:t>4)</w:t>
      </w:r>
      <w:r>
        <w:rPr>
          <w:noProof/>
        </w:rPr>
        <w:tab/>
        <w:t>В член 21 се добавя следният параграф 6:</w:t>
      </w:r>
    </w:p>
    <w:p w:rsidR="00C0119A" w:rsidRDefault="00867678">
      <w:pPr>
        <w:tabs>
          <w:tab w:val="left" w:pos="709"/>
        </w:tabs>
        <w:ind w:left="709" w:hanging="709"/>
        <w:rPr>
          <w:rFonts w:eastAsia="Times New Roman"/>
          <w:noProof/>
        </w:rPr>
      </w:pPr>
      <w:r>
        <w:rPr>
          <w:noProof/>
        </w:rPr>
        <w:tab/>
        <w:t>„6. Информацията, съобщена съгласно член 8аа, параграф 2, се предоставя по електронен път чрез мрежата CCN. Комисията приема необходимите</w:t>
      </w:r>
      <w:r>
        <w:rPr>
          <w:noProof/>
        </w:rPr>
        <w:t xml:space="preserve"> практически договорености за актуализирането на мрежата CCN посредством актове за изпълнение. Тези актове за изпълнение се приемат в съответствие с процедурата по разглеждане, посочена в член 26, параграф 2.“;</w:t>
      </w:r>
    </w:p>
    <w:p w:rsidR="00C0119A" w:rsidRDefault="00C0119A">
      <w:pPr>
        <w:tabs>
          <w:tab w:val="left" w:pos="709"/>
        </w:tabs>
        <w:ind w:left="709" w:hanging="709"/>
        <w:rPr>
          <w:rFonts w:eastAsia="Times New Roman"/>
          <w:noProof/>
        </w:rPr>
      </w:pPr>
    </w:p>
    <w:p w:rsidR="00C0119A" w:rsidRDefault="00867678">
      <w:pPr>
        <w:tabs>
          <w:tab w:val="left" w:pos="709"/>
        </w:tabs>
        <w:ind w:left="709" w:hanging="709"/>
        <w:rPr>
          <w:rFonts w:eastAsia="Times New Roman"/>
          <w:noProof/>
        </w:rPr>
      </w:pPr>
      <w:r>
        <w:rPr>
          <w:noProof/>
        </w:rPr>
        <w:t>5)</w:t>
      </w:r>
      <w:r>
        <w:rPr>
          <w:noProof/>
        </w:rPr>
        <w:tab/>
        <w:t>В член 23 параграф 3 се заменя със следно</w:t>
      </w:r>
      <w:r>
        <w:rPr>
          <w:noProof/>
        </w:rPr>
        <w:t>то:</w:t>
      </w:r>
    </w:p>
    <w:p w:rsidR="00C0119A" w:rsidRDefault="00867678">
      <w:pPr>
        <w:tabs>
          <w:tab w:val="left" w:pos="709"/>
        </w:tabs>
        <w:ind w:left="709" w:hanging="709"/>
        <w:rPr>
          <w:rFonts w:eastAsia="Times New Roman"/>
          <w:noProof/>
        </w:rPr>
      </w:pPr>
      <w:r>
        <w:rPr>
          <w:noProof/>
        </w:rPr>
        <w:tab/>
        <w:t>„3. Държавите членки предоставят на Комисията годишна оценка за ефективността на автоматичния обмен на информация, предвиден в членове 8, 8а и 8аа, и съобщават постигнатите практически резултати. Редът и условията за предоставянето на годишната оценка</w:t>
      </w:r>
      <w:r>
        <w:rPr>
          <w:noProof/>
        </w:rPr>
        <w:t xml:space="preserve"> се одобряват от Комисията посредством актове за изпълнение. Тези актове за изпълнение се приемат в съответствие с процедурата по разглеждане, посочена в член 26, параграф 2.“;</w:t>
      </w:r>
    </w:p>
    <w:p w:rsidR="00C0119A" w:rsidRDefault="00C0119A">
      <w:pPr>
        <w:tabs>
          <w:tab w:val="left" w:pos="709"/>
        </w:tabs>
        <w:ind w:left="709" w:hanging="709"/>
        <w:rPr>
          <w:rFonts w:eastAsia="Times New Roman"/>
          <w:noProof/>
        </w:rPr>
      </w:pPr>
    </w:p>
    <w:p w:rsidR="00C0119A" w:rsidRDefault="00867678">
      <w:pPr>
        <w:tabs>
          <w:tab w:val="left" w:pos="709"/>
        </w:tabs>
        <w:ind w:left="709" w:hanging="709"/>
        <w:rPr>
          <w:rFonts w:eastAsia="Times New Roman"/>
          <w:noProof/>
        </w:rPr>
      </w:pPr>
      <w:r>
        <w:rPr>
          <w:noProof/>
        </w:rPr>
        <w:t>6)</w:t>
      </w:r>
      <w:r>
        <w:rPr>
          <w:noProof/>
        </w:rPr>
        <w:tab/>
        <w:t>Създава се следният член 25a:</w:t>
      </w:r>
    </w:p>
    <w:p w:rsidR="00C0119A" w:rsidRDefault="00867678">
      <w:pPr>
        <w:ind w:left="720" w:hanging="720"/>
        <w:jc w:val="center"/>
        <w:rPr>
          <w:rFonts w:eastAsia="Times New Roman"/>
          <w:noProof/>
        </w:rPr>
      </w:pPr>
      <w:r>
        <w:rPr>
          <w:noProof/>
        </w:rPr>
        <w:t>„Член 25a</w:t>
      </w:r>
    </w:p>
    <w:p w:rsidR="00C0119A" w:rsidRDefault="00867678">
      <w:pPr>
        <w:ind w:left="720" w:hanging="720"/>
        <w:jc w:val="center"/>
        <w:rPr>
          <w:rFonts w:eastAsia="Times New Roman"/>
          <w:noProof/>
        </w:rPr>
      </w:pPr>
      <w:r>
        <w:rPr>
          <w:noProof/>
        </w:rPr>
        <w:t xml:space="preserve">Санкции </w:t>
      </w:r>
    </w:p>
    <w:p w:rsidR="00C0119A" w:rsidRDefault="00867678">
      <w:pPr>
        <w:tabs>
          <w:tab w:val="left" w:pos="709"/>
        </w:tabs>
        <w:ind w:left="709" w:hanging="709"/>
        <w:rPr>
          <w:rFonts w:eastAsia="Times New Roman"/>
          <w:noProof/>
        </w:rPr>
      </w:pPr>
      <w:r>
        <w:rPr>
          <w:noProof/>
        </w:rPr>
        <w:tab/>
        <w:t>Държавите членки установя</w:t>
      </w:r>
      <w:r>
        <w:rPr>
          <w:noProof/>
        </w:rPr>
        <w:t>ват правила относно санкциите, приложими при нарушения на националните разпоредби, приети съгласно настоящата директива и отнасящи се до член 8аа, и вземат всички необходими мерки за осигуряване на тяхното изпълнение. Предвидените санкции са ефективни, про</w:t>
      </w:r>
      <w:r>
        <w:rPr>
          <w:noProof/>
        </w:rPr>
        <w:t>порционални и възпиращи. В срок до 31 декември 2016 г. държавите членки съобщават на Комисията тези правила и мерки и незабавно я уведомяват за всяко последващо изменение, което ги засяга.“;</w:t>
      </w:r>
    </w:p>
    <w:p w:rsidR="00C0119A" w:rsidRDefault="00C0119A">
      <w:pPr>
        <w:tabs>
          <w:tab w:val="left" w:pos="709"/>
        </w:tabs>
        <w:ind w:left="709" w:hanging="709"/>
        <w:rPr>
          <w:rFonts w:eastAsia="Times New Roman"/>
          <w:b/>
          <w:noProof/>
        </w:rPr>
      </w:pPr>
    </w:p>
    <w:p w:rsidR="00C0119A" w:rsidRDefault="00867678">
      <w:pPr>
        <w:tabs>
          <w:tab w:val="left" w:pos="709"/>
        </w:tabs>
        <w:ind w:left="709" w:hanging="709"/>
        <w:rPr>
          <w:rFonts w:eastAsia="Times New Roman"/>
          <w:noProof/>
        </w:rPr>
      </w:pPr>
      <w:r>
        <w:rPr>
          <w:noProof/>
        </w:rPr>
        <w:t>7)</w:t>
      </w:r>
      <w:r>
        <w:rPr>
          <w:noProof/>
        </w:rPr>
        <w:tab/>
        <w:t>Член 26 се заменя със следното:</w:t>
      </w:r>
    </w:p>
    <w:p w:rsidR="00C0119A" w:rsidRDefault="00C0119A">
      <w:pPr>
        <w:tabs>
          <w:tab w:val="left" w:pos="709"/>
        </w:tabs>
        <w:ind w:left="709" w:hanging="709"/>
        <w:rPr>
          <w:rFonts w:eastAsia="Times New Roman"/>
          <w:noProof/>
        </w:rPr>
      </w:pPr>
    </w:p>
    <w:p w:rsidR="00C0119A" w:rsidRDefault="00867678">
      <w:pPr>
        <w:tabs>
          <w:tab w:val="left" w:pos="709"/>
        </w:tabs>
        <w:ind w:left="709" w:hanging="709"/>
        <w:jc w:val="center"/>
        <w:rPr>
          <w:rFonts w:eastAsia="Times New Roman"/>
          <w:noProof/>
        </w:rPr>
      </w:pPr>
      <w:r>
        <w:rPr>
          <w:noProof/>
        </w:rPr>
        <w:t>„Член 26</w:t>
      </w:r>
    </w:p>
    <w:p w:rsidR="00C0119A" w:rsidRDefault="00867678">
      <w:pPr>
        <w:tabs>
          <w:tab w:val="left" w:pos="709"/>
        </w:tabs>
        <w:ind w:left="709" w:hanging="709"/>
        <w:jc w:val="center"/>
        <w:rPr>
          <w:rFonts w:eastAsia="Times New Roman"/>
          <w:noProof/>
        </w:rPr>
      </w:pPr>
      <w:r>
        <w:rPr>
          <w:noProof/>
        </w:rPr>
        <w:t xml:space="preserve">Процедура на </w:t>
      </w:r>
      <w:r>
        <w:rPr>
          <w:noProof/>
        </w:rPr>
        <w:t>комитет</w:t>
      </w:r>
    </w:p>
    <w:p w:rsidR="00C0119A" w:rsidRDefault="00867678">
      <w:pPr>
        <w:tabs>
          <w:tab w:val="left" w:pos="709"/>
        </w:tabs>
        <w:ind w:left="709" w:hanging="709"/>
        <w:rPr>
          <w:rFonts w:eastAsia="Times New Roman"/>
          <w:noProof/>
        </w:rPr>
      </w:pPr>
      <w:r>
        <w:rPr>
          <w:noProof/>
        </w:rPr>
        <w:t>1.</w:t>
      </w:r>
      <w:r>
        <w:rPr>
          <w:noProof/>
        </w:rPr>
        <w:tab/>
        <w:t>Комисията се подпомага от Комитет за административно сътрудничество в областта на данъчното облагане. Този комитет е комитет по смисъла на Регламент (ЕС) № 182/2011 на Европейския парламент и на Съвета (*).</w:t>
      </w:r>
    </w:p>
    <w:p w:rsidR="00C0119A" w:rsidRDefault="00867678">
      <w:pPr>
        <w:tabs>
          <w:tab w:val="left" w:pos="709"/>
        </w:tabs>
        <w:ind w:left="709" w:hanging="709"/>
        <w:rPr>
          <w:rFonts w:eastAsia="Times New Roman"/>
          <w:noProof/>
        </w:rPr>
      </w:pPr>
      <w:r>
        <w:rPr>
          <w:noProof/>
        </w:rPr>
        <w:t>2.</w:t>
      </w:r>
      <w:r>
        <w:rPr>
          <w:noProof/>
        </w:rPr>
        <w:tab/>
        <w:t>При позоваване на настоящия парагра</w:t>
      </w:r>
      <w:r>
        <w:rPr>
          <w:noProof/>
        </w:rPr>
        <w:t>ф се прилага член 5 от Регламент (ЕС) № 182/2011.</w:t>
      </w:r>
    </w:p>
    <w:p w:rsidR="00C0119A" w:rsidRDefault="00C0119A">
      <w:pPr>
        <w:tabs>
          <w:tab w:val="left" w:pos="709"/>
        </w:tabs>
        <w:ind w:left="709" w:hanging="709"/>
        <w:rPr>
          <w:rFonts w:eastAsia="Times New Roman"/>
          <w:noProof/>
        </w:rPr>
      </w:pPr>
    </w:p>
    <w:p w:rsidR="00C0119A" w:rsidRDefault="00867678">
      <w:pPr>
        <w:tabs>
          <w:tab w:val="left" w:pos="709"/>
        </w:tabs>
        <w:ind w:left="709" w:hanging="709"/>
        <w:rPr>
          <w:rFonts w:eastAsia="Times New Roman"/>
          <w:noProof/>
        </w:rPr>
      </w:pPr>
      <w:r>
        <w:rPr>
          <w:noProof/>
          <w:sz w:val="20"/>
          <w:vertAlign w:val="superscript"/>
        </w:rPr>
        <w:t>(*)</w:t>
      </w:r>
      <w:r>
        <w:rPr>
          <w:noProof/>
          <w:sz w:val="20"/>
        </w:rPr>
        <w:t xml:space="preserve"> </w:t>
      </w:r>
      <w:r>
        <w:rPr>
          <w:noProof/>
        </w:rPr>
        <w:tab/>
        <w:t xml:space="preserve">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w:t>
      </w:r>
      <w:r>
        <w:rPr>
          <w:noProof/>
        </w:rPr>
        <w:t>върху упражняването на изпълнителните правомощия от страна на Комисията (ОВ L 55, 28.2.2011 г., стр.13).“;</w:t>
      </w:r>
      <w:r>
        <w:rPr>
          <w:noProof/>
        </w:rPr>
        <w:tab/>
      </w:r>
    </w:p>
    <w:p w:rsidR="00C0119A" w:rsidRDefault="00C0119A">
      <w:pPr>
        <w:tabs>
          <w:tab w:val="left" w:pos="709"/>
        </w:tabs>
        <w:ind w:left="709" w:hanging="709"/>
        <w:rPr>
          <w:rFonts w:eastAsia="Times New Roman"/>
          <w:noProof/>
        </w:rPr>
      </w:pPr>
    </w:p>
    <w:p w:rsidR="00C0119A" w:rsidRDefault="00867678">
      <w:pPr>
        <w:rPr>
          <w:rFonts w:eastAsia="Times New Roman"/>
          <w:noProof/>
        </w:rPr>
      </w:pPr>
      <w:r>
        <w:rPr>
          <w:noProof/>
        </w:rPr>
        <w:t xml:space="preserve"> 8)</w:t>
      </w:r>
      <w:r>
        <w:rPr>
          <w:noProof/>
        </w:rPr>
        <w:tab/>
        <w:t>Добавя се приложение III, чийто текст се съдържа в приложение I към настоящата директива.</w:t>
      </w:r>
    </w:p>
    <w:p w:rsidR="00C0119A" w:rsidRDefault="00867678">
      <w:pPr>
        <w:pStyle w:val="Titrearticle"/>
        <w:rPr>
          <w:noProof/>
        </w:rPr>
      </w:pPr>
      <w:r>
        <w:rPr>
          <w:noProof/>
        </w:rPr>
        <w:t>Член 2</w:t>
      </w:r>
    </w:p>
    <w:p w:rsidR="00C0119A" w:rsidRDefault="00867678">
      <w:pPr>
        <w:pStyle w:val="ManualNumPar1"/>
        <w:rPr>
          <w:noProof/>
        </w:rPr>
      </w:pPr>
      <w:r>
        <w:rPr>
          <w:noProof/>
        </w:rPr>
        <w:t>1.</w:t>
      </w:r>
      <w:r>
        <w:rPr>
          <w:noProof/>
        </w:rPr>
        <w:tab/>
        <w:t>Държавите членки приемат и публикуват до 31</w:t>
      </w:r>
      <w:r>
        <w:rPr>
          <w:noProof/>
        </w:rPr>
        <w:t xml:space="preserve"> декември 2016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rsidR="00C0119A" w:rsidRDefault="00867678">
      <w:pPr>
        <w:pStyle w:val="Text1"/>
        <w:rPr>
          <w:noProof/>
        </w:rPr>
      </w:pPr>
      <w:r>
        <w:rPr>
          <w:noProof/>
        </w:rPr>
        <w:t>Те прилагат тези разпоредби от 1 януари 2017 г.</w:t>
      </w:r>
    </w:p>
    <w:p w:rsidR="00C0119A" w:rsidRDefault="00867678">
      <w:pPr>
        <w:pStyle w:val="Text1"/>
        <w:rPr>
          <w:noProof/>
        </w:rPr>
      </w:pPr>
      <w:r>
        <w:rPr>
          <w:noProof/>
        </w:rPr>
        <w:t>Когато държави</w:t>
      </w:r>
      <w:r>
        <w:rPr>
          <w:noProof/>
        </w:rPr>
        <w:t>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C0119A" w:rsidRDefault="00867678">
      <w:pPr>
        <w:pStyle w:val="ManualNumPar1"/>
        <w:rPr>
          <w:noProof/>
        </w:rPr>
      </w:pPr>
      <w:r>
        <w:rPr>
          <w:noProof/>
        </w:rPr>
        <w:t>2.</w:t>
      </w:r>
      <w:r>
        <w:rPr>
          <w:noProof/>
        </w:rPr>
        <w:tab/>
        <w:t>Държавите членки съобщават на Комисията текста на</w:t>
      </w:r>
      <w:r>
        <w:rPr>
          <w:noProof/>
        </w:rPr>
        <w:t xml:space="preserve"> основните разпоредби от националното законодателство, които те приемат в областта, уредена с настоящата директива.</w:t>
      </w:r>
    </w:p>
    <w:p w:rsidR="00C0119A" w:rsidRDefault="00867678">
      <w:pPr>
        <w:pStyle w:val="Titrearticle"/>
        <w:rPr>
          <w:noProof/>
        </w:rPr>
      </w:pPr>
      <w:r>
        <w:rPr>
          <w:noProof/>
        </w:rPr>
        <w:t>Член 3</w:t>
      </w:r>
    </w:p>
    <w:p w:rsidR="00C0119A" w:rsidRDefault="00867678">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rsidR="00C0119A" w:rsidRDefault="00867678">
      <w:pPr>
        <w:pStyle w:val="Titrearticle"/>
        <w:rPr>
          <w:noProof/>
        </w:rPr>
      </w:pPr>
      <w:r>
        <w:rPr>
          <w:noProof/>
        </w:rPr>
        <w:t>Член 4</w:t>
      </w:r>
    </w:p>
    <w:p w:rsidR="00C0119A" w:rsidRDefault="00867678">
      <w:pPr>
        <w:rPr>
          <w:noProof/>
        </w:rPr>
      </w:pPr>
      <w:r>
        <w:rPr>
          <w:noProof/>
        </w:rPr>
        <w:t>Адре</w:t>
      </w:r>
      <w:r>
        <w:rPr>
          <w:noProof/>
        </w:rPr>
        <w:t>сати на настоящата директива са държавите членки.</w:t>
      </w:r>
    </w:p>
    <w:p w:rsidR="00C0119A" w:rsidRDefault="00867678" w:rsidP="00867678">
      <w:pPr>
        <w:pStyle w:val="Fait"/>
        <w:rPr>
          <w:noProof/>
        </w:rPr>
      </w:pPr>
      <w:r w:rsidRPr="00867678">
        <w:t xml:space="preserve">Съставено в Брюксел на </w:t>
      </w:r>
      <w:r w:rsidRPr="00867678">
        <w:rPr>
          <w:rStyle w:val="Marker2"/>
        </w:rPr>
        <w:t>[…]</w:t>
      </w:r>
      <w:r w:rsidRPr="00867678">
        <w:t xml:space="preserve"> година.</w:t>
      </w:r>
    </w:p>
    <w:p w:rsidR="00C0119A" w:rsidRDefault="00867678">
      <w:pPr>
        <w:pStyle w:val="Institutionquisigne"/>
        <w:rPr>
          <w:noProof/>
        </w:rPr>
      </w:pPr>
      <w:r>
        <w:rPr>
          <w:noProof/>
        </w:rPr>
        <w:tab/>
        <w:t>За Съвета</w:t>
      </w:r>
    </w:p>
    <w:p w:rsidR="00C0119A" w:rsidRDefault="00867678">
      <w:pPr>
        <w:pStyle w:val="Personnequisigne"/>
        <w:rPr>
          <w:noProof/>
        </w:rPr>
      </w:pPr>
      <w:r>
        <w:rPr>
          <w:noProof/>
        </w:rPr>
        <w:tab/>
        <w:t>Председател</w:t>
      </w:r>
    </w:p>
    <w:p w:rsidR="00C0119A" w:rsidRDefault="00C0119A">
      <w:pPr>
        <w:spacing w:before="0" w:after="0"/>
        <w:jc w:val="left"/>
        <w:rPr>
          <w:noProof/>
        </w:rPr>
        <w:sectPr w:rsidR="00C0119A" w:rsidSect="00867678">
          <w:pgSz w:w="11907" w:h="16839"/>
          <w:pgMar w:top="1134" w:right="1417" w:bottom="1134" w:left="1417" w:header="709" w:footer="709" w:gutter="0"/>
          <w:cols w:space="720"/>
          <w:docGrid w:linePitch="326"/>
        </w:sectPr>
      </w:pPr>
    </w:p>
    <w:p w:rsidR="00C0119A" w:rsidRDefault="00867678">
      <w:pPr>
        <w:pStyle w:val="Fichefinanciretitre"/>
        <w:rPr>
          <w:noProof/>
        </w:rPr>
      </w:pPr>
      <w:r>
        <w:rPr>
          <w:noProof/>
        </w:rPr>
        <w:t>ЗАКОНОДАТЕЛНА ФИНАНСОВА ОБОСНОВКА</w:t>
      </w:r>
    </w:p>
    <w:p w:rsidR="00C0119A" w:rsidRDefault="00867678">
      <w:pPr>
        <w:pStyle w:val="ManualHeading1"/>
        <w:rPr>
          <w:noProof/>
        </w:rPr>
      </w:pPr>
      <w:r>
        <w:rPr>
          <w:noProof/>
        </w:rPr>
        <w:t>1.</w:t>
      </w:r>
      <w:r>
        <w:rPr>
          <w:noProof/>
        </w:rPr>
        <w:tab/>
        <w:t xml:space="preserve">РАМКА НА ПРЕДЛОЖЕНИЕТО/ИНИЦИАТИВАТА </w:t>
      </w:r>
    </w:p>
    <w:p w:rsidR="00C0119A" w:rsidRDefault="00867678">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C0119A" w:rsidRDefault="00867678">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C0119A" w:rsidRDefault="00867678">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C0119A" w:rsidRDefault="00867678">
      <w:pPr>
        <w:pStyle w:val="ManualHeading2"/>
        <w:rPr>
          <w:b w:val="0"/>
          <w:noProof/>
        </w:rPr>
      </w:pPr>
      <w:r>
        <w:rPr>
          <w:noProof/>
        </w:rPr>
        <w:tab/>
      </w:r>
      <w:r>
        <w:rPr>
          <w:b w:val="0"/>
          <w:noProof/>
        </w:rPr>
        <w:t>1.4.</w:t>
      </w:r>
      <w:r>
        <w:rPr>
          <w:noProof/>
        </w:rPr>
        <w:tab/>
      </w:r>
      <w:r>
        <w:rPr>
          <w:b w:val="0"/>
          <w:noProof/>
        </w:rPr>
        <w:t xml:space="preserve">Цели </w:t>
      </w:r>
    </w:p>
    <w:p w:rsidR="00C0119A" w:rsidRDefault="00867678">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C0119A" w:rsidRDefault="00867678">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C0119A" w:rsidRDefault="00867678">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C0119A" w:rsidRDefault="00867678">
      <w:pPr>
        <w:pStyle w:val="ManualHeading1"/>
        <w:rPr>
          <w:noProof/>
        </w:rPr>
      </w:pPr>
      <w:r>
        <w:rPr>
          <w:noProof/>
        </w:rPr>
        <w:t>2.</w:t>
      </w:r>
      <w:r>
        <w:rPr>
          <w:noProof/>
        </w:rPr>
        <w:tab/>
        <w:t>МЕРКИ ЗА УПР</w:t>
      </w:r>
      <w:r>
        <w:rPr>
          <w:noProof/>
        </w:rPr>
        <w:t xml:space="preserve">АВЛЕНИЕ </w:t>
      </w:r>
    </w:p>
    <w:p w:rsidR="00C0119A" w:rsidRDefault="00867678">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C0119A" w:rsidRDefault="00867678">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C0119A" w:rsidRDefault="00867678">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C0119A" w:rsidRDefault="00867678">
      <w:pPr>
        <w:pStyle w:val="ManualHeading1"/>
        <w:rPr>
          <w:noProof/>
        </w:rPr>
      </w:pPr>
      <w:r>
        <w:rPr>
          <w:noProof/>
        </w:rPr>
        <w:t>3.</w:t>
      </w:r>
      <w:r>
        <w:rPr>
          <w:noProof/>
        </w:rPr>
        <w:tab/>
        <w:t xml:space="preserve">ОЧАКВАНО ФИНАНСОВО ОТРАЖЕНИЕ НА ПРЕДЛОЖЕНИЕТО/ИНИЦИАТИВАТА </w:t>
      </w:r>
    </w:p>
    <w:p w:rsidR="00C0119A" w:rsidRDefault="00867678">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C0119A" w:rsidRDefault="00867678">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C0119A" w:rsidRDefault="00867678">
      <w:pPr>
        <w:pStyle w:val="ManualHeading3"/>
        <w:rPr>
          <w:noProof/>
        </w:rPr>
      </w:pPr>
      <w:r>
        <w:rPr>
          <w:noProof/>
        </w:rPr>
        <w:tab/>
        <w:t>3.2.1.</w:t>
      </w:r>
      <w:r>
        <w:rPr>
          <w:noProof/>
        </w:rPr>
        <w:tab/>
        <w:t xml:space="preserve">Обобщение на очакваното отражение върху разходите </w:t>
      </w:r>
    </w:p>
    <w:p w:rsidR="00C0119A" w:rsidRDefault="00867678">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C0119A" w:rsidRDefault="00867678">
      <w:pPr>
        <w:pStyle w:val="ManualHeading3"/>
        <w:rPr>
          <w:noProof/>
        </w:rPr>
      </w:pPr>
      <w:r>
        <w:rPr>
          <w:noProof/>
        </w:rPr>
        <w:tab/>
        <w:t>3.2.3.</w:t>
      </w:r>
      <w:r>
        <w:rPr>
          <w:noProof/>
        </w:rPr>
        <w:tab/>
        <w:t>Очаквано отражение върху бюджетните кредити за административни разходи</w:t>
      </w:r>
    </w:p>
    <w:p w:rsidR="00C0119A" w:rsidRDefault="00867678">
      <w:pPr>
        <w:pStyle w:val="ManualHeading3"/>
        <w:rPr>
          <w:noProof/>
        </w:rPr>
      </w:pPr>
      <w:r>
        <w:rPr>
          <w:noProof/>
        </w:rPr>
        <w:tab/>
        <w:t>3.2.4.</w:t>
      </w:r>
      <w:r>
        <w:rPr>
          <w:noProof/>
        </w:rPr>
        <w:tab/>
        <w:t>Съвместимост с настоящата многогодишна финансова рамка</w:t>
      </w:r>
    </w:p>
    <w:p w:rsidR="00C0119A" w:rsidRDefault="00867678">
      <w:pPr>
        <w:pStyle w:val="ManualHeading3"/>
        <w:rPr>
          <w:noProof/>
        </w:rPr>
      </w:pPr>
      <w:r>
        <w:rPr>
          <w:noProof/>
        </w:rPr>
        <w:tab/>
        <w:t>3.2.5.</w:t>
      </w:r>
      <w:r>
        <w:rPr>
          <w:noProof/>
        </w:rPr>
        <w:tab/>
        <w:t xml:space="preserve">Участие на трети страни във финансирането </w:t>
      </w:r>
    </w:p>
    <w:p w:rsidR="00C0119A" w:rsidRDefault="00867678">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rsidR="00C0119A" w:rsidRDefault="00C0119A">
      <w:pPr>
        <w:spacing w:before="0" w:after="0"/>
        <w:jc w:val="left"/>
        <w:rPr>
          <w:noProof/>
        </w:rPr>
        <w:sectPr w:rsidR="00C0119A" w:rsidSect="00867678">
          <w:pgSz w:w="11907" w:h="16840"/>
          <w:pgMar w:top="1134" w:right="1418" w:bottom="1134" w:left="1418" w:header="709" w:footer="709" w:gutter="0"/>
          <w:cols w:space="720"/>
          <w:docGrid w:linePitch="326"/>
        </w:sectPr>
      </w:pPr>
    </w:p>
    <w:p w:rsidR="00C0119A" w:rsidRDefault="00867678">
      <w:pPr>
        <w:jc w:val="center"/>
        <w:rPr>
          <w:noProof/>
        </w:rPr>
      </w:pPr>
      <w:r>
        <w:rPr>
          <w:b/>
          <w:noProof/>
          <w:u w:val="single"/>
        </w:rPr>
        <w:t>ЗА</w:t>
      </w:r>
      <w:r>
        <w:rPr>
          <w:b/>
          <w:noProof/>
          <w:u w:val="single"/>
        </w:rPr>
        <w:t>КОНОДАТЕЛНА ФИНАНСОВА ОБОСНОВКА</w:t>
      </w:r>
    </w:p>
    <w:p w:rsidR="00C0119A" w:rsidRDefault="00867678">
      <w:pPr>
        <w:pStyle w:val="ManualHeading1"/>
        <w:rPr>
          <w:noProof/>
        </w:rPr>
      </w:pPr>
      <w:r>
        <w:rPr>
          <w:noProof/>
        </w:rPr>
        <w:t>1.</w:t>
      </w:r>
      <w:r>
        <w:rPr>
          <w:noProof/>
        </w:rPr>
        <w:tab/>
        <w:t xml:space="preserve">РАМКА НА ПРЕДЛОЖЕНИЕТО/ИНИЦИАТИВАТА </w:t>
      </w:r>
    </w:p>
    <w:p w:rsidR="00C0119A" w:rsidRDefault="00867678">
      <w:pPr>
        <w:pStyle w:val="ManualHeading2"/>
        <w:rPr>
          <w:noProof/>
        </w:rPr>
      </w:pPr>
      <w:r>
        <w:rPr>
          <w:noProof/>
        </w:rPr>
        <w:t>1.1.</w:t>
      </w:r>
      <w:r>
        <w:rPr>
          <w:noProof/>
        </w:rPr>
        <w:tab/>
        <w:t xml:space="preserve">Наименование на предложението/инициативата </w:t>
      </w:r>
    </w:p>
    <w:p w:rsidR="00C0119A" w:rsidRDefault="00867678">
      <w:pPr>
        <w:pStyle w:val="Text1"/>
        <w:pBdr>
          <w:top w:val="single" w:sz="4" w:space="1" w:color="auto"/>
          <w:left w:val="single" w:sz="4" w:space="4" w:color="auto"/>
          <w:bottom w:val="single" w:sz="4" w:space="1" w:color="auto"/>
          <w:right w:val="single" w:sz="4" w:space="4" w:color="auto"/>
        </w:pBdr>
        <w:spacing w:after="0"/>
        <w:rPr>
          <w:noProof/>
        </w:rPr>
      </w:pPr>
      <w:r>
        <w:rPr>
          <w:noProof/>
        </w:rPr>
        <w:t xml:space="preserve">Предложение за Директива на Съвета за изменение на Директива 2011/16/ЕС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по отношение на обмена на информация в областта на данъчното облагане </w:t>
      </w:r>
    </w:p>
    <w:p w:rsidR="00C0119A" w:rsidRDefault="00867678">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11"/>
      </w:r>
      <w:r>
        <w:rPr>
          <w:i/>
          <w:noProof/>
        </w:rPr>
        <w:t xml:space="preserve">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14</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14.03 </w:t>
      </w:r>
    </w:p>
    <w:p w:rsidR="00C0119A" w:rsidRDefault="00867678">
      <w:pPr>
        <w:pStyle w:val="ManualHeading2"/>
        <w:rPr>
          <w:bCs/>
          <w:noProof/>
          <w:szCs w:val="24"/>
        </w:rPr>
      </w:pPr>
      <w:r>
        <w:rPr>
          <w:noProof/>
        </w:rPr>
        <w:t>1.3.</w:t>
      </w:r>
      <w:r>
        <w:rPr>
          <w:noProof/>
        </w:rPr>
        <w:tab/>
        <w:t xml:space="preserve">Естество на предложението/инициативата </w:t>
      </w:r>
    </w:p>
    <w:p w:rsidR="00C0119A" w:rsidRDefault="00867678">
      <w:pPr>
        <w:pStyle w:val="Text1"/>
        <w:rPr>
          <w:b/>
          <w:noProof/>
          <w:sz w:val="22"/>
        </w:rPr>
      </w:pPr>
      <w:r>
        <w:rPr>
          <w:noProof/>
          <w:sz w:val="22"/>
        </w:rPr>
        <w:sym w:font="Wingdings" w:char="F0FD"/>
      </w:r>
      <w:r>
        <w:rPr>
          <w:noProof/>
        </w:rPr>
        <w:t xml:space="preserve"> Предложението/инициативата е във връзка с </w:t>
      </w:r>
      <w:r>
        <w:rPr>
          <w:b/>
          <w:noProof/>
        </w:rPr>
        <w:t>нова дейност</w:t>
      </w:r>
      <w:r>
        <w:rPr>
          <w:b/>
          <w:noProof/>
          <w:sz w:val="22"/>
        </w:rPr>
        <w:t xml:space="preserve"> </w:t>
      </w:r>
    </w:p>
    <w:p w:rsidR="00C0119A" w:rsidRDefault="00867678">
      <w:pPr>
        <w:pStyle w:val="Text1"/>
        <w:rPr>
          <w:noProof/>
          <w:sz w:val="22"/>
        </w:rPr>
      </w:pPr>
      <w:r>
        <w:rPr>
          <w:noProof/>
          <w:sz w:val="22"/>
        </w:rPr>
        <w:sym w:font="Wingdings" w:char="F0A8"/>
      </w:r>
      <w:r>
        <w:rPr>
          <w:noProof/>
        </w:rPr>
        <w:t xml:space="preserve"> Предложението/инициативата е във връзка с </w:t>
      </w:r>
      <w:r>
        <w:rPr>
          <w:b/>
          <w:noProof/>
        </w:rPr>
        <w:t xml:space="preserve">нова дейност след пилотен проект/подготвителна дейност </w:t>
      </w:r>
      <w:r>
        <w:rPr>
          <w:rStyle w:val="FootnoteReference"/>
          <w:b/>
          <w:noProof/>
        </w:rPr>
        <w:footnoteReference w:id="12"/>
      </w:r>
      <w:r>
        <w:rPr>
          <w:noProof/>
          <w:sz w:val="22"/>
        </w:rPr>
        <w:t xml:space="preserve"> </w:t>
      </w:r>
    </w:p>
    <w:p w:rsidR="00C0119A" w:rsidRDefault="00867678">
      <w:pPr>
        <w:pStyle w:val="Text1"/>
        <w:rPr>
          <w:noProof/>
          <w:sz w:val="22"/>
        </w:rPr>
      </w:pPr>
      <w:r>
        <w:rPr>
          <w:noProof/>
          <w:sz w:val="22"/>
        </w:rPr>
        <w:sym w:font="Wingdings" w:char="F0A8"/>
      </w:r>
      <w:r>
        <w:rPr>
          <w:noProof/>
        </w:rPr>
        <w:t xml:space="preserve"> Предложението/инициативата е във връзка с </w:t>
      </w:r>
      <w:r>
        <w:rPr>
          <w:b/>
          <w:noProof/>
        </w:rPr>
        <w:t>продължаване на съществуваща дейност</w:t>
      </w:r>
      <w:r>
        <w:rPr>
          <w:noProof/>
          <w:sz w:val="22"/>
        </w:rPr>
        <w:t xml:space="preserve"> </w:t>
      </w:r>
    </w:p>
    <w:p w:rsidR="00C0119A" w:rsidRDefault="00867678">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w:t>
      </w:r>
      <w:r>
        <w:rPr>
          <w:b/>
          <w:noProof/>
        </w:rPr>
        <w:t xml:space="preserve"> дейност</w:t>
      </w:r>
      <w:r>
        <w:rPr>
          <w:noProof/>
        </w:rPr>
        <w:t xml:space="preserve"> </w:t>
      </w:r>
    </w:p>
    <w:p w:rsidR="00C0119A" w:rsidRDefault="00867678">
      <w:pPr>
        <w:pStyle w:val="ManualHeading2"/>
        <w:rPr>
          <w:bCs/>
          <w:noProof/>
          <w:szCs w:val="24"/>
        </w:rPr>
      </w:pPr>
      <w:r>
        <w:rPr>
          <w:noProof/>
        </w:rPr>
        <w:t>1.4.</w:t>
      </w:r>
      <w:r>
        <w:rPr>
          <w:noProof/>
        </w:rPr>
        <w:tab/>
        <w:t>Цели</w:t>
      </w:r>
    </w:p>
    <w:p w:rsidR="00C0119A" w:rsidRDefault="00867678">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Един от приоритетите, залегнали в работната програма на Комисията за 2015 г., е възприемането на по-справедлив подход к</w:t>
      </w:r>
      <w:r>
        <w:rPr>
          <w:noProof/>
        </w:rPr>
        <w:t>ъм данъчното облагане. Поради това една от ключовите области на действие в работната програма на Комисията за 2016 г. е укрепването на прозрачността на системата за корпоративно данъчно облагане.</w:t>
      </w:r>
    </w:p>
    <w:p w:rsidR="00C0119A" w:rsidRDefault="00867678">
      <w:pPr>
        <w:pStyle w:val="ManualHeading3"/>
        <w:rPr>
          <w:bCs/>
          <w:noProof/>
          <w:szCs w:val="24"/>
        </w:rPr>
      </w:pPr>
      <w:r>
        <w:rPr>
          <w:noProof/>
        </w:rPr>
        <w:t>1.4.2.</w:t>
      </w:r>
      <w:r>
        <w:rPr>
          <w:noProof/>
        </w:rPr>
        <w:tab/>
        <w:t>Конкретни цели и съответни дейности във връзка с УД/Б</w:t>
      </w:r>
      <w:r>
        <w:rPr>
          <w:noProof/>
        </w:rPr>
        <w:t xml:space="preserve">Д </w:t>
      </w:r>
    </w:p>
    <w:p w:rsidR="00C0119A" w:rsidRDefault="00867678">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rsidR="00C0119A" w:rsidRDefault="00867678">
      <w:pPr>
        <w:pStyle w:val="Text1"/>
        <w:pBdr>
          <w:top w:val="single" w:sz="4" w:space="1" w:color="auto"/>
          <w:left w:val="single" w:sz="4" w:space="4" w:color="auto"/>
          <w:bottom w:val="single" w:sz="4" w:space="1" w:color="auto"/>
          <w:right w:val="single" w:sz="4" w:space="4" w:color="auto"/>
        </w:pBdr>
        <w:rPr>
          <w:noProof/>
          <w:u w:val="single"/>
        </w:rPr>
      </w:pPr>
      <w:r>
        <w:rPr>
          <w:noProof/>
        </w:rPr>
        <w:t>Конкретната цел на програмата „Фискалис“ е да се подкрепи борбата с данъчните измами, отклоняването от данъчно облагане и агресивното данъчно планиране и прилагането на законодателството на Съюза в областта на данъчното облагане чрез осигу</w:t>
      </w:r>
      <w:r>
        <w:rPr>
          <w:noProof/>
        </w:rPr>
        <w:t>ряване на обмен на информация, подпомагане на административното сътрудничество и, когато е необходимо и целесъобразно, подобряване на административния капацитет на участващите държави с оглед да се подпомогне намаляването на административната тежест за дан</w:t>
      </w:r>
      <w:r>
        <w:rPr>
          <w:noProof/>
        </w:rPr>
        <w:t>ъчните органи и намаляването на разходите за данъкоплатците, свързани с изпълнение на данъчните задължения.</w:t>
      </w:r>
    </w:p>
    <w:p w:rsidR="00C0119A" w:rsidRDefault="00867678">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БД 3</w:t>
      </w:r>
    </w:p>
    <w:p w:rsidR="00C0119A" w:rsidRDefault="00867678">
      <w:pPr>
        <w:pStyle w:val="ManualHeading3"/>
        <w:rPr>
          <w:bCs/>
          <w:noProof/>
          <w:szCs w:val="24"/>
        </w:rPr>
      </w:pPr>
      <w:r>
        <w:rPr>
          <w:noProof/>
        </w:rPr>
        <w:br w:type="page"/>
        <w:t>1.4.3.</w:t>
      </w:r>
      <w:r>
        <w:rPr>
          <w:noProof/>
        </w:rPr>
        <w:tab/>
        <w:t>Очаквани резултати и отражение</w:t>
      </w:r>
    </w:p>
    <w:p w:rsidR="00C0119A" w:rsidRDefault="00867678">
      <w:pPr>
        <w:pStyle w:val="Text1"/>
        <w:rPr>
          <w:i/>
          <w:noProof/>
          <w:sz w:val="20"/>
        </w:rPr>
      </w:pPr>
      <w:r>
        <w:rPr>
          <w:i/>
          <w:noProof/>
          <w:sz w:val="20"/>
        </w:rPr>
        <w:t>Да се посочи въздействието, което предложението/инициативата следв</w:t>
      </w:r>
      <w:r>
        <w:rPr>
          <w:i/>
          <w:noProof/>
          <w:sz w:val="20"/>
        </w:rPr>
        <w:t>а да окаже по отношение на бенефициерите/целевите групи.</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Първо, автоматичният обмен на информация между държавите членки относно отчитането по държави ще означава, че всички държави членки ще могат правилно да преценяват дали мултинационалните групи използват агресивно данъчно планиране и ще могат да реагират по</w:t>
      </w:r>
      <w:r>
        <w:rPr>
          <w:noProof/>
        </w:rPr>
        <w:t xml:space="preserve"> подходящ начин.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Второ, по-голямата прозрачност следва да увеличи стимулите за установяването на по-лоялна конкуренция в областта на данъчното облагане. Възможно е също така автоматичният обмен на информация относно отчитането по държави да обезкуражи дру</w:t>
      </w:r>
      <w:r>
        <w:rPr>
          <w:noProof/>
        </w:rPr>
        <w:t xml:space="preserve">жествата да използват агресивно данъчно планиране, тъй като другите държави членки вече ще разполагат с необходимата информация, за да откриват и реагират на привидни договорености и прехвърляне на печалби. </w:t>
      </w:r>
    </w:p>
    <w:p w:rsidR="00C0119A" w:rsidRDefault="00867678">
      <w:pPr>
        <w:pStyle w:val="ManualHeading3"/>
        <w:rPr>
          <w:bCs/>
          <w:noProof/>
          <w:szCs w:val="24"/>
        </w:rPr>
      </w:pPr>
      <w:r>
        <w:rPr>
          <w:noProof/>
        </w:rPr>
        <w:t>1.4.4.</w:t>
      </w:r>
      <w:r>
        <w:rPr>
          <w:noProof/>
        </w:rPr>
        <w:tab/>
        <w:t>Показатели за резултатите и за отражениет</w:t>
      </w:r>
      <w:r>
        <w:rPr>
          <w:noProof/>
        </w:rPr>
        <w:t xml:space="preserve">о </w:t>
      </w:r>
    </w:p>
    <w:p w:rsidR="00C0119A" w:rsidRDefault="00867678">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Към предложението се прилагат изискванията на директивата, която то изменя (т.е. Директива 2011/16), за предоставяне от държавите членки на годишна о</w:t>
      </w:r>
      <w:r>
        <w:rPr>
          <w:noProof/>
        </w:rPr>
        <w:t>ценка на ефективността на автоматичния обмен на информация.</w:t>
      </w:r>
    </w:p>
    <w:p w:rsidR="00C0119A" w:rsidRDefault="00867678">
      <w:pPr>
        <w:pStyle w:val="ManualHeading2"/>
        <w:rPr>
          <w:bCs/>
          <w:noProof/>
          <w:szCs w:val="24"/>
        </w:rPr>
      </w:pPr>
      <w:r>
        <w:rPr>
          <w:noProof/>
        </w:rPr>
        <w:t>1.5.</w:t>
      </w:r>
      <w:r>
        <w:rPr>
          <w:noProof/>
        </w:rPr>
        <w:tab/>
        <w:t xml:space="preserve">Мотиви за предложението/инициативата </w:t>
      </w:r>
    </w:p>
    <w:p w:rsidR="00C0119A" w:rsidRDefault="00867678">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Съгласно настоящото предложение от държавите членки се изисква, след </w:t>
      </w:r>
      <w:r>
        <w:rPr>
          <w:noProof/>
        </w:rPr>
        <w:t>като получат отчета по държави, да предоставят информацията на онези държави членки, на които според информацията в отчета дружествата от МГП са или местни лица за данъчни цели, или подлежат на данъчно облагане по отношение на дейността, извършвана чрез мя</w:t>
      </w:r>
      <w:r>
        <w:rPr>
          <w:noProof/>
        </w:rPr>
        <w:t xml:space="preserve">сто на стопанска дейност. </w:t>
      </w:r>
    </w:p>
    <w:p w:rsidR="00C0119A" w:rsidRDefault="00867678">
      <w:pPr>
        <w:pStyle w:val="ManualHeading3"/>
        <w:rPr>
          <w:bCs/>
          <w:noProof/>
          <w:szCs w:val="24"/>
        </w:rPr>
      </w:pPr>
      <w:r>
        <w:rPr>
          <w:noProof/>
        </w:rPr>
        <w:t>1.5.2.</w:t>
      </w:r>
      <w:r>
        <w:rPr>
          <w:noProof/>
        </w:rPr>
        <w:tab/>
        <w:t>Добавена стойност от намесата на ЕС</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Инициативата на равнището на ЕС осигурява съгласуван, последователен и широкообхватен подход на ЕС по отношение на АОИ в рамките на вътрешния пазар. Тя би осигурила единен за всички държ</w:t>
      </w:r>
      <w:r>
        <w:rPr>
          <w:noProof/>
        </w:rPr>
        <w:t>ави членки подход към отчитането, което би довело до икономии на разходи както за данъчните администрации, така и за предприятията.</w:t>
      </w:r>
    </w:p>
    <w:p w:rsidR="00C0119A" w:rsidRDefault="00867678">
      <w:pPr>
        <w:pStyle w:val="Tex1"/>
        <w:rPr>
          <w:noProof/>
        </w:rPr>
      </w:pPr>
      <w:r>
        <w:rPr>
          <w:noProof/>
        </w:rPr>
        <w:t>Използването на правен инструмент на равнището на ЕС също така би обезпечило сигурност за данъчните администрации и за друже</w:t>
      </w:r>
      <w:r>
        <w:rPr>
          <w:noProof/>
        </w:rPr>
        <w:t>ствата в рамките на ЕС, би допринесло за развитието на международен стандарт за АОИ относно отчитането по държави, както бе обсъдено и договорено в рамките на ОИСР, и би включвало използването на информационно-технологични решения, които вече са въведени и</w:t>
      </w:r>
      <w:r>
        <w:rPr>
          <w:noProof/>
        </w:rPr>
        <w:t>ли са в процес на разработване, с цел да се улесни отчитането на информация по ДАС. Съгласно настоящата директива държавите — членки на ЕС, обменят информация в специални формати, като използват специален канал за комуникация. Тези формати лесно могат да б</w:t>
      </w:r>
      <w:r>
        <w:rPr>
          <w:noProof/>
        </w:rPr>
        <w:t>ъдат разширени, така че да бъдат използвани и за допълнителните позиции, които се предлага да бъдат включени. Тъй като държавите членки са инвестирали много време и средства при разработването на тези формати, ще бъдат реализирани икономии от мащаба, ако т</w:t>
      </w:r>
      <w:r>
        <w:rPr>
          <w:noProof/>
        </w:rPr>
        <w:t>е обменят информацията за новите позиции чрез вече съществуващите формати.</w:t>
      </w:r>
    </w:p>
    <w:p w:rsidR="00C0119A" w:rsidRDefault="00867678">
      <w:pPr>
        <w:pStyle w:val="ManualHeading3"/>
        <w:rPr>
          <w:bCs/>
          <w:noProof/>
          <w:szCs w:val="24"/>
        </w:rPr>
      </w:pPr>
      <w:r>
        <w:rPr>
          <w:noProof/>
        </w:rPr>
        <w:t>1.5.3.</w:t>
      </w:r>
      <w:r>
        <w:rPr>
          <w:noProof/>
        </w:rPr>
        <w:tab/>
        <w:t>Изводи от подобен опит в миналото</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Автоматичният обмен на информация между данъчните администрации, който се прилага в други области на данъчното облагане, като например за до</w:t>
      </w:r>
      <w:r>
        <w:rPr>
          <w:noProof/>
        </w:rPr>
        <w:t>ходите от спестявания, дава добри резултати. Автоматичният обмен в световен мащаб вече се възприема като най-добрият инструмент, с който данъчните администрации разполагат, за да се справят с избягването на данъци, отклонението от данъчно облагане и агреси</w:t>
      </w:r>
      <w:r>
        <w:rPr>
          <w:noProof/>
        </w:rPr>
        <w:t>вното данъчно планиране.</w:t>
      </w:r>
    </w:p>
    <w:p w:rsidR="00C0119A" w:rsidRDefault="00867678">
      <w:pPr>
        <w:pStyle w:val="ManualHeading3"/>
        <w:rPr>
          <w:bCs/>
          <w:noProof/>
          <w:szCs w:val="24"/>
        </w:rPr>
      </w:pPr>
      <w:r>
        <w:rPr>
          <w:noProof/>
        </w:rPr>
        <w:t>1.5.4.</w:t>
      </w:r>
      <w:r>
        <w:rPr>
          <w:noProof/>
        </w:rPr>
        <w:tab/>
        <w:t>Съвместимост и евентуална синергия с други подходящи инструменти</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Тъй като целта на предложението е да измени Директивата относно административното сътрудничество (2011/16), процедурите, договореностите и информационно-технол</w:t>
      </w:r>
      <w:r>
        <w:rPr>
          <w:noProof/>
        </w:rPr>
        <w:t>огичните инструменти, които са вече създадени или са в процес на разработване по силата на тази директива, ще бъдат на разположение с цел използването им за целите на настоящото предложение.</w:t>
      </w:r>
    </w:p>
    <w:p w:rsidR="00C0119A" w:rsidRDefault="00867678">
      <w:pPr>
        <w:pStyle w:val="ManualHeading2"/>
        <w:rPr>
          <w:bCs/>
          <w:noProof/>
          <w:szCs w:val="24"/>
        </w:rPr>
      </w:pPr>
      <w:r>
        <w:rPr>
          <w:noProof/>
        </w:rPr>
        <w:br w:type="page"/>
        <w:t>1.6.</w:t>
      </w:r>
      <w:r>
        <w:rPr>
          <w:noProof/>
        </w:rPr>
        <w:tab/>
        <w:t xml:space="preserve">Срок на действие и финансово отражение </w:t>
      </w:r>
    </w:p>
    <w:p w:rsidR="00C0119A" w:rsidRDefault="00867678">
      <w:pPr>
        <w:pStyle w:val="Text1"/>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rsidR="00C0119A" w:rsidRDefault="00867678">
      <w:pPr>
        <w:pStyle w:val="ListDash2"/>
        <w:numPr>
          <w:ilvl w:val="0"/>
          <w:numId w:val="17"/>
        </w:numPr>
        <w:rPr>
          <w:noProof/>
        </w:rPr>
      </w:pPr>
      <w:r>
        <w:rPr>
          <w:noProof/>
        </w:rPr>
        <w:sym w:font="Wingdings" w:char="F0A8"/>
      </w:r>
      <w:r>
        <w:rPr>
          <w:noProof/>
        </w:rPr>
        <w:t xml:space="preserve">Предложение/инициатива в сила от [ДД/ММ]ГГГГ до [ДД/ММ]ГГГГ </w:t>
      </w:r>
    </w:p>
    <w:p w:rsidR="00C0119A" w:rsidRDefault="00867678">
      <w:pPr>
        <w:pStyle w:val="ListDash2"/>
        <w:numPr>
          <w:ilvl w:val="0"/>
          <w:numId w:val="17"/>
        </w:numPr>
        <w:rPr>
          <w:noProof/>
        </w:rPr>
      </w:pPr>
      <w:r>
        <w:rPr>
          <w:noProof/>
        </w:rPr>
        <w:sym w:font="Wingdings" w:char="F0A8"/>
      </w:r>
      <w:r>
        <w:rPr>
          <w:noProof/>
        </w:rPr>
        <w:t xml:space="preserve"> Финансово отражение от ГГГГ до ГГГГ </w:t>
      </w:r>
    </w:p>
    <w:p w:rsidR="00C0119A" w:rsidRDefault="00867678">
      <w:pPr>
        <w:pStyle w:val="Text1"/>
        <w:rPr>
          <w:noProof/>
        </w:rPr>
      </w:pPr>
      <w:r>
        <w:rPr>
          <w:noProof/>
        </w:rPr>
        <w:sym w:font="Wingdings" w:char="F0FD"/>
      </w:r>
      <w:r>
        <w:rPr>
          <w:noProof/>
        </w:rPr>
        <w:t xml:space="preserve"> Предложение/инициатива с </w:t>
      </w:r>
      <w:r>
        <w:rPr>
          <w:b/>
          <w:noProof/>
        </w:rPr>
        <w:t>неограничен срок на действие</w:t>
      </w:r>
    </w:p>
    <w:p w:rsidR="00C0119A" w:rsidRDefault="00867678">
      <w:pPr>
        <w:pStyle w:val="ListDash1"/>
        <w:numPr>
          <w:ilvl w:val="0"/>
          <w:numId w:val="16"/>
        </w:numPr>
        <w:rPr>
          <w:noProof/>
        </w:rPr>
      </w:pPr>
      <w:r>
        <w:rPr>
          <w:noProof/>
        </w:rPr>
        <w:t>Осъществяване с период на започване на дейнос</w:t>
      </w:r>
      <w:r>
        <w:rPr>
          <w:noProof/>
        </w:rPr>
        <w:t>т от ГГГГ до ГГГГ,</w:t>
      </w:r>
    </w:p>
    <w:p w:rsidR="00C0119A" w:rsidRDefault="00867678">
      <w:pPr>
        <w:pStyle w:val="ListDash1"/>
        <w:numPr>
          <w:ilvl w:val="0"/>
          <w:numId w:val="16"/>
        </w:numPr>
        <w:rPr>
          <w:noProof/>
        </w:rPr>
      </w:pPr>
      <w:r>
        <w:rPr>
          <w:noProof/>
        </w:rPr>
        <w:t>Предложението ще породи действие  от 1 януари 2017 г. и ще бъде</w:t>
      </w:r>
    </w:p>
    <w:p w:rsidR="00C0119A" w:rsidRDefault="00867678">
      <w:pPr>
        <w:pStyle w:val="ListDash1"/>
        <w:numPr>
          <w:ilvl w:val="0"/>
          <w:numId w:val="16"/>
        </w:numPr>
        <w:rPr>
          <w:noProof/>
        </w:rPr>
      </w:pPr>
      <w:r>
        <w:rPr>
          <w:noProof/>
        </w:rPr>
        <w:t>последвано от пълномащабно прилагане.</w:t>
      </w:r>
    </w:p>
    <w:p w:rsidR="00C0119A" w:rsidRDefault="00867678">
      <w:pPr>
        <w:pStyle w:val="ManualHeading2"/>
        <w:rPr>
          <w:bCs/>
          <w:noProof/>
          <w:szCs w:val="24"/>
        </w:rPr>
      </w:pPr>
      <w:r>
        <w:rPr>
          <w:noProof/>
        </w:rPr>
        <w:t>1.7.</w:t>
      </w:r>
      <w:r>
        <w:rPr>
          <w:noProof/>
        </w:rPr>
        <w:tab/>
        <w:t>Предвидени методи на управление</w:t>
      </w:r>
      <w:r>
        <w:rPr>
          <w:rStyle w:val="FootnoteReference"/>
          <w:noProof/>
        </w:rPr>
        <w:footnoteReference w:id="13"/>
      </w:r>
      <w:r>
        <w:rPr>
          <w:rStyle w:val="FootnoteReference"/>
          <w:noProof/>
        </w:rPr>
        <w:t xml:space="preserve"> </w:t>
      </w:r>
    </w:p>
    <w:p w:rsidR="00C0119A" w:rsidRDefault="00867678">
      <w:pPr>
        <w:pStyle w:val="Text1"/>
        <w:rPr>
          <w:noProof/>
        </w:rPr>
      </w:pPr>
      <w:r>
        <w:rPr>
          <w:noProof/>
        </w:rPr>
        <w:sym w:font="Wingdings" w:char="F0FD"/>
      </w:r>
      <w:r>
        <w:rPr>
          <w:noProof/>
        </w:rPr>
        <w:t xml:space="preserve"> </w:t>
      </w:r>
      <w:r>
        <w:rPr>
          <w:b/>
          <w:noProof/>
        </w:rPr>
        <w:t>Пряко управление</w:t>
      </w:r>
      <w:r>
        <w:rPr>
          <w:noProof/>
        </w:rPr>
        <w:t xml:space="preserve"> от Комисията</w:t>
      </w:r>
    </w:p>
    <w:p w:rsidR="00C0119A" w:rsidRDefault="00867678">
      <w:pPr>
        <w:pStyle w:val="ListDash1"/>
        <w:numPr>
          <w:ilvl w:val="0"/>
          <w:numId w:val="16"/>
        </w:numPr>
        <w:rPr>
          <w:rFonts w:cs="EUAlbertina"/>
          <w:noProof/>
        </w:rPr>
      </w:pPr>
      <w:r>
        <w:rPr>
          <w:noProof/>
        </w:rPr>
        <w:sym w:font="Wingdings" w:char="F0FD"/>
      </w:r>
      <w:r>
        <w:rPr>
          <w:noProof/>
        </w:rPr>
        <w:t xml:space="preserve"> от нейните служби, включително от нейния персонал в делегациите на Съюза; програмата „Фискалис 2020“ се управлява директно.</w:t>
      </w:r>
    </w:p>
    <w:p w:rsidR="00C0119A" w:rsidRDefault="00867678">
      <w:pPr>
        <w:pStyle w:val="ListDash2"/>
        <w:numPr>
          <w:ilvl w:val="0"/>
          <w:numId w:val="17"/>
        </w:numPr>
        <w:rPr>
          <w:noProof/>
        </w:rPr>
      </w:pPr>
      <w:r>
        <w:rPr>
          <w:noProof/>
        </w:rPr>
        <w:sym w:font="Wingdings" w:char="F0A8"/>
      </w:r>
      <w:r>
        <w:rPr>
          <w:noProof/>
        </w:rPr>
        <w:t xml:space="preserve"> от изпълнителните агенции </w:t>
      </w:r>
    </w:p>
    <w:p w:rsidR="00C0119A" w:rsidRDefault="00867678">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rsidR="00C0119A" w:rsidRDefault="00867678">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w:t>
      </w:r>
      <w:r>
        <w:rPr>
          <w:noProof/>
        </w:rPr>
        <w:t>то на бюджета на:</w:t>
      </w:r>
    </w:p>
    <w:p w:rsidR="00C0119A" w:rsidRDefault="00867678">
      <w:pPr>
        <w:pStyle w:val="ListDash2"/>
        <w:numPr>
          <w:ilvl w:val="0"/>
          <w:numId w:val="17"/>
        </w:numPr>
        <w:rPr>
          <w:noProof/>
        </w:rPr>
      </w:pPr>
      <w:r>
        <w:rPr>
          <w:noProof/>
        </w:rPr>
        <w:sym w:font="Wingdings" w:char="F0A8"/>
      </w:r>
      <w:r>
        <w:rPr>
          <w:noProof/>
        </w:rPr>
        <w:t xml:space="preserve"> трети държави или органите, определени от тях,</w:t>
      </w:r>
    </w:p>
    <w:p w:rsidR="00C0119A" w:rsidRDefault="00867678">
      <w:pPr>
        <w:pStyle w:val="ListDash2"/>
        <w:numPr>
          <w:ilvl w:val="0"/>
          <w:numId w:val="17"/>
        </w:numPr>
        <w:rPr>
          <w:noProof/>
        </w:rPr>
      </w:pPr>
      <w:r>
        <w:rPr>
          <w:noProof/>
        </w:rPr>
        <w:sym w:font="Wingdings" w:char="F0A8"/>
      </w:r>
      <w:r>
        <w:rPr>
          <w:noProof/>
        </w:rPr>
        <w:t xml:space="preserve"> международни организации и техните агенции (да се уточни),</w:t>
      </w:r>
    </w:p>
    <w:p w:rsidR="00C0119A" w:rsidRDefault="00867678">
      <w:pPr>
        <w:pStyle w:val="ListDash2"/>
        <w:numPr>
          <w:ilvl w:val="0"/>
          <w:numId w:val="17"/>
        </w:numPr>
        <w:rPr>
          <w:noProof/>
        </w:rPr>
      </w:pPr>
      <w:r>
        <w:rPr>
          <w:noProof/>
        </w:rPr>
        <w:sym w:font="Wingdings" w:char="F0A8"/>
      </w:r>
      <w:r>
        <w:rPr>
          <w:noProof/>
        </w:rPr>
        <w:t xml:space="preserve"> ЕИБ и Европейския инвестиционен фонд,</w:t>
      </w:r>
    </w:p>
    <w:p w:rsidR="00C0119A" w:rsidRDefault="00867678">
      <w:pPr>
        <w:pStyle w:val="ListDash2"/>
        <w:numPr>
          <w:ilvl w:val="0"/>
          <w:numId w:val="17"/>
        </w:numPr>
        <w:rPr>
          <w:noProof/>
        </w:rPr>
      </w:pPr>
      <w:r>
        <w:rPr>
          <w:noProof/>
        </w:rPr>
        <w:sym w:font="Wingdings" w:char="F0A8"/>
      </w:r>
      <w:r>
        <w:rPr>
          <w:noProof/>
        </w:rPr>
        <w:t xml:space="preserve"> органите, посочени в членове 208 и 209 от Финансовия регламент,</w:t>
      </w:r>
    </w:p>
    <w:p w:rsidR="00C0119A" w:rsidRDefault="00867678">
      <w:pPr>
        <w:pStyle w:val="ListDash2"/>
        <w:numPr>
          <w:ilvl w:val="0"/>
          <w:numId w:val="17"/>
        </w:numPr>
        <w:rPr>
          <w:noProof/>
        </w:rPr>
      </w:pPr>
      <w:r>
        <w:rPr>
          <w:noProof/>
        </w:rPr>
        <w:sym w:font="Wingdings" w:char="F0A8"/>
      </w:r>
      <w:r>
        <w:rPr>
          <w:noProof/>
        </w:rPr>
        <w:t xml:space="preserve"> публичноправни орган</w:t>
      </w:r>
      <w:r>
        <w:rPr>
          <w:noProof/>
        </w:rPr>
        <w:t>и,</w:t>
      </w:r>
    </w:p>
    <w:p w:rsidR="00C0119A" w:rsidRDefault="00867678">
      <w:pPr>
        <w:pStyle w:val="ListDash2"/>
        <w:numPr>
          <w:ilvl w:val="0"/>
          <w:numId w:val="17"/>
        </w:numPr>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C0119A" w:rsidRDefault="00867678">
      <w:pPr>
        <w:pStyle w:val="ListDash2"/>
        <w:numPr>
          <w:ilvl w:val="0"/>
          <w:numId w:val="17"/>
        </w:numPr>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w:t>
      </w:r>
      <w:r>
        <w:rPr>
          <w:noProof/>
        </w:rPr>
        <w:t xml:space="preserve"> подходящи финансови гаранции,</w:t>
      </w:r>
    </w:p>
    <w:p w:rsidR="00C0119A" w:rsidRDefault="00867678">
      <w:pPr>
        <w:pStyle w:val="ListDash2"/>
        <w:numPr>
          <w:ilvl w:val="0"/>
          <w:numId w:val="17"/>
        </w:numPr>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C0119A" w:rsidRDefault="00867678">
      <w:pPr>
        <w:pStyle w:val="ListDash2"/>
        <w:numPr>
          <w:ilvl w:val="0"/>
          <w:numId w:val="17"/>
        </w:numPr>
        <w:rPr>
          <w:i/>
          <w:noProof/>
          <w:sz w:val="18"/>
          <w:u w:val="single"/>
        </w:rPr>
      </w:pPr>
      <w:r>
        <w:rPr>
          <w:i/>
          <w:noProof/>
          <w:sz w:val="18"/>
        </w:rPr>
        <w:t xml:space="preserve">Ако е посочен повече от един метод на управление, пояснете в частта </w:t>
      </w:r>
      <w:r>
        <w:rPr>
          <w:i/>
          <w:noProof/>
          <w:sz w:val="18"/>
        </w:rPr>
        <w:t>„Забележки“.</w:t>
      </w:r>
    </w:p>
    <w:p w:rsidR="00C0119A" w:rsidRDefault="00867678">
      <w:pPr>
        <w:rPr>
          <w:noProof/>
        </w:rPr>
      </w:pPr>
      <w:r>
        <w:rPr>
          <w:noProof/>
        </w:rPr>
        <w:t xml:space="preserve">Забележки </w:t>
      </w:r>
    </w:p>
    <w:p w:rsidR="00C0119A" w:rsidRDefault="00867678">
      <w:pPr>
        <w:pBdr>
          <w:top w:val="single" w:sz="4" w:space="1" w:color="auto"/>
          <w:left w:val="single" w:sz="4" w:space="4" w:color="auto"/>
          <w:bottom w:val="single" w:sz="4" w:space="1" w:color="auto"/>
          <w:right w:val="single" w:sz="4" w:space="4" w:color="auto"/>
        </w:pBdr>
        <w:rPr>
          <w:noProof/>
        </w:rPr>
      </w:pPr>
      <w:r>
        <w:rPr>
          <w:noProof/>
        </w:rPr>
        <w:t>Настоящото предложение не внася промени по отношение на управлението. Съгласно член 21 от Директива 2011/16/ЕС Комисията разработва формати за обмена на информация съгласно процедурата по комитология и в сътрудничество с държавите ч</w:t>
      </w:r>
      <w:r>
        <w:rPr>
          <w:noProof/>
        </w:rPr>
        <w:t>ленки. Що се отнася до мрежата CCN, необходима за осъществяването на обмена на информация между държавите членки, Комисията отговаря за всички дейности по разработването на мрежата CCN, необходими за осъществяването на обмена на тази информация, докато дър</w:t>
      </w:r>
      <w:r>
        <w:rPr>
          <w:noProof/>
        </w:rPr>
        <w:t>жавите членки отговарят за разработването на своите системи, необходими за извършването на обмен на информацията чрез използването на мрежата CCN.</w:t>
      </w:r>
    </w:p>
    <w:p w:rsidR="00C0119A" w:rsidRDefault="00C0119A">
      <w:pPr>
        <w:spacing w:before="0" w:after="0"/>
        <w:jc w:val="left"/>
        <w:rPr>
          <w:noProof/>
        </w:rPr>
        <w:sectPr w:rsidR="00C0119A" w:rsidSect="00867678">
          <w:pgSz w:w="11907" w:h="16840"/>
          <w:pgMar w:top="1134" w:right="1418" w:bottom="1134" w:left="1418" w:header="709" w:footer="709" w:gutter="0"/>
          <w:cols w:space="720"/>
          <w:docGrid w:linePitch="326"/>
        </w:sectPr>
      </w:pPr>
    </w:p>
    <w:p w:rsidR="00C0119A" w:rsidRDefault="00867678">
      <w:pPr>
        <w:pStyle w:val="ManualHeading1"/>
        <w:rPr>
          <w:bCs/>
          <w:noProof/>
          <w:szCs w:val="24"/>
        </w:rPr>
      </w:pPr>
      <w:r>
        <w:rPr>
          <w:noProof/>
        </w:rPr>
        <w:t>2.</w:t>
      </w:r>
      <w:r>
        <w:rPr>
          <w:noProof/>
        </w:rPr>
        <w:tab/>
        <w:t xml:space="preserve">МЕРКИ ЗА УПРАВЛЕНИЕ </w:t>
      </w:r>
    </w:p>
    <w:p w:rsidR="00C0119A" w:rsidRDefault="00867678">
      <w:pPr>
        <w:pStyle w:val="ManualHeading2"/>
        <w:rPr>
          <w:noProof/>
        </w:rPr>
      </w:pPr>
      <w:r>
        <w:rPr>
          <w:noProof/>
        </w:rPr>
        <w:t>2.1.</w:t>
      </w:r>
      <w:r>
        <w:rPr>
          <w:noProof/>
        </w:rPr>
        <w:tab/>
        <w:t xml:space="preserve">Правила за мониторинг и докладване </w:t>
      </w:r>
    </w:p>
    <w:p w:rsidR="00C0119A" w:rsidRDefault="00867678">
      <w:pPr>
        <w:pStyle w:val="Text1"/>
        <w:rPr>
          <w:i/>
          <w:noProof/>
          <w:sz w:val="20"/>
          <w:u w:val="single"/>
        </w:rPr>
      </w:pPr>
      <w:r>
        <w:rPr>
          <w:i/>
          <w:noProof/>
          <w:sz w:val="20"/>
        </w:rPr>
        <w:t xml:space="preserve">Да се посочат честотата </w:t>
      </w:r>
      <w:r>
        <w:rPr>
          <w:i/>
          <w:noProof/>
          <w:sz w:val="20"/>
        </w:rPr>
        <w:t>и условията.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В рамките на програмата „Фискалис“ мониторингът и докладването се извършват, както следва.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Подготвителните дейности, необходими за тази инициатива, и другите съвместни действия и общи дейности за обучение се следят редовно чрез данни, събрани </w:t>
      </w:r>
      <w:r>
        <w:rPr>
          <w:noProof/>
        </w:rPr>
        <w:t>от участниците и администраторите на дейностите. Данните се събират чрез стандартни формуляри и се използват за изчисляване на показателите, определени в рамката за измерване на постигнатите резултати (PMF) по програмата „Фискалис 2020“. Другите разходи, с</w:t>
      </w:r>
      <w:r>
        <w:rPr>
          <w:noProof/>
        </w:rPr>
        <w:t>вързани с обмена на информация, се следят в съответствие с механизма, описан в раздел 1.4.4, който е консолидиран по PMF.</w:t>
      </w:r>
    </w:p>
    <w:p w:rsidR="00C0119A" w:rsidRDefault="00867678">
      <w:pPr>
        <w:pStyle w:val="ManualHeading2"/>
        <w:rPr>
          <w:bCs/>
          <w:noProof/>
          <w:szCs w:val="24"/>
        </w:rPr>
      </w:pPr>
      <w:r>
        <w:rPr>
          <w:noProof/>
        </w:rPr>
        <w:t>2.2.</w:t>
      </w:r>
      <w:r>
        <w:rPr>
          <w:noProof/>
        </w:rPr>
        <w:tab/>
        <w:t xml:space="preserve">Система за управление и контрол </w:t>
      </w:r>
    </w:p>
    <w:p w:rsidR="00C0119A" w:rsidRDefault="00867678">
      <w:pPr>
        <w:pStyle w:val="ManualHeading3"/>
        <w:rPr>
          <w:noProof/>
        </w:rPr>
      </w:pPr>
      <w:r>
        <w:rPr>
          <w:noProof/>
        </w:rPr>
        <w:t>2.2.1.</w:t>
      </w:r>
      <w:r>
        <w:rPr>
          <w:noProof/>
        </w:rPr>
        <w:tab/>
        <w:t xml:space="preserve">Установени рискове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Потенциалните рискове при изпълнението на инициативата с подкрепата н</w:t>
      </w:r>
      <w:r>
        <w:rPr>
          <w:noProof/>
        </w:rPr>
        <w:t>а програмата „Фискалис 2020“ са свързани с:</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споразумението за отпускане на безвъзмездни средства, подписано с консорциума от държави членки и страни кандидатки;</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изпълнението на договорите за  обществени поръчки, сключени в рамките на програ</w:t>
      </w:r>
      <w:r>
        <w:rPr>
          <w:noProof/>
        </w:rPr>
        <w:t>мата.</w:t>
      </w:r>
    </w:p>
    <w:p w:rsidR="00C0119A" w:rsidRDefault="00867678">
      <w:pPr>
        <w:pStyle w:val="ManualHeading3"/>
        <w:rPr>
          <w:bCs/>
          <w:noProof/>
          <w:szCs w:val="24"/>
        </w:rPr>
      </w:pPr>
      <w:r>
        <w:rPr>
          <w:noProof/>
        </w:rPr>
        <w:t>2.2.2.</w:t>
      </w:r>
      <w:r>
        <w:rPr>
          <w:noProof/>
        </w:rPr>
        <w:tab/>
        <w:t>Информация за изградената система за вътрешен контрол</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Създаването на система за вътрешен контрол е идентично с програмата „Фискалис 2020“, от която ще се покриват всички оперативни разходи, свързани с инициативата.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Главните елементи на прилага</w:t>
      </w:r>
      <w:r>
        <w:rPr>
          <w:noProof/>
        </w:rPr>
        <w:t>ната стратегия за контрол са следните.</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За договорите за възлагане на обществени поръчки: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прилагат се процедурите за контрол при обществени поръчки, определени във Финансовия регламент. Всички договори за обществени поръчки се сключват при спазване на уста</w:t>
      </w:r>
      <w:r>
        <w:rPr>
          <w:noProof/>
        </w:rPr>
        <w:t>новената процедура за проверка на плащането от службите на Комисията, като се вземат предвид договорните задължения и доброто финансово и общо управление. Във всички договори, сключени между Комисията и бенефициерите, се предвиждат мерки за борба с измамит</w:t>
      </w:r>
      <w:r>
        <w:rPr>
          <w:noProof/>
        </w:rPr>
        <w:t>е (проверки, доклади и др.). Изготвя се подробно задание, което формира основата на всеки отделен договор. При процеса на приемане се следва точно методологията TEMPO на ГД „Данъчно облагане и митнически съюз“: резултатите се преглеждат, изменят се при нео</w:t>
      </w:r>
      <w:r>
        <w:rPr>
          <w:noProof/>
        </w:rPr>
        <w:t xml:space="preserve">бходимост и накрая изрично се приемат (или отхвърлят). Фактури не се плащат без „писмо за приемане“.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Техническа проверка при обществена поръчка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ГД „Данъчно облагане и митнически съюз“ извършва проверки на резултатите и осъществява надзор на операциите и у</w:t>
      </w:r>
      <w:r>
        <w:rPr>
          <w:noProof/>
        </w:rPr>
        <w:t>слугите, извършвани или предоставяни от изпълнителите. Освен това тя редовно извършва одити на качеството и сигурността на изпълнителите. При одитите на качеството се проверява съответствието на реално прилаганите от изпълнителите процеси с правилата и про</w:t>
      </w:r>
      <w:r>
        <w:rPr>
          <w:noProof/>
        </w:rPr>
        <w:t xml:space="preserve">цедурите, определени в техните планове за качество. Одитите на сигурността са насочени към специфичните процеси, процедури и структура.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В допълнение към горепосочените проверки ГД „Данъчно облагане и митнически съюз“ извършва традиционните финансови прове</w:t>
      </w:r>
      <w:r>
        <w:rPr>
          <w:noProof/>
        </w:rPr>
        <w:t xml:space="preserve">рки.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Предварителна проверка на поетите задължения: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всички поети задължения в ГД „Данъчно облагане и митнически съюз“ се проверяват от ръководителя на отдел „Човешки ресурси и финанси“. В съответствие с това 100 % от сумите, за които са поети задължения, </w:t>
      </w:r>
      <w:r>
        <w:rPr>
          <w:noProof/>
        </w:rPr>
        <w:t>са подложени на предварителна проверка. Тази процедура осигурява висока степен на увереност по отношение на законосъобразността и редовността на операциите.</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Предварителна проверка на плащанията: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 xml:space="preserve">100 % от плащанията се проверяват предварително. Освен това </w:t>
      </w:r>
      <w:r>
        <w:rPr>
          <w:noProof/>
        </w:rPr>
        <w:t>поне едно плащане (от всички категории разходи) седмично се избира на случаен принцип за допълнителна предварителна проверка, която се извършва от ръководителя на отдел „Човешки ресурси и финанси“. Няма количествена цел за обхвата, тъй като целта на тази п</w:t>
      </w:r>
      <w:r>
        <w:rPr>
          <w:noProof/>
        </w:rPr>
        <w:t>роверка е плащанията да се проверяват „на случаен принцип“ с оглед да се удостовери, че всички плащания се изготвят в съответствие с изискванията. Останалите плащания се обработват ежедневно в съответствие с приложимите правила.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Декларации на вторично опра</w:t>
      </w:r>
      <w:r>
        <w:rPr>
          <w:noProof/>
        </w:rPr>
        <w:t xml:space="preserve">вомощените разпоредители с бюджетни кредити: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всички вторично оправомощени разпоредители с бюджетни кредити подписват декларации в подкрепа на годишния доклад за дейността за съответната година. Тези декларации обхващат операциите по програмата. Вторично о</w:t>
      </w:r>
      <w:r>
        <w:rPr>
          <w:noProof/>
        </w:rPr>
        <w:t>правомощените разпоредители с бюджетни кредити декларират, че операциите, свързани с изпълнението на бюджета, са извършени в съответствие с принципите на добро финансово управление, че въведените системи за управление и контрол дават задоволителна уверенос</w:t>
      </w:r>
      <w:r>
        <w:rPr>
          <w:noProof/>
        </w:rPr>
        <w:t xml:space="preserve">т по отношение на законосъобразността и редовността на операциите, както и че рисковете, свързани с тези операции, са правилно установени и докладвани, както и че са предприети действия за ограничаването им. </w:t>
      </w:r>
    </w:p>
    <w:p w:rsidR="00C0119A" w:rsidRDefault="00867678">
      <w:pPr>
        <w:pStyle w:val="ManualHeading3"/>
        <w:rPr>
          <w:noProof/>
        </w:rPr>
      </w:pPr>
      <w:r>
        <w:rPr>
          <w:noProof/>
        </w:rPr>
        <w:t>2.2.3.</w:t>
      </w:r>
      <w:r>
        <w:rPr>
          <w:noProof/>
        </w:rPr>
        <w:tab/>
        <w:t>Оценка на разходите и ползите от проверк</w:t>
      </w:r>
      <w:r>
        <w:rPr>
          <w:noProof/>
        </w:rPr>
        <w:t xml:space="preserve">ите и на очаквания риск от грешка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Въведените проверки осигуряват на ГД „Данъчно облагане и митнически съюз“ достатъчна гаранция за качеството и редовността на разходите и намаляват риска от неспазване. Горепосочените мерки в стратегията за контрол намаляв</w:t>
      </w:r>
      <w:r>
        <w:rPr>
          <w:noProof/>
        </w:rPr>
        <w:t xml:space="preserve">ат потенциалните рискове под целевото равнище от 2 % и достигат до всички бенефициери. Всякакви допълнителни мерки за по-нататъшно намаляване на риска биха довели до непропорционално големи разходи и поради това такива не се предвиждат. </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Общите разходи, св</w:t>
      </w:r>
      <w:r>
        <w:rPr>
          <w:noProof/>
        </w:rPr>
        <w:t>ързани с изпълнението на горепосочената стратегия за контрол — за всички разходи по програмата „Фискалис 2020“ — са ограничени до 1,6 % от общата сума на извършените плащания. Очаква се това процентно съотношение да бъде в сила и за тази инициатива.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Приема</w:t>
      </w:r>
      <w:r>
        <w:rPr>
          <w:noProof/>
        </w:rPr>
        <w:t xml:space="preserve"> се, че стратегията за контрол на програмата може ефикасно да ограничи практически до нула риска от неспазване и е пропорционална на отчетените рискове.</w:t>
      </w:r>
    </w:p>
    <w:p w:rsidR="00C0119A" w:rsidRDefault="00867678">
      <w:pPr>
        <w:pStyle w:val="ManualHeading2"/>
        <w:rPr>
          <w:bCs/>
          <w:noProof/>
          <w:szCs w:val="24"/>
        </w:rPr>
      </w:pPr>
      <w:r>
        <w:rPr>
          <w:noProof/>
        </w:rPr>
        <w:t>2.3.</w:t>
      </w:r>
      <w:r>
        <w:rPr>
          <w:noProof/>
        </w:rPr>
        <w:tab/>
        <w:t xml:space="preserve">Мерки за предотвратяване на измами и нередности </w:t>
      </w:r>
    </w:p>
    <w:p w:rsidR="00C0119A" w:rsidRDefault="00867678">
      <w:pPr>
        <w:pStyle w:val="Text1"/>
        <w:rPr>
          <w:i/>
          <w:noProof/>
          <w:sz w:val="20"/>
        </w:rPr>
      </w:pPr>
      <w:r>
        <w:rPr>
          <w:i/>
          <w:noProof/>
          <w:sz w:val="20"/>
        </w:rPr>
        <w:t xml:space="preserve">Да се посочат съществуващите или планираните </w:t>
      </w:r>
      <w:r>
        <w:rPr>
          <w:i/>
          <w:noProof/>
          <w:sz w:val="20"/>
        </w:rPr>
        <w:t>мерки за превенция и защита.</w:t>
      </w:r>
    </w:p>
    <w:p w:rsidR="00C0119A" w:rsidRDefault="00867678">
      <w:pPr>
        <w:pStyle w:val="Text1"/>
        <w:pBdr>
          <w:top w:val="single" w:sz="4" w:space="1" w:color="auto"/>
          <w:left w:val="single" w:sz="4" w:space="4" w:color="auto"/>
          <w:bottom w:val="single" w:sz="4" w:space="1" w:color="auto"/>
          <w:right w:val="single" w:sz="4" w:space="4" w:color="auto"/>
        </w:pBdr>
        <w:rPr>
          <w:noProof/>
        </w:rPr>
      </w:pPr>
      <w:r>
        <w:rPr>
          <w:noProof/>
        </w:rPr>
        <w:t>Европейската служба за борба с измамите (OLAF) може да извършва разследвания, включително проверки и инспекции на място в съответствие с разпоредбите и процедурите, предвидени в Регламент (ЕО) № 1073/1999 на Европейския парламе</w:t>
      </w:r>
      <w:r>
        <w:rPr>
          <w:noProof/>
        </w:rPr>
        <w:t>нт и на Съвета (1) и Регламент (Евратом, ЕО) № 2185/96 (2), за да установи дали е налице измама, корупция или всякаква друга незаконна дейност, накърняваща финансовите интереси на Съюза във връзка със споразумение за отпускане на безвъзмездни средства, реш</w:t>
      </w:r>
      <w:r>
        <w:rPr>
          <w:noProof/>
        </w:rPr>
        <w:t>ение за отпускане на безвъзмездни средства или договор за финансиране съгласно настоящата директива.</w:t>
      </w:r>
    </w:p>
    <w:p w:rsidR="00C0119A" w:rsidRDefault="00C0119A">
      <w:pPr>
        <w:spacing w:before="0" w:after="0"/>
        <w:jc w:val="left"/>
        <w:rPr>
          <w:noProof/>
        </w:rPr>
        <w:sectPr w:rsidR="00C0119A" w:rsidSect="00867678">
          <w:pgSz w:w="11907" w:h="16840"/>
          <w:pgMar w:top="1134" w:right="1418" w:bottom="1134" w:left="1418" w:header="709" w:footer="709" w:gutter="0"/>
          <w:cols w:space="720"/>
          <w:docGrid w:linePitch="326"/>
        </w:sectPr>
      </w:pPr>
    </w:p>
    <w:p w:rsidR="00C0119A" w:rsidRDefault="00867678">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C0119A" w:rsidRDefault="00867678">
      <w:pPr>
        <w:pStyle w:val="ManualHeading2"/>
        <w:rPr>
          <w:noProof/>
        </w:rPr>
      </w:pPr>
      <w:r>
        <w:rPr>
          <w:noProof/>
        </w:rPr>
        <w:t>3.1.</w:t>
      </w:r>
      <w:r>
        <w:rPr>
          <w:noProof/>
        </w:rPr>
        <w:tab/>
      </w:r>
      <w:r>
        <w:rPr>
          <w:noProof/>
        </w:rPr>
        <w:t xml:space="preserve">Съответни функции от многогодишната финансова рамка и разходни бюджетни редове </w:t>
      </w:r>
    </w:p>
    <w:p w:rsidR="00C0119A" w:rsidRDefault="00867678">
      <w:pPr>
        <w:pStyle w:val="ListBullet1"/>
        <w:numPr>
          <w:ilvl w:val="0"/>
          <w:numId w:val="15"/>
        </w:numPr>
        <w:rPr>
          <w:noProof/>
        </w:rPr>
      </w:pPr>
      <w:r>
        <w:rPr>
          <w:noProof/>
        </w:rPr>
        <w:t xml:space="preserve">Съществуващи бюджетни редове </w:t>
      </w:r>
    </w:p>
    <w:p w:rsidR="00C0119A" w:rsidRDefault="00867678">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0119A">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rPr>
              <w:t xml:space="preserve">Вид на </w:t>
            </w:r>
            <w:r>
              <w:rPr>
                <w:noProof/>
                <w:sz w:val="18"/>
              </w:rPr>
              <w:t>разхо</w:t>
            </w:r>
            <w:r>
              <w:rPr>
                <w:noProof/>
                <w:sz w:val="18"/>
              </w:rPr>
              <w:t>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sz w:val="20"/>
              </w:rPr>
              <w:t xml:space="preserve">Вноска </w:t>
            </w:r>
          </w:p>
        </w:tc>
      </w:tr>
      <w:tr w:rsidR="00C0119A">
        <w:tc>
          <w:tcPr>
            <w:tcW w:w="1080"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22"/>
                <w:lang w:eastAsia="bg-BG" w:bidi="bg-BG"/>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22"/>
                <w:lang w:eastAsia="bg-BG" w:bidi="bg-BG"/>
              </w:rPr>
            </w:pPr>
            <w:r>
              <w:rPr>
                <w:noProof/>
              </w:rPr>
              <w:t>Номер</w:t>
            </w:r>
            <w:r>
              <w:rPr>
                <w:noProof/>
              </w:rPr>
              <w:br/>
            </w:r>
            <w:r>
              <w:rPr>
                <w:noProof/>
                <w:sz w:val="20"/>
              </w:rPr>
              <w:t>1А Конкурентоспособност за растеж и работни места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rPr>
              <w:t>Многогод./едногод</w:t>
            </w:r>
            <w:r>
              <w:rPr>
                <w:rStyle w:val="FootnoteReference"/>
                <w:noProof/>
              </w:rPr>
              <w:footnoteReference w:id="14"/>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rsidR="00C0119A" w:rsidRDefault="00867678">
            <w:pPr>
              <w:spacing w:line="276" w:lineRule="auto"/>
              <w:jc w:val="center"/>
              <w:rPr>
                <w:noProof/>
                <w:sz w:val="22"/>
              </w:rPr>
            </w:pPr>
            <w:r>
              <w:rPr>
                <w:noProof/>
                <w:sz w:val="18"/>
              </w:rPr>
              <w:t>от държави от ЕАСТ</w:t>
            </w:r>
            <w:r>
              <w:rPr>
                <w:rStyle w:val="FootnoteReference"/>
                <w:noProof/>
                <w:sz w:val="18"/>
              </w:rPr>
              <w:footnoteReference w:id="15"/>
            </w:r>
          </w:p>
          <w:p w:rsidR="00C0119A" w:rsidRDefault="00C0119A">
            <w:pPr>
              <w:spacing w:before="0" w:after="0" w:line="276" w:lineRule="auto"/>
              <w:jc w:val="center"/>
              <w:rPr>
                <w:b/>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vAlign w:val="center"/>
          </w:tcPr>
          <w:p w:rsidR="00C0119A" w:rsidRDefault="00867678">
            <w:pPr>
              <w:spacing w:line="276" w:lineRule="auto"/>
              <w:jc w:val="center"/>
              <w:rPr>
                <w:noProof/>
                <w:sz w:val="22"/>
              </w:rPr>
            </w:pPr>
            <w:r>
              <w:rPr>
                <w:noProof/>
                <w:sz w:val="18"/>
              </w:rPr>
              <w:t>от държави кандидатки</w:t>
            </w:r>
            <w:r>
              <w:rPr>
                <w:rStyle w:val="FootnoteReference"/>
                <w:noProof/>
                <w:sz w:val="18"/>
              </w:rPr>
              <w:footnoteReference w:id="16"/>
            </w:r>
          </w:p>
          <w:p w:rsidR="00C0119A" w:rsidRDefault="00C0119A">
            <w:pPr>
              <w:spacing w:before="0" w:after="0" w:line="276" w:lineRule="auto"/>
              <w:jc w:val="center"/>
              <w:rPr>
                <w:noProof/>
                <w:sz w:val="18"/>
                <w:lang w:eastAsia="bg-BG" w:bidi="bg-BG"/>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16"/>
              </w:rPr>
              <w:t xml:space="preserve">по смисъла на член 21, параграф 2, буква б) от Финансовия регламент </w:t>
            </w:r>
          </w:p>
        </w:tc>
      </w:tr>
      <w:tr w:rsidR="00C0119A">
        <w:tc>
          <w:tcPr>
            <w:tcW w:w="1080"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jc w:val="center"/>
              <w:rPr>
                <w:noProof/>
                <w:sz w:val="22"/>
                <w:lang w:eastAsia="bg-BG" w:bidi="bg-BG"/>
              </w:rPr>
            </w:pPr>
          </w:p>
        </w:tc>
        <w:tc>
          <w:tcPr>
            <w:tcW w:w="3960" w:type="dxa"/>
            <w:tcBorders>
              <w:top w:val="single" w:sz="4" w:space="0" w:color="auto"/>
              <w:left w:val="single" w:sz="4" w:space="0" w:color="auto"/>
              <w:bottom w:val="single" w:sz="4" w:space="0" w:color="auto"/>
              <w:right w:val="single" w:sz="4" w:space="0" w:color="auto"/>
            </w:tcBorders>
            <w:vAlign w:val="center"/>
          </w:tcPr>
          <w:p w:rsidR="00C0119A" w:rsidRDefault="00867678">
            <w:pPr>
              <w:spacing w:before="60" w:line="276" w:lineRule="auto"/>
              <w:rPr>
                <w:noProof/>
                <w:sz w:val="22"/>
              </w:rPr>
            </w:pPr>
            <w:r>
              <w:rPr>
                <w:noProof/>
                <w:sz w:val="22"/>
              </w:rPr>
              <w:t xml:space="preserve">14.0301 (Усъвършенстване на </w:t>
            </w:r>
            <w:r>
              <w:rPr>
                <w:noProof/>
                <w:sz w:val="22"/>
              </w:rPr>
              <w:t>функционирането на данъчните системи)</w:t>
            </w:r>
          </w:p>
          <w:p w:rsidR="00C0119A" w:rsidRDefault="00C0119A">
            <w:pPr>
              <w:spacing w:after="60" w:line="276" w:lineRule="auto"/>
              <w:rPr>
                <w:noProof/>
                <w:sz w:val="22"/>
                <w:lang w:eastAsia="bg-BG" w:bidi="bg-BG"/>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Не</w:t>
            </w:r>
          </w:p>
        </w:tc>
      </w:tr>
    </w:tbl>
    <w:p w:rsidR="00C0119A" w:rsidRDefault="00867678">
      <w:pPr>
        <w:pStyle w:val="ListBullet1"/>
        <w:numPr>
          <w:ilvl w:val="0"/>
          <w:numId w:val="15"/>
        </w:numPr>
        <w:rPr>
          <w:noProof/>
          <w:lang w:eastAsia="bg-BG" w:bidi="bg-BG"/>
        </w:rPr>
      </w:pPr>
      <w:r>
        <w:rPr>
          <w:noProof/>
        </w:rPr>
        <w:t xml:space="preserve">Поискани нови бюджетни редове </w:t>
      </w:r>
    </w:p>
    <w:p w:rsidR="00C0119A" w:rsidRDefault="00867678">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0119A">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18"/>
                <w:szCs w:val="18"/>
                <w:lang w:eastAsia="bg-BG" w:bidi="bg-BG"/>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rPr>
              <w:t xml:space="preserve">Вид на </w:t>
            </w:r>
            <w:r>
              <w:rPr>
                <w:noProof/>
                <w:sz w:val="18"/>
              </w:rP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sz w:val="20"/>
              </w:rPr>
              <w:t xml:space="preserve">Вноска </w:t>
            </w:r>
          </w:p>
        </w:tc>
      </w:tr>
      <w:tr w:rsidR="00C0119A">
        <w:tc>
          <w:tcPr>
            <w:tcW w:w="1080"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18"/>
                <w:szCs w:val="18"/>
                <w:lang w:eastAsia="bg-BG" w:bidi="bg-BG"/>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22"/>
                <w:lang w:eastAsia="bg-BG" w:bidi="bg-BG"/>
              </w:rPr>
            </w:pPr>
            <w:r>
              <w:rPr>
                <w:noProof/>
              </w:rPr>
              <w:t>Номер</w:t>
            </w:r>
            <w:r>
              <w:rPr>
                <w:noProof/>
                <w:sz w:val="20"/>
              </w:rPr>
              <w:t>[Наименование…………………………….]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18"/>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18"/>
              </w:rPr>
              <w:t>от държави от ЕАСТ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18"/>
              </w:rPr>
              <w:t>от държави кандидатки</w:t>
            </w:r>
          </w:p>
        </w:tc>
        <w:tc>
          <w:tcPr>
            <w:tcW w:w="956"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16"/>
              </w:rPr>
              <w:t xml:space="preserve">по смисъла на член 21, параграф 2, буква б) от Финансовия регламент </w:t>
            </w:r>
          </w:p>
        </w:tc>
      </w:tr>
      <w:tr w:rsidR="00C0119A">
        <w:tc>
          <w:tcPr>
            <w:tcW w:w="1080"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jc w:val="center"/>
              <w:rPr>
                <w:noProof/>
                <w:sz w:val="22"/>
                <w:lang w:eastAsia="bg-BG" w:bidi="bg-BG"/>
              </w:rPr>
            </w:pPr>
          </w:p>
        </w:tc>
        <w:tc>
          <w:tcPr>
            <w:tcW w:w="3960" w:type="dxa"/>
            <w:tcBorders>
              <w:top w:val="single" w:sz="4" w:space="0" w:color="auto"/>
              <w:left w:val="single" w:sz="4" w:space="0" w:color="auto"/>
              <w:bottom w:val="single" w:sz="4" w:space="0" w:color="auto"/>
              <w:right w:val="single" w:sz="4" w:space="0" w:color="auto"/>
            </w:tcBorders>
            <w:vAlign w:val="center"/>
          </w:tcPr>
          <w:p w:rsidR="00C0119A" w:rsidRDefault="00867678">
            <w:pPr>
              <w:spacing w:before="60" w:line="276" w:lineRule="auto"/>
              <w:rPr>
                <w:noProof/>
                <w:sz w:val="22"/>
              </w:rPr>
            </w:pPr>
            <w:r>
              <w:rPr>
                <w:noProof/>
                <w:sz w:val="22"/>
              </w:rPr>
              <w:t>[XX.YY.YY.YY]</w:t>
            </w:r>
          </w:p>
          <w:p w:rsidR="00C0119A" w:rsidRDefault="00C0119A">
            <w:pPr>
              <w:spacing w:after="60" w:line="276" w:lineRule="auto"/>
              <w:rPr>
                <w:noProof/>
                <w:sz w:val="22"/>
                <w:lang w:eastAsia="bg-BG" w:bidi="bg-BG"/>
              </w:rPr>
            </w:pPr>
          </w:p>
        </w:tc>
        <w:tc>
          <w:tcPr>
            <w:tcW w:w="1080"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jc w:val="center"/>
              <w:rPr>
                <w:noProof/>
                <w:sz w:val="22"/>
                <w:lang w:eastAsia="bg-BG" w:bidi="bg-BG"/>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ДА/НЕ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22"/>
              </w:rPr>
              <w:t>ДА/НЕ</w:t>
            </w:r>
          </w:p>
        </w:tc>
        <w:tc>
          <w:tcPr>
            <w:tcW w:w="956"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22"/>
              </w:rPr>
              <w:t>ДА/НЕ</w:t>
            </w:r>
          </w:p>
        </w:tc>
        <w:tc>
          <w:tcPr>
            <w:tcW w:w="144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ДА/НЕ</w:t>
            </w:r>
          </w:p>
        </w:tc>
      </w:tr>
    </w:tbl>
    <w:p w:rsidR="00C0119A" w:rsidRDefault="00C0119A">
      <w:pPr>
        <w:spacing w:before="0" w:after="0"/>
        <w:jc w:val="left"/>
        <w:rPr>
          <w:noProof/>
        </w:rPr>
        <w:sectPr w:rsidR="00C0119A" w:rsidSect="00867678">
          <w:pgSz w:w="11907" w:h="16840"/>
          <w:pgMar w:top="1134" w:right="1418" w:bottom="1134" w:left="1418" w:header="709" w:footer="709" w:gutter="0"/>
          <w:cols w:space="720"/>
          <w:docGrid w:linePitch="326"/>
        </w:sectPr>
      </w:pPr>
    </w:p>
    <w:p w:rsidR="00C0119A" w:rsidRDefault="00867678">
      <w:pPr>
        <w:pStyle w:val="ManualHeading2"/>
        <w:rPr>
          <w:bCs/>
          <w:noProof/>
          <w:szCs w:val="24"/>
          <w:lang w:eastAsia="bg-BG" w:bidi="bg-BG"/>
        </w:rPr>
      </w:pPr>
      <w:r>
        <w:rPr>
          <w:noProof/>
        </w:rPr>
        <w:t>3.2.</w:t>
      </w:r>
      <w:r>
        <w:rPr>
          <w:noProof/>
        </w:rPr>
        <w:tab/>
      </w:r>
      <w:r>
        <w:rPr>
          <w:noProof/>
        </w:rPr>
        <w:t xml:space="preserve">Очаквано отражение върху разходите </w:t>
      </w:r>
    </w:p>
    <w:p w:rsidR="00C0119A" w:rsidRDefault="00867678">
      <w:pPr>
        <w:pStyle w:val="Text1"/>
        <w:rPr>
          <w:noProof/>
        </w:rPr>
      </w:pPr>
      <w:r>
        <w:rPr>
          <w:noProof/>
        </w:rPr>
        <w:t xml:space="preserve">[Тази част следва да бъде попълнена, като се използва </w:t>
      </w:r>
      <w:hyperlink r:id="rId18" w:history="1">
        <w:r>
          <w:rPr>
            <w:rStyle w:val="Hyperlink"/>
            <w:b/>
            <w:noProof/>
          </w:rPr>
          <w:t>таблицата за бюджетни данни от административно естество</w:t>
        </w:r>
      </w:hyperlink>
      <w:r>
        <w:rPr>
          <w:noProof/>
        </w:rPr>
        <w:t xml:space="preserve"> (вторият документ в приложението </w:t>
      </w:r>
      <w:r>
        <w:rPr>
          <w:noProof/>
        </w:rPr>
        <w:t>към настоящата финансова обосновка), която е качена в CISNET за провеждането на вътрешни консултации между службите.]</w:t>
      </w:r>
    </w:p>
    <w:p w:rsidR="00C0119A" w:rsidRDefault="00867678">
      <w:pPr>
        <w:pStyle w:val="ManualHeading3"/>
        <w:rPr>
          <w:noProof/>
          <w:u w:val="single"/>
        </w:rPr>
      </w:pPr>
      <w:r>
        <w:rPr>
          <w:noProof/>
        </w:rPr>
        <w:t>3.2.1.</w:t>
      </w:r>
      <w:r>
        <w:rPr>
          <w:noProof/>
        </w:rPr>
        <w:tab/>
        <w:t xml:space="preserve">Обобщение на очакваното отражение върху разходите </w:t>
      </w:r>
    </w:p>
    <w:p w:rsidR="00C0119A" w:rsidRDefault="00867678">
      <w:pPr>
        <w:jc w:val="right"/>
        <w:rPr>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0119A">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C0119A" w:rsidRDefault="00867678">
            <w:pPr>
              <w:spacing w:before="60" w:after="60" w:line="276" w:lineRule="auto"/>
              <w:jc w:val="center"/>
              <w:rPr>
                <w:b/>
                <w:noProof/>
                <w:sz w:val="22"/>
                <w:lang w:eastAsia="bg-BG" w:bidi="bg-BG"/>
              </w:rPr>
            </w:pPr>
            <w:r>
              <w:rPr>
                <w:b/>
                <w:noProof/>
              </w:rPr>
              <w:t>Функция от многогодишната фи</w:t>
            </w:r>
            <w:r>
              <w:rPr>
                <w:b/>
                <w:noProof/>
              </w:rPr>
              <w:t>нансова</w:t>
            </w:r>
            <w:r>
              <w:rPr>
                <w:b/>
                <w:noProof/>
                <w:sz w:val="22"/>
              </w:rPr>
              <w:t xml:space="preserve"> рамка</w:t>
            </w:r>
            <w:r>
              <w:rPr>
                <w:noProof/>
                <w:sz w:val="22"/>
              </w:rPr>
              <w:br/>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sz w:val="22"/>
              </w:rPr>
              <w:t>Номер</w:t>
            </w:r>
          </w:p>
        </w:tc>
        <w:tc>
          <w:tcPr>
            <w:tcW w:w="781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rPr>
                <w:noProof/>
                <w:sz w:val="22"/>
                <w:lang w:eastAsia="bg-BG" w:bidi="bg-BG"/>
              </w:rPr>
            </w:pPr>
            <w:r>
              <w:rPr>
                <w:noProof/>
                <w:sz w:val="22"/>
              </w:rPr>
              <w:t>1А за конкурентоспособност за растеж и работни места</w:t>
            </w:r>
          </w:p>
        </w:tc>
      </w:tr>
    </w:tbl>
    <w:p w:rsidR="00C0119A" w:rsidRDefault="00C0119A">
      <w:pPr>
        <w:rPr>
          <w:noProof/>
          <w:sz w:val="16"/>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C0119A">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2"/>
                <w:lang w:eastAsia="bg-BG" w:bidi="bg-BG"/>
              </w:rPr>
            </w:pPr>
            <w:r>
              <w:rPr>
                <w:noProof/>
                <w:sz w:val="22"/>
              </w:rPr>
              <w:t xml:space="preserve">ГД: </w:t>
            </w:r>
            <w:r>
              <w:rPr>
                <w:noProof/>
              </w:rPr>
              <w:t>„Данъчно облагане и митнически съюз“</w:t>
            </w:r>
          </w:p>
        </w:tc>
        <w:tc>
          <w:tcPr>
            <w:tcW w:w="1560" w:type="dxa"/>
            <w:gridSpan w:val="2"/>
            <w:tcBorders>
              <w:top w:val="single" w:sz="4" w:space="0" w:color="auto"/>
              <w:left w:val="single" w:sz="4" w:space="0" w:color="auto"/>
              <w:bottom w:val="single" w:sz="4" w:space="0" w:color="auto"/>
              <w:right w:val="single" w:sz="4" w:space="0" w:color="auto"/>
            </w:tcBorders>
          </w:tcPr>
          <w:p w:rsidR="00C0119A" w:rsidRDefault="00C0119A">
            <w:pPr>
              <w:spacing w:line="276" w:lineRule="auto"/>
              <w:rPr>
                <w:noProof/>
                <w:sz w:val="20"/>
                <w:lang w:eastAsia="bg-BG" w:bidi="bg-BG"/>
              </w:rPr>
            </w:pPr>
          </w:p>
        </w:tc>
        <w:tc>
          <w:tcPr>
            <w:tcW w:w="534"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jc w:val="center"/>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noProof/>
                <w:sz w:val="20"/>
              </w:rPr>
              <w:t>2016</w:t>
            </w:r>
            <w:r>
              <w:rPr>
                <w:rStyle w:val="FootnoteReference"/>
                <w:noProof/>
              </w:rPr>
              <w:footnoteReference w:id="17"/>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2017</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2019</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18"/>
                <w:lang w:eastAsia="bg-BG" w:bidi="bg-BG"/>
              </w:rPr>
            </w:pPr>
            <w:r>
              <w:rPr>
                <w:b/>
                <w:noProof/>
                <w:sz w:val="20"/>
              </w:rPr>
              <w:t xml:space="preserve">2020 </w:t>
            </w: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20"/>
                <w:lang w:eastAsia="bg-BG" w:bidi="bg-BG"/>
              </w:rPr>
            </w:pPr>
            <w:r>
              <w:rPr>
                <w:b/>
                <w:noProof/>
                <w:sz w:val="20"/>
              </w:rPr>
              <w:t>ОБЩО</w:t>
            </w:r>
          </w:p>
        </w:tc>
      </w:tr>
      <w:tr w:rsidR="00C0119A">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21"/>
                <w:lang w:eastAsia="bg-BG" w:bidi="bg-BG"/>
              </w:rPr>
            </w:pPr>
            <w:r>
              <w:rPr>
                <w:noProof/>
                <w:sz w:val="21"/>
              </w:rPr>
              <w:sym w:font="Wingdings" w:char="F09F"/>
            </w:r>
            <w:r>
              <w:rPr>
                <w:noProof/>
              </w:rPr>
              <w:t xml:space="preserve"> Бюджетни кредити за оперативни разходи</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b/>
                <w:noProof/>
                <w:sz w:val="20"/>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b/>
                <w:noProof/>
                <w:sz w:val="20"/>
                <w:lang w:eastAsia="bg-BG" w:bidi="bg-BG"/>
              </w:rPr>
            </w:pPr>
          </w:p>
        </w:tc>
      </w:tr>
      <w:tr w:rsidR="00C0119A">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22"/>
                <w:lang w:eastAsia="bg-BG" w:bidi="bg-BG"/>
              </w:rPr>
            </w:pPr>
            <w:r>
              <w:rPr>
                <w:noProof/>
              </w:rPr>
              <w:t xml:space="preserve">Номер на бюджетния ред </w:t>
            </w:r>
            <w:r>
              <w:rPr>
                <w:noProof/>
              </w:rPr>
              <w:t>14.0301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18"/>
                <w:lang w:eastAsia="bg-BG" w:bidi="bg-BG"/>
              </w:rPr>
            </w:pPr>
            <w:r>
              <w:rPr>
                <w:noProof/>
                <w:sz w:val="18"/>
              </w:rPr>
              <w:t xml:space="preserve">Поети задължения </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center"/>
              <w:rPr>
                <w:noProof/>
                <w:sz w:val="14"/>
                <w:lang w:eastAsia="bg-BG" w:bidi="bg-BG"/>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r w:rsidR="00C0119A">
        <w:tc>
          <w:tcPr>
            <w:tcW w:w="6054"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22"/>
                <w:lang w:eastAsia="bg-BG" w:bidi="bg-BG"/>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18"/>
                <w:lang w:eastAsia="bg-BG" w:bidi="bg-BG"/>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center"/>
              <w:rPr>
                <w:noProof/>
                <w:sz w:val="14"/>
                <w:lang w:eastAsia="bg-BG" w:bidi="bg-BG"/>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r w:rsidR="00C0119A">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22"/>
                <w:lang w:eastAsia="bg-BG" w:bidi="bg-BG"/>
              </w:rPr>
            </w:pPr>
            <w:r>
              <w:rPr>
                <w:noProof/>
                <w:sz w:val="20"/>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18"/>
                <w:lang w:eastAsia="bg-BG" w:bidi="bg-BG"/>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center"/>
              <w:rPr>
                <w:noProof/>
                <w:sz w:val="14"/>
                <w:lang w:eastAsia="bg-BG" w:bidi="bg-BG"/>
              </w:rPr>
            </w:pPr>
            <w:r>
              <w:rPr>
                <w:noProof/>
                <w:sz w:val="14"/>
              </w:rPr>
              <w:t>(1а)</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r>
      <w:tr w:rsidR="00C0119A">
        <w:tc>
          <w:tcPr>
            <w:tcW w:w="6054"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22"/>
                <w:lang w:eastAsia="bg-BG" w:bidi="bg-BG"/>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18"/>
                <w:lang w:eastAsia="bg-BG" w:bidi="bg-BG"/>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center"/>
              <w:rPr>
                <w:noProof/>
                <w:sz w:val="14"/>
                <w:lang w:eastAsia="bg-BG" w:bidi="bg-BG"/>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r>
      <w:tr w:rsidR="00C0119A">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rsidR="00C0119A" w:rsidRDefault="00867678">
            <w:pPr>
              <w:spacing w:before="20" w:after="20" w:line="276" w:lineRule="auto"/>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18"/>
            </w:r>
            <w:r>
              <w:rPr>
                <w:noProof/>
                <w:sz w:val="21"/>
              </w:rPr>
              <w:t xml:space="preserve"> </w:t>
            </w:r>
          </w:p>
          <w:p w:rsidR="00C0119A" w:rsidRDefault="00C0119A">
            <w:pPr>
              <w:spacing w:before="0" w:after="0" w:line="276" w:lineRule="auto"/>
              <w:rPr>
                <w:noProof/>
                <w:sz w:val="22"/>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rPr>
                <w:noProof/>
                <w:lang w:eastAsia="bg-BG" w:bidi="bg-BG"/>
              </w:rPr>
            </w:pPr>
          </w:p>
        </w:tc>
      </w:tr>
      <w:tr w:rsidR="00C0119A">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rPr>
                <w:noProof/>
                <w:sz w:val="22"/>
                <w:lang w:eastAsia="bg-BG" w:bidi="bg-BG"/>
              </w:rPr>
            </w:pPr>
            <w:r>
              <w:rPr>
                <w:noProof/>
                <w:sz w:val="20"/>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40" w:after="40" w:line="276" w:lineRule="auto"/>
              <w:jc w:val="right"/>
              <w:rPr>
                <w:noProof/>
                <w:sz w:val="18"/>
                <w:lang w:eastAsia="bg-BG" w:bidi="bg-BG"/>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40" w:after="40" w:line="276" w:lineRule="auto"/>
              <w:jc w:val="center"/>
              <w:rPr>
                <w:noProof/>
                <w:sz w:val="14"/>
                <w:lang w:eastAsia="bg-BG" w:bidi="bg-BG"/>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40" w:after="40" w:line="276" w:lineRule="auto"/>
              <w:jc w:val="right"/>
              <w:rPr>
                <w:noProof/>
                <w:lang w:eastAsia="bg-BG" w:bidi="bg-BG"/>
              </w:rPr>
            </w:pPr>
          </w:p>
        </w:tc>
      </w:tr>
      <w:tr w:rsidR="00C0119A">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22"/>
                <w:lang w:eastAsia="bg-BG" w:bidi="bg-BG"/>
              </w:rPr>
            </w:pPr>
            <w:r>
              <w:rPr>
                <w:b/>
                <w:noProof/>
              </w:rPr>
              <w:t>ОБЩО бюджетни кредити за ГД</w:t>
            </w:r>
            <w:r>
              <w:rPr>
                <w:noProof/>
              </w:rPr>
              <w:t xml:space="preserve"> „Данъчно облагане и митнически съюз“</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8"/>
                <w:lang w:eastAsia="bg-BG" w:bidi="bg-BG"/>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4"/>
                <w:lang w:eastAsia="bg-BG" w:bidi="bg-BG"/>
              </w:rPr>
            </w:pPr>
            <w:r>
              <w:rPr>
                <w:noProof/>
                <w:sz w:val="14"/>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r w:rsidR="00C0119A">
        <w:tc>
          <w:tcPr>
            <w:tcW w:w="6054"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b/>
                <w:noProof/>
                <w:sz w:val="22"/>
                <w:lang w:eastAsia="bg-BG" w:bidi="bg-BG"/>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8"/>
                <w:lang w:eastAsia="bg-BG" w:bidi="bg-BG"/>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4"/>
              </w:rPr>
            </w:pPr>
            <w:r>
              <w:rPr>
                <w:noProof/>
                <w:sz w:val="14"/>
              </w:rPr>
              <w:t>=2+2а</w:t>
            </w:r>
          </w:p>
          <w:p w:rsidR="00C0119A" w:rsidRDefault="00867678">
            <w:pPr>
              <w:spacing w:line="276" w:lineRule="auto"/>
              <w:jc w:val="center"/>
              <w:rPr>
                <w:noProof/>
                <w:sz w:val="14"/>
                <w:lang w:eastAsia="bg-BG" w:bidi="bg-BG"/>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bl>
    <w:p w:rsidR="00C0119A" w:rsidRDefault="00C0119A">
      <w:pPr>
        <w:rPr>
          <w:noProof/>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C0119A">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22"/>
                <w:lang w:eastAsia="bg-BG" w:bidi="bg-BG"/>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rPr>
                <w:noProof/>
                <w:sz w:val="18"/>
                <w:lang w:eastAsia="bg-BG" w:bidi="bg-BG"/>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jc w:val="center"/>
              <w:rPr>
                <w:noProof/>
                <w:sz w:val="14"/>
                <w:lang w:eastAsia="bg-BG" w:bidi="bg-BG"/>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r w:rsidR="00C0119A">
        <w:tc>
          <w:tcPr>
            <w:tcW w:w="5400"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22"/>
                <w:lang w:eastAsia="bg-BG" w:bidi="bg-BG"/>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rPr>
                <w:noProof/>
                <w:sz w:val="18"/>
                <w:lang w:eastAsia="bg-BG" w:bidi="bg-BG"/>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jc w:val="center"/>
              <w:rPr>
                <w:noProof/>
                <w:sz w:val="14"/>
                <w:lang w:eastAsia="bg-BG" w:bidi="bg-BG"/>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r w:rsidR="00C0119A">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rPr>
                <w:noProof/>
                <w:sz w:val="22"/>
                <w:lang w:eastAsia="bg-BG" w:bidi="bg-BG"/>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jc w:val="center"/>
              <w:rPr>
                <w:noProof/>
                <w:sz w:val="14"/>
                <w:lang w:eastAsia="bg-BG" w:bidi="bg-BG"/>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b/>
                <w:noProof/>
                <w:sz w:val="20"/>
                <w:lang w:eastAsia="bg-BG" w:bidi="bg-BG"/>
              </w:rPr>
            </w:pPr>
          </w:p>
        </w:tc>
      </w:tr>
      <w:tr w:rsidR="00C0119A">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C0119A" w:rsidRDefault="00867678">
            <w:pPr>
              <w:spacing w:line="276" w:lineRule="auto"/>
              <w:jc w:val="center"/>
              <w:rPr>
                <w:b/>
                <w:noProof/>
                <w:sz w:val="22"/>
                <w:lang w:eastAsia="bg-BG" w:bidi="bg-BG"/>
              </w:rPr>
            </w:pPr>
            <w:r>
              <w:rPr>
                <w:b/>
                <w:noProof/>
              </w:rPr>
              <w:t>ОБЩО бюджетни кредити по ФУНКЦИЯ</w:t>
            </w:r>
            <w:r>
              <w:rPr>
                <w:noProof/>
              </w:rPr>
              <w:t> 1А</w:t>
            </w:r>
            <w:r>
              <w:rPr>
                <w:noProof/>
              </w:rPr>
              <w:br/>
            </w:r>
            <w:r>
              <w:rPr>
                <w:noProof/>
                <w:sz w:val="22"/>
              </w:rPr>
              <w:t xml:space="preserve">от </w:t>
            </w:r>
            <w:r>
              <w:rPr>
                <w:noProof/>
                <w:sz w:val="22"/>
              </w:rPr>
              <w:t>многогодишната финансова рамка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8"/>
                <w:lang w:eastAsia="bg-BG" w:bidi="bg-BG"/>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4"/>
                <w:lang w:eastAsia="bg-BG" w:bidi="bg-BG"/>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r w:rsidR="00C0119A">
        <w:tc>
          <w:tcPr>
            <w:tcW w:w="5400"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b/>
                <w:noProof/>
                <w:sz w:val="22"/>
                <w:lang w:eastAsia="bg-BG" w:bidi="bg-BG"/>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8"/>
                <w:lang w:eastAsia="bg-BG" w:bidi="bg-BG"/>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4"/>
                <w:lang w:eastAsia="bg-BG" w:bidi="bg-BG"/>
              </w:rPr>
            </w:pPr>
            <w:r>
              <w:rPr>
                <w:noProof/>
                <w:sz w:val="14"/>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1000</w:t>
            </w:r>
          </w:p>
        </w:tc>
      </w:tr>
    </w:tbl>
    <w:p w:rsidR="00C0119A" w:rsidRDefault="00867678">
      <w:pPr>
        <w:spacing w:after="240"/>
        <w:rPr>
          <w:b/>
          <w:noProof/>
          <w:sz w:val="22"/>
          <w:u w:val="single"/>
          <w:lang w:eastAsia="bg-BG" w:bidi="bg-BG"/>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C0119A">
        <w:trPr>
          <w:trHeight w:val="277"/>
        </w:trPr>
        <w:tc>
          <w:tcPr>
            <w:tcW w:w="3960" w:type="dxa"/>
            <w:vMerge w:val="restart"/>
            <w:tcBorders>
              <w:top w:val="single" w:sz="4" w:space="0" w:color="FF0000"/>
              <w:left w:val="single" w:sz="4" w:space="0" w:color="auto"/>
              <w:bottom w:val="single" w:sz="4" w:space="0" w:color="FF0000"/>
              <w:right w:val="single" w:sz="4" w:space="0" w:color="auto"/>
            </w:tcBorders>
            <w:vAlign w:val="center"/>
            <w:hideMark/>
          </w:tcPr>
          <w:p w:rsidR="00C0119A" w:rsidRDefault="00867678">
            <w:pPr>
              <w:spacing w:before="20" w:after="20" w:line="276" w:lineRule="auto"/>
              <w:rPr>
                <w:noProof/>
                <w:sz w:val="22"/>
                <w:lang w:eastAsia="bg-BG" w:bidi="bg-BG"/>
              </w:rPr>
            </w:pP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rPr>
                <w:noProof/>
                <w:sz w:val="18"/>
                <w:lang w:eastAsia="bg-BG" w:bidi="bg-BG"/>
              </w:rPr>
            </w:pPr>
            <w:r>
              <w:rPr>
                <w:noProof/>
                <w:sz w:val="18"/>
              </w:rPr>
              <w:t>Поети задължения</w:t>
            </w:r>
          </w:p>
        </w:tc>
        <w:tc>
          <w:tcPr>
            <w:tcW w:w="654"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jc w:val="center"/>
              <w:rPr>
                <w:noProof/>
                <w:sz w:val="14"/>
                <w:lang w:eastAsia="bg-BG" w:bidi="bg-BG"/>
              </w:rPr>
            </w:pPr>
            <w:r>
              <w:rPr>
                <w:noProof/>
                <w:sz w:val="14"/>
              </w:rPr>
              <w:t>(4)</w:t>
            </w:r>
          </w:p>
        </w:tc>
        <w:tc>
          <w:tcPr>
            <w:tcW w:w="868"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FF0000"/>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FF0000"/>
              <w:left w:val="single" w:sz="4" w:space="0" w:color="auto"/>
              <w:bottom w:val="single" w:sz="4" w:space="0" w:color="auto"/>
              <w:right w:val="single" w:sz="4" w:space="0" w:color="auto"/>
            </w:tcBorders>
            <w:vAlign w:val="center"/>
          </w:tcPr>
          <w:p w:rsidR="00C0119A" w:rsidRDefault="00C0119A">
            <w:pPr>
              <w:spacing w:before="20" w:after="20" w:line="276" w:lineRule="auto"/>
              <w:jc w:val="right"/>
              <w:rPr>
                <w:b/>
                <w:noProof/>
                <w:sz w:val="20"/>
                <w:lang w:eastAsia="bg-BG" w:bidi="bg-BG"/>
              </w:rPr>
            </w:pPr>
          </w:p>
        </w:tc>
      </w:tr>
      <w:tr w:rsidR="00C0119A">
        <w:tc>
          <w:tcPr>
            <w:tcW w:w="5400" w:type="dxa"/>
            <w:vMerge/>
            <w:tcBorders>
              <w:top w:val="single" w:sz="4" w:space="0" w:color="FF0000"/>
              <w:left w:val="single" w:sz="4" w:space="0" w:color="auto"/>
              <w:bottom w:val="single" w:sz="4" w:space="0" w:color="FF0000"/>
              <w:right w:val="single" w:sz="4" w:space="0" w:color="auto"/>
            </w:tcBorders>
            <w:vAlign w:val="center"/>
            <w:hideMark/>
          </w:tcPr>
          <w:p w:rsidR="00C0119A" w:rsidRDefault="00C0119A">
            <w:pPr>
              <w:spacing w:before="0" w:after="0"/>
              <w:jc w:val="left"/>
              <w:rPr>
                <w:noProof/>
                <w:sz w:val="22"/>
                <w:lang w:eastAsia="bg-BG" w:bidi="bg-BG"/>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rPr>
                <w:noProof/>
                <w:sz w:val="18"/>
                <w:lang w:eastAsia="bg-BG" w:bidi="bg-BG"/>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jc w:val="center"/>
              <w:rPr>
                <w:noProof/>
                <w:sz w:val="14"/>
                <w:lang w:eastAsia="bg-BG" w:bidi="bg-BG"/>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b/>
                <w:noProof/>
                <w:sz w:val="20"/>
                <w:lang w:eastAsia="bg-BG" w:bidi="bg-BG"/>
              </w:rPr>
            </w:pPr>
          </w:p>
        </w:tc>
      </w:tr>
      <w:tr w:rsidR="00C0119A">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rPr>
                <w:noProof/>
                <w:sz w:val="22"/>
                <w:lang w:eastAsia="bg-BG" w:bidi="bg-BG"/>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Lines="20" w:before="48" w:afterLines="20" w:after="48" w:line="276" w:lineRule="auto"/>
              <w:jc w:val="center"/>
              <w:rPr>
                <w:noProof/>
                <w:sz w:val="14"/>
                <w:lang w:eastAsia="bg-BG" w:bidi="bg-BG"/>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b/>
                <w:noProof/>
                <w:sz w:val="20"/>
                <w:lang w:eastAsia="bg-BG" w:bidi="bg-BG"/>
              </w:rPr>
            </w:pPr>
          </w:p>
        </w:tc>
      </w:tr>
      <w:tr w:rsidR="00C0119A">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rsidR="00C0119A" w:rsidRDefault="00867678">
            <w:pPr>
              <w:spacing w:line="276" w:lineRule="auto"/>
              <w:jc w:val="center"/>
              <w:rPr>
                <w:b/>
                <w:noProof/>
                <w:sz w:val="22"/>
                <w:lang w:eastAsia="bg-BG" w:bidi="bg-BG"/>
              </w:rPr>
            </w:pPr>
            <w:r>
              <w:rPr>
                <w:b/>
                <w:noProof/>
              </w:rPr>
              <w:t>ОБЩО бюджетни кредити по ФУНКЦИИ</w:t>
            </w:r>
            <w:r>
              <w:rPr>
                <w:noProof/>
              </w:rPr>
              <w:t xml:space="preserve"> 1—4</w:t>
            </w:r>
            <w:r>
              <w:rPr>
                <w:noProof/>
              </w:rPr>
              <w:br/>
            </w:r>
            <w:r>
              <w:rPr>
                <w:noProof/>
                <w:sz w:val="22"/>
              </w:rPr>
              <w:t>от многогодишната финансова рамка</w:t>
            </w:r>
            <w:r>
              <w:rPr>
                <w:noProof/>
                <w:sz w:val="22"/>
              </w:rPr>
              <w:br/>
            </w:r>
            <w:r>
              <w:rPr>
                <w:noProof/>
                <w:sz w:val="20"/>
              </w:rPr>
              <w:t>(Референтна стойност)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8"/>
                <w:lang w:eastAsia="bg-BG" w:bidi="bg-BG"/>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4"/>
                <w:lang w:eastAsia="bg-BG" w:bidi="bg-BG"/>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b/>
                <w:noProof/>
                <w:sz w:val="20"/>
                <w:lang w:eastAsia="bg-BG" w:bidi="bg-BG"/>
              </w:rPr>
            </w:pPr>
          </w:p>
        </w:tc>
      </w:tr>
      <w:tr w:rsidR="00C0119A">
        <w:tc>
          <w:tcPr>
            <w:tcW w:w="5400" w:type="dxa"/>
            <w:vMerge/>
            <w:tcBorders>
              <w:top w:val="single" w:sz="4" w:space="0" w:color="FF0000"/>
              <w:left w:val="single" w:sz="4" w:space="0" w:color="auto"/>
              <w:bottom w:val="single" w:sz="4" w:space="0" w:color="FF0000"/>
              <w:right w:val="single" w:sz="4" w:space="0" w:color="auto"/>
            </w:tcBorders>
            <w:vAlign w:val="center"/>
            <w:hideMark/>
          </w:tcPr>
          <w:p w:rsidR="00C0119A" w:rsidRDefault="00C0119A">
            <w:pPr>
              <w:spacing w:before="0" w:after="0"/>
              <w:jc w:val="left"/>
              <w:rPr>
                <w:b/>
                <w:noProof/>
                <w:sz w:val="22"/>
                <w:lang w:eastAsia="bg-BG" w:bidi="bg-BG"/>
              </w:rPr>
            </w:pPr>
          </w:p>
        </w:tc>
        <w:tc>
          <w:tcPr>
            <w:tcW w:w="1440"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line="276" w:lineRule="auto"/>
              <w:rPr>
                <w:noProof/>
                <w:sz w:val="18"/>
                <w:lang w:eastAsia="bg-BG" w:bidi="bg-BG"/>
              </w:rPr>
            </w:pPr>
            <w:r>
              <w:rPr>
                <w:noProof/>
                <w:sz w:val="18"/>
              </w:rPr>
              <w:t>Плащания</w:t>
            </w:r>
          </w:p>
        </w:tc>
        <w:tc>
          <w:tcPr>
            <w:tcW w:w="654"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line="276" w:lineRule="auto"/>
              <w:jc w:val="center"/>
              <w:rPr>
                <w:noProof/>
                <w:sz w:val="14"/>
                <w:lang w:eastAsia="bg-BG" w:bidi="bg-BG"/>
              </w:rPr>
            </w:pPr>
            <w:r>
              <w:rPr>
                <w:noProof/>
                <w:sz w:val="14"/>
              </w:rPr>
              <w:t>=5+ 6</w:t>
            </w:r>
          </w:p>
        </w:tc>
        <w:tc>
          <w:tcPr>
            <w:tcW w:w="868"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868" w:type="dxa"/>
            <w:tcBorders>
              <w:top w:val="single" w:sz="4" w:space="0" w:color="auto"/>
              <w:left w:val="single" w:sz="4" w:space="0" w:color="auto"/>
              <w:bottom w:val="single" w:sz="4" w:space="0" w:color="FF0000"/>
              <w:right w:val="single" w:sz="4" w:space="0" w:color="auto"/>
            </w:tcBorders>
            <w:vAlign w:val="center"/>
            <w:hideMark/>
          </w:tcPr>
          <w:p w:rsidR="00C0119A" w:rsidRDefault="00867678">
            <w:pPr>
              <w:spacing w:before="20" w:after="20" w:line="276" w:lineRule="auto"/>
              <w:jc w:val="right"/>
              <w:rPr>
                <w:noProof/>
                <w:lang w:eastAsia="bg-BG" w:bidi="bg-BG"/>
              </w:rPr>
            </w:pPr>
            <w:r>
              <w:rPr>
                <w:noProof/>
              </w:rPr>
              <w:t>p.m.</w:t>
            </w:r>
          </w:p>
        </w:tc>
        <w:tc>
          <w:tcPr>
            <w:tcW w:w="1777" w:type="dxa"/>
            <w:tcBorders>
              <w:top w:val="single" w:sz="4" w:space="0" w:color="auto"/>
              <w:left w:val="single" w:sz="4" w:space="0" w:color="auto"/>
              <w:bottom w:val="single" w:sz="4" w:space="0" w:color="FF0000"/>
              <w:right w:val="single" w:sz="4" w:space="0" w:color="auto"/>
            </w:tcBorders>
            <w:vAlign w:val="center"/>
          </w:tcPr>
          <w:p w:rsidR="00C0119A" w:rsidRDefault="00C0119A">
            <w:pPr>
              <w:spacing w:before="20" w:after="20" w:line="276" w:lineRule="auto"/>
              <w:jc w:val="right"/>
              <w:rPr>
                <w:b/>
                <w:noProof/>
                <w:sz w:val="20"/>
                <w:lang w:eastAsia="bg-BG" w:bidi="bg-BG"/>
              </w:rPr>
            </w:pPr>
          </w:p>
        </w:tc>
      </w:tr>
    </w:tbl>
    <w:p w:rsidR="00C0119A" w:rsidRDefault="00867678">
      <w:pPr>
        <w:rPr>
          <w:noProof/>
          <w:lang w:eastAsia="bg-BG" w:bidi="bg-BG"/>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0119A">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C0119A" w:rsidRDefault="00867678">
            <w:pPr>
              <w:spacing w:before="60" w:after="60" w:line="276" w:lineRule="auto"/>
              <w:jc w:val="center"/>
              <w:rPr>
                <w:b/>
                <w:noProof/>
                <w:sz w:val="22"/>
                <w:lang w:eastAsia="bg-BG" w:bidi="bg-BG"/>
              </w:rPr>
            </w:pPr>
            <w:r>
              <w:rPr>
                <w:noProof/>
              </w:rPr>
              <w:br w:type="page"/>
            </w:r>
            <w:r>
              <w:rPr>
                <w:b/>
                <w:noProof/>
              </w:rPr>
              <w:t>Функция от</w:t>
            </w:r>
            <w:r>
              <w:rPr>
                <w:b/>
                <w:noProof/>
              </w:rPr>
              <w:t xml:space="preserve"> многогодишната финансова</w:t>
            </w:r>
            <w:r>
              <w:rPr>
                <w:b/>
                <w:noProof/>
                <w:sz w:val="22"/>
              </w:rPr>
              <w:t xml:space="preserve"> рамка</w:t>
            </w:r>
            <w:r>
              <w:rPr>
                <w:noProof/>
                <w:sz w:val="22"/>
              </w:rPr>
              <w:br/>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C0119A" w:rsidRDefault="00867678">
            <w:pPr>
              <w:spacing w:before="60" w:after="60" w:line="276" w:lineRule="auto"/>
              <w:jc w:val="center"/>
              <w:rPr>
                <w:noProof/>
                <w:sz w:val="22"/>
                <w:lang w:eastAsia="bg-BG" w:bidi="bg-BG"/>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rPr>
                <w:noProof/>
                <w:sz w:val="22"/>
                <w:lang w:eastAsia="bg-BG" w:bidi="bg-BG"/>
              </w:rPr>
            </w:pPr>
            <w:r>
              <w:rPr>
                <w:noProof/>
                <w:sz w:val="22"/>
              </w:rPr>
              <w:t>„Административни разходи“</w:t>
            </w:r>
          </w:p>
        </w:tc>
      </w:tr>
    </w:tbl>
    <w:p w:rsidR="00C0119A" w:rsidRDefault="00867678">
      <w:pPr>
        <w:jc w:val="right"/>
        <w:rPr>
          <w:noProof/>
          <w:sz w:val="20"/>
          <w:lang w:eastAsia="bg-BG" w:bidi="bg-BG"/>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0119A">
        <w:tc>
          <w:tcPr>
            <w:tcW w:w="3960" w:type="dxa"/>
            <w:tcBorders>
              <w:top w:val="nil"/>
              <w:left w:val="nil"/>
              <w:bottom w:val="single" w:sz="4" w:space="0" w:color="auto"/>
              <w:right w:val="nil"/>
            </w:tcBorders>
            <w:vAlign w:val="center"/>
          </w:tcPr>
          <w:p w:rsidR="00C0119A" w:rsidRDefault="00C0119A">
            <w:pPr>
              <w:spacing w:line="276" w:lineRule="auto"/>
              <w:jc w:val="center"/>
              <w:rPr>
                <w:noProof/>
                <w:sz w:val="22"/>
                <w:lang w:eastAsia="bg-BG" w:bidi="bg-BG"/>
              </w:rPr>
            </w:pPr>
          </w:p>
        </w:tc>
        <w:tc>
          <w:tcPr>
            <w:tcW w:w="1560" w:type="dxa"/>
            <w:tcBorders>
              <w:top w:val="nil"/>
              <w:left w:val="nil"/>
              <w:bottom w:val="single" w:sz="4" w:space="0" w:color="auto"/>
              <w:right w:val="nil"/>
            </w:tcBorders>
          </w:tcPr>
          <w:p w:rsidR="00C0119A" w:rsidRDefault="00C0119A">
            <w:pPr>
              <w:spacing w:line="276" w:lineRule="auto"/>
              <w:rPr>
                <w:noProof/>
                <w:sz w:val="20"/>
                <w:lang w:eastAsia="bg-BG" w:bidi="bg-BG"/>
              </w:rPr>
            </w:pPr>
          </w:p>
        </w:tc>
        <w:tc>
          <w:tcPr>
            <w:tcW w:w="534" w:type="dxa"/>
            <w:tcBorders>
              <w:top w:val="nil"/>
              <w:left w:val="nil"/>
              <w:bottom w:val="single" w:sz="4" w:space="0" w:color="auto"/>
              <w:right w:val="single" w:sz="4" w:space="0" w:color="auto"/>
            </w:tcBorders>
          </w:tcPr>
          <w:p w:rsidR="00C0119A" w:rsidRDefault="00C0119A">
            <w:pPr>
              <w:spacing w:line="276" w:lineRule="auto"/>
              <w:jc w:val="center"/>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2016</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2017</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2019</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18"/>
                <w:lang w:eastAsia="bg-BG" w:bidi="bg-BG"/>
              </w:rPr>
            </w:pPr>
            <w:r>
              <w:rPr>
                <w:noProof/>
                <w:sz w:val="20"/>
              </w:rPr>
              <w:t xml:space="preserve">Година </w:t>
            </w:r>
            <w:r>
              <w:rPr>
                <w:b/>
                <w:noProof/>
                <w:sz w:val="20"/>
              </w:rPr>
              <w:t>2020</w:t>
            </w: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20"/>
                <w:lang w:eastAsia="bg-BG" w:bidi="bg-BG"/>
              </w:rPr>
            </w:pPr>
            <w:r>
              <w:rPr>
                <w:b/>
                <w:noProof/>
                <w:sz w:val="20"/>
              </w:rPr>
              <w:t>ОБЩО</w:t>
            </w:r>
          </w:p>
        </w:tc>
      </w:tr>
      <w:tr w:rsidR="00C0119A">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jc w:val="center"/>
              <w:rPr>
                <w:noProof/>
                <w:sz w:val="22"/>
                <w:lang w:eastAsia="bg-BG" w:bidi="bg-BG"/>
              </w:rPr>
            </w:pPr>
            <w:r>
              <w:rPr>
                <w:noProof/>
                <w:sz w:val="22"/>
              </w:rPr>
              <w:t xml:space="preserve">ГД: </w:t>
            </w:r>
            <w:r>
              <w:rPr>
                <w:noProof/>
              </w:rPr>
              <w:t>„Данъчно облагане и митнически съюз“</w:t>
            </w:r>
          </w:p>
        </w:tc>
      </w:tr>
      <w:tr w:rsidR="00C0119A">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22"/>
                <w:lang w:eastAsia="bg-BG" w:bidi="bg-BG"/>
              </w:rPr>
            </w:pPr>
            <w:r>
              <w:rPr>
                <w:noProof/>
                <w:sz w:val="22"/>
              </w:rPr>
              <w:sym w:font="Wingdings" w:char="F09F"/>
            </w:r>
            <w:r>
              <w:rPr>
                <w:noProof/>
              </w:rPr>
              <w:t xml:space="preserve"> Човешки ресурси</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2,640</w:t>
            </w:r>
          </w:p>
        </w:tc>
      </w:tr>
      <w:tr w:rsidR="00C0119A">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rPr>
                <w:noProof/>
                <w:sz w:val="22"/>
                <w:lang w:eastAsia="bg-BG" w:bidi="bg-BG"/>
              </w:rPr>
            </w:pPr>
            <w:r>
              <w:rPr>
                <w:noProof/>
                <w:sz w:val="22"/>
              </w:rPr>
              <w:sym w:font="Wingdings" w:char="F09F"/>
            </w:r>
            <w:r>
              <w:rPr>
                <w:noProof/>
              </w:rPr>
              <w:t xml:space="preserve"> Други административни разходи</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0,150</w:t>
            </w:r>
          </w:p>
        </w:tc>
      </w:tr>
      <w:tr w:rsidR="00C0119A">
        <w:tc>
          <w:tcPr>
            <w:tcW w:w="396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22"/>
                <w:lang w:eastAsia="bg-BG" w:bidi="bg-BG"/>
              </w:rPr>
            </w:pPr>
            <w:r>
              <w:rPr>
                <w:b/>
                <w:noProof/>
              </w:rPr>
              <w:t xml:space="preserve">ОБЩО ГД </w:t>
            </w:r>
            <w:r>
              <w:rPr>
                <w:noProof/>
              </w:rPr>
              <w:t>„Данъчно облагане и митнически съюз“</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4"/>
                <w:lang w:eastAsia="bg-BG" w:bidi="bg-BG"/>
              </w:rPr>
            </w:pPr>
            <w:r>
              <w:rPr>
                <w:noProof/>
                <w:sz w:val="18"/>
              </w:rPr>
              <w:t xml:space="preserve">Бюджетни кредити </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r>
    </w:tbl>
    <w:p w:rsidR="00C0119A" w:rsidRDefault="00C0119A">
      <w:pPr>
        <w:rPr>
          <w:noProof/>
          <w:lang w:eastAsia="bg-BG" w:bidi="bg-BG"/>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C0119A">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C0119A" w:rsidRDefault="00867678">
            <w:pPr>
              <w:spacing w:line="276" w:lineRule="auto"/>
              <w:jc w:val="center"/>
              <w:rPr>
                <w:b/>
                <w:noProof/>
                <w:sz w:val="22"/>
                <w:lang w:eastAsia="bg-BG" w:bidi="bg-BG"/>
              </w:rPr>
            </w:pPr>
            <w:r>
              <w:rPr>
                <w:b/>
                <w:noProof/>
              </w:rPr>
              <w:t>ОБЩО бюджетни кредити по ФУНКЦИЯ 5</w:t>
            </w:r>
            <w:r>
              <w:rPr>
                <w:noProof/>
              </w:rPr>
              <w:br/>
            </w:r>
            <w:r>
              <w:rPr>
                <w:noProof/>
                <w:sz w:val="22"/>
              </w:rPr>
              <w:t xml:space="preserve">от многогодишната </w:t>
            </w:r>
            <w:r>
              <w:rPr>
                <w:noProof/>
                <w:sz w:val="22"/>
              </w:rPr>
              <w:t>финансова рамка</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40" w:after="40" w:line="276" w:lineRule="auto"/>
              <w:rPr>
                <w:noProof/>
                <w:sz w:val="22"/>
                <w:lang w:eastAsia="bg-BG" w:bidi="bg-BG"/>
              </w:rPr>
            </w:pPr>
            <w:r>
              <w:rPr>
                <w:noProof/>
                <w:sz w:val="18"/>
              </w:rPr>
              <w:t>(Общо поети задължения = Общо 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sz w:val="20"/>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sz w:val="20"/>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sz w:val="20"/>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sz w:val="20"/>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sz w:val="20"/>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b/>
                <w:noProof/>
                <w:sz w:val="20"/>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b/>
                <w:noProof/>
                <w:sz w:val="20"/>
                <w:lang w:eastAsia="bg-BG" w:bidi="bg-BG"/>
              </w:rPr>
            </w:pPr>
            <w:r>
              <w:rPr>
                <w:b/>
                <w:noProof/>
                <w:sz w:val="20"/>
              </w:rPr>
              <w:t>2,790</w:t>
            </w:r>
          </w:p>
        </w:tc>
      </w:tr>
    </w:tbl>
    <w:p w:rsidR="00C0119A" w:rsidRDefault="00867678">
      <w:pPr>
        <w:spacing w:after="0"/>
        <w:jc w:val="right"/>
        <w:rPr>
          <w:noProof/>
          <w:sz w:val="20"/>
          <w:lang w:eastAsia="bg-BG" w:bidi="bg-BG"/>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0119A">
        <w:tc>
          <w:tcPr>
            <w:tcW w:w="3960" w:type="dxa"/>
            <w:tcBorders>
              <w:top w:val="nil"/>
              <w:left w:val="nil"/>
              <w:bottom w:val="single" w:sz="4" w:space="0" w:color="auto"/>
              <w:right w:val="nil"/>
            </w:tcBorders>
            <w:vAlign w:val="center"/>
          </w:tcPr>
          <w:p w:rsidR="00C0119A" w:rsidRDefault="00C0119A">
            <w:pPr>
              <w:spacing w:line="276" w:lineRule="auto"/>
              <w:jc w:val="center"/>
              <w:rPr>
                <w:noProof/>
                <w:sz w:val="22"/>
                <w:lang w:eastAsia="bg-BG" w:bidi="bg-BG"/>
              </w:rPr>
            </w:pPr>
          </w:p>
        </w:tc>
        <w:tc>
          <w:tcPr>
            <w:tcW w:w="1560" w:type="dxa"/>
            <w:tcBorders>
              <w:top w:val="nil"/>
              <w:left w:val="nil"/>
              <w:bottom w:val="single" w:sz="4" w:space="0" w:color="auto"/>
              <w:right w:val="nil"/>
            </w:tcBorders>
          </w:tcPr>
          <w:p w:rsidR="00C0119A" w:rsidRDefault="00C0119A">
            <w:pPr>
              <w:spacing w:line="276" w:lineRule="auto"/>
              <w:rPr>
                <w:noProof/>
                <w:sz w:val="20"/>
                <w:lang w:eastAsia="bg-BG" w:bidi="bg-BG"/>
              </w:rPr>
            </w:pPr>
          </w:p>
        </w:tc>
        <w:tc>
          <w:tcPr>
            <w:tcW w:w="534" w:type="dxa"/>
            <w:tcBorders>
              <w:top w:val="nil"/>
              <w:left w:val="nil"/>
              <w:bottom w:val="single" w:sz="4" w:space="0" w:color="auto"/>
              <w:right w:val="single" w:sz="4" w:space="0" w:color="auto"/>
            </w:tcBorders>
          </w:tcPr>
          <w:p w:rsidR="00C0119A" w:rsidRDefault="00C0119A">
            <w:pPr>
              <w:spacing w:line="276" w:lineRule="auto"/>
              <w:jc w:val="center"/>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2016</w:t>
            </w:r>
            <w:r>
              <w:rPr>
                <w:rStyle w:val="FootnoteReference"/>
                <w:noProof/>
              </w:rPr>
              <w:footnoteReference w:id="19"/>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2017</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2019</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18"/>
                <w:lang w:eastAsia="bg-BG" w:bidi="bg-BG"/>
              </w:rPr>
            </w:pPr>
            <w:r>
              <w:rPr>
                <w:noProof/>
              </w:rPr>
              <w:t xml:space="preserve">Година </w:t>
            </w:r>
            <w:r>
              <w:rPr>
                <w:b/>
                <w:noProof/>
              </w:rPr>
              <w:t>2020</w:t>
            </w: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20"/>
                <w:lang w:eastAsia="bg-BG" w:bidi="bg-BG"/>
              </w:rPr>
            </w:pPr>
            <w:r>
              <w:rPr>
                <w:b/>
                <w:noProof/>
                <w:sz w:val="20"/>
              </w:rPr>
              <w:t>ОБЩО</w:t>
            </w:r>
          </w:p>
        </w:tc>
      </w:tr>
      <w:tr w:rsidR="00C0119A">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C0119A" w:rsidRDefault="00867678">
            <w:pPr>
              <w:spacing w:line="276" w:lineRule="auto"/>
              <w:jc w:val="center"/>
              <w:rPr>
                <w:b/>
                <w:noProof/>
                <w:sz w:val="22"/>
                <w:lang w:eastAsia="bg-BG" w:bidi="bg-BG"/>
              </w:rPr>
            </w:pPr>
            <w:r>
              <w:rPr>
                <w:b/>
                <w:noProof/>
              </w:rPr>
              <w:t>ОБЩО бюджетни кредити по ФУНКЦИИ 1—5</w:t>
            </w:r>
            <w:r>
              <w:rPr>
                <w:noProof/>
              </w:rPr>
              <w:t xml:space="preserve"> от многогодишната финансова рамка</w:t>
            </w:r>
            <w:r>
              <w:rPr>
                <w:noProof/>
              </w:rPr>
              <w:br/>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4"/>
                <w:lang w:eastAsia="bg-BG" w:bidi="bg-BG"/>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0,608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0,608</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3,790</w:t>
            </w:r>
          </w:p>
        </w:tc>
      </w:tr>
      <w:tr w:rsidR="00C0119A">
        <w:tc>
          <w:tcPr>
            <w:tcW w:w="3960"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b/>
                <w:noProof/>
                <w:sz w:val="22"/>
                <w:lang w:eastAsia="bg-BG" w:bidi="bg-BG"/>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rPr>
                <w:noProof/>
                <w:sz w:val="14"/>
                <w:lang w:eastAsia="bg-BG" w:bidi="bg-BG"/>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0,608</w:t>
            </w:r>
          </w:p>
        </w:tc>
        <w:tc>
          <w:tcPr>
            <w:tcW w:w="868"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0,50</w:t>
            </w:r>
          </w:p>
        </w:tc>
        <w:tc>
          <w:tcPr>
            <w:tcW w:w="868" w:type="dxa"/>
            <w:tcBorders>
              <w:top w:val="single" w:sz="4" w:space="0" w:color="auto"/>
              <w:left w:val="single" w:sz="4" w:space="0" w:color="auto"/>
              <w:bottom w:val="single" w:sz="4" w:space="0" w:color="auto"/>
              <w:right w:val="single" w:sz="4" w:space="0" w:color="auto"/>
            </w:tcBorders>
            <w:vAlign w:val="center"/>
          </w:tcPr>
          <w:p w:rsidR="00C0119A" w:rsidRDefault="00C0119A">
            <w:pPr>
              <w:spacing w:before="20" w:after="20" w:line="276" w:lineRule="auto"/>
              <w:jc w:val="right"/>
              <w:rPr>
                <w:noProof/>
                <w:lang w:eastAsia="bg-BG" w:bidi="bg-BG"/>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20" w:after="20" w:line="276" w:lineRule="auto"/>
              <w:jc w:val="right"/>
              <w:rPr>
                <w:noProof/>
                <w:lang w:eastAsia="bg-BG" w:bidi="bg-BG"/>
              </w:rPr>
            </w:pPr>
            <w:r>
              <w:rPr>
                <w:noProof/>
              </w:rPr>
              <w:t>3,790</w:t>
            </w:r>
          </w:p>
        </w:tc>
      </w:tr>
    </w:tbl>
    <w:p w:rsidR="00C0119A" w:rsidRDefault="00C0119A">
      <w:pPr>
        <w:rPr>
          <w:noProof/>
          <w:lang w:eastAsia="bg-BG" w:bidi="bg-BG"/>
        </w:rPr>
      </w:pPr>
    </w:p>
    <w:p w:rsidR="00C0119A" w:rsidRDefault="00C0119A">
      <w:pPr>
        <w:spacing w:before="0" w:after="0"/>
        <w:jc w:val="left"/>
        <w:rPr>
          <w:noProof/>
        </w:rPr>
        <w:sectPr w:rsidR="00C0119A" w:rsidSect="00867678">
          <w:headerReference w:type="default" r:id="rId19"/>
          <w:footerReference w:type="default" r:id="rId20"/>
          <w:headerReference w:type="first" r:id="rId21"/>
          <w:footerReference w:type="first" r:id="rId22"/>
          <w:pgSz w:w="16840" w:h="11907" w:orient="landscape"/>
          <w:pgMar w:top="1134" w:right="1418" w:bottom="1134" w:left="1418" w:header="709" w:footer="709" w:gutter="0"/>
          <w:cols w:space="720"/>
          <w:docGrid w:linePitch="326"/>
        </w:sectPr>
      </w:pPr>
    </w:p>
    <w:p w:rsidR="00C0119A" w:rsidRDefault="00867678">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rsidR="00C0119A" w:rsidRDefault="00867678">
      <w:pPr>
        <w:pStyle w:val="ListDash1"/>
        <w:numPr>
          <w:ilvl w:val="0"/>
          <w:numId w:val="16"/>
        </w:numPr>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rsidR="00C0119A" w:rsidRDefault="00867678">
      <w:pPr>
        <w:pStyle w:val="ListDash1"/>
        <w:numPr>
          <w:ilvl w:val="0"/>
          <w:numId w:val="16"/>
        </w:numPr>
        <w:rPr>
          <w:noProof/>
        </w:rPr>
      </w:pPr>
      <w:r>
        <w:rPr>
          <w:noProof/>
        </w:rPr>
        <w:sym w:font="Wingdings" w:char="F0FD"/>
      </w:r>
      <w:r>
        <w:rPr>
          <w:noProof/>
        </w:rPr>
        <w:t xml:space="preserve"> Предложението/инициативата налага използване на бюджетни кредити за оперативни разходи съгласно обяснението по-долу:</w:t>
      </w:r>
    </w:p>
    <w:p w:rsidR="00C0119A" w:rsidRDefault="00867678">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19"/>
        <w:gridCol w:w="700"/>
        <w:gridCol w:w="504"/>
        <w:gridCol w:w="720"/>
        <w:gridCol w:w="540"/>
        <w:gridCol w:w="720"/>
        <w:gridCol w:w="720"/>
        <w:gridCol w:w="720"/>
        <w:gridCol w:w="900"/>
        <w:gridCol w:w="51"/>
        <w:gridCol w:w="669"/>
        <w:gridCol w:w="540"/>
        <w:gridCol w:w="648"/>
        <w:gridCol w:w="432"/>
        <w:gridCol w:w="720"/>
        <w:gridCol w:w="540"/>
        <w:gridCol w:w="720"/>
        <w:gridCol w:w="720"/>
        <w:gridCol w:w="900"/>
      </w:tblGrid>
      <w:tr w:rsidR="00C0119A">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rsidR="00C0119A" w:rsidRDefault="00867678">
            <w:pPr>
              <w:spacing w:line="276" w:lineRule="auto"/>
              <w:ind w:right="-29"/>
              <w:jc w:val="center"/>
              <w:rPr>
                <w:b/>
                <w:noProof/>
                <w:sz w:val="18"/>
                <w:szCs w:val="18"/>
              </w:rPr>
            </w:pPr>
            <w:r>
              <w:rPr>
                <w:b/>
                <w:noProof/>
                <w:sz w:val="18"/>
              </w:rPr>
              <w:t xml:space="preserve">Да се посочат целите и резултатите </w:t>
            </w:r>
          </w:p>
          <w:p w:rsidR="00C0119A" w:rsidRDefault="00C0119A">
            <w:pPr>
              <w:spacing w:line="276" w:lineRule="auto"/>
              <w:ind w:right="-29"/>
              <w:jc w:val="center"/>
              <w:rPr>
                <w:b/>
                <w:noProof/>
                <w:sz w:val="18"/>
                <w:szCs w:val="18"/>
              </w:rPr>
            </w:pPr>
          </w:p>
          <w:p w:rsidR="00C0119A" w:rsidRDefault="00867678">
            <w:pPr>
              <w:spacing w:line="276" w:lineRule="auto"/>
              <w:ind w:right="-29"/>
              <w:jc w:val="center"/>
              <w:rPr>
                <w:noProof/>
                <w:sz w:val="18"/>
                <w:szCs w:val="18"/>
                <w:lang w:eastAsia="bg-BG" w:bidi="bg-BG"/>
              </w:rPr>
            </w:pPr>
            <w:r>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ind w:right="-29"/>
              <w:jc w:val="center"/>
              <w:rPr>
                <w:noProof/>
                <w:sz w:val="18"/>
                <w:szCs w:val="18"/>
                <w:lang w:eastAsia="bg-BG" w:bidi="bg-BG"/>
              </w:rPr>
            </w:pPr>
          </w:p>
        </w:tc>
        <w:tc>
          <w:tcPr>
            <w:tcW w:w="701" w:type="dxa"/>
            <w:tcBorders>
              <w:top w:val="single" w:sz="4" w:space="0" w:color="auto"/>
              <w:left w:val="single" w:sz="4" w:space="0" w:color="auto"/>
              <w:bottom w:val="single" w:sz="4" w:space="0" w:color="auto"/>
              <w:right w:val="single" w:sz="4" w:space="0" w:color="auto"/>
            </w:tcBorders>
            <w:vAlign w:val="center"/>
          </w:tcPr>
          <w:p w:rsidR="00C0119A" w:rsidRDefault="00C0119A">
            <w:pPr>
              <w:spacing w:line="276" w:lineRule="auto"/>
              <w:ind w:right="-29"/>
              <w:jc w:val="center"/>
              <w:rPr>
                <w:noProof/>
                <w:sz w:val="18"/>
                <w:szCs w:val="18"/>
                <w:lang w:eastAsia="bg-BG" w:bidi="bg-BG"/>
              </w:rPr>
            </w:pPr>
          </w:p>
        </w:tc>
        <w:tc>
          <w:tcPr>
            <w:tcW w:w="1224" w:type="dxa"/>
            <w:gridSpan w:val="2"/>
            <w:tcBorders>
              <w:top w:val="single" w:sz="4" w:space="0" w:color="auto"/>
              <w:left w:val="nil"/>
              <w:bottom w:val="single" w:sz="4" w:space="0" w:color="auto"/>
              <w:right w:val="single" w:sz="4" w:space="0" w:color="auto"/>
            </w:tcBorders>
            <w:vAlign w:val="center"/>
            <w:hideMark/>
          </w:tcPr>
          <w:p w:rsidR="00C0119A" w:rsidRDefault="00867678">
            <w:pPr>
              <w:spacing w:line="276" w:lineRule="auto"/>
              <w:ind w:right="-29"/>
              <w:jc w:val="center"/>
              <w:rPr>
                <w:noProof/>
                <w:sz w:val="18"/>
                <w:szCs w:val="18"/>
                <w:lang w:eastAsia="bg-BG" w:bidi="bg-BG"/>
              </w:rPr>
            </w:pPr>
            <w:r>
              <w:rPr>
                <w:noProof/>
              </w:rPr>
              <w:t>Година</w:t>
            </w:r>
            <w:r>
              <w:rPr>
                <w:b/>
                <w:noProof/>
                <w:sz w:val="18"/>
              </w:rPr>
              <w:t>2016</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ind w:right="-29"/>
              <w:jc w:val="center"/>
              <w:rPr>
                <w:noProof/>
                <w:sz w:val="18"/>
                <w:szCs w:val="18"/>
                <w:lang w:eastAsia="bg-BG" w:bidi="bg-BG"/>
              </w:rPr>
            </w:pPr>
            <w:r>
              <w:rPr>
                <w:noProof/>
              </w:rPr>
              <w:t>Година</w:t>
            </w:r>
            <w:r>
              <w:rPr>
                <w:b/>
                <w:noProof/>
                <w:sz w:val="18"/>
              </w:rPr>
              <w:t>2017</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ind w:right="-29"/>
              <w:jc w:val="center"/>
              <w:rPr>
                <w:noProof/>
                <w:sz w:val="18"/>
                <w:szCs w:val="18"/>
                <w:lang w:eastAsia="bg-BG" w:bidi="bg-BG"/>
              </w:rPr>
            </w:pPr>
            <w:r>
              <w:rPr>
                <w:noProof/>
              </w:rPr>
              <w:t>Година</w:t>
            </w:r>
            <w:r>
              <w:rPr>
                <w:b/>
                <w:noProof/>
                <w:sz w:val="18"/>
              </w:rPr>
              <w:t>2018</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ind w:right="-29"/>
              <w:jc w:val="center"/>
              <w:rPr>
                <w:noProof/>
                <w:sz w:val="18"/>
                <w:szCs w:val="18"/>
                <w:lang w:eastAsia="bg-BG" w:bidi="bg-BG"/>
              </w:rPr>
            </w:pPr>
            <w:r>
              <w:rPr>
                <w:noProof/>
              </w:rPr>
              <w:t>Година</w:t>
            </w:r>
            <w:r>
              <w:rPr>
                <w:b/>
                <w:noProof/>
                <w:sz w:val="18"/>
              </w:rPr>
              <w:t>2019</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szCs w:val="18"/>
                <w:lang w:eastAsia="bg-BG" w:bidi="bg-BG"/>
              </w:rPr>
            </w:pPr>
            <w:r>
              <w:rPr>
                <w:noProof/>
                <w:sz w:val="18"/>
              </w:rPr>
              <w:t>2020</w:t>
            </w:r>
          </w:p>
        </w:tc>
        <w:tc>
          <w:tcPr>
            <w:tcW w:w="1620" w:type="dxa"/>
            <w:gridSpan w:val="2"/>
            <w:tcBorders>
              <w:top w:val="single" w:sz="4" w:space="0" w:color="auto"/>
              <w:left w:val="nil"/>
              <w:bottom w:val="nil"/>
              <w:right w:val="single" w:sz="4" w:space="0" w:color="auto"/>
            </w:tcBorders>
            <w:vAlign w:val="center"/>
            <w:hideMark/>
          </w:tcPr>
          <w:p w:rsidR="00C0119A" w:rsidRDefault="00867678">
            <w:pPr>
              <w:spacing w:line="276" w:lineRule="auto"/>
              <w:ind w:right="-29"/>
              <w:jc w:val="center"/>
              <w:rPr>
                <w:noProof/>
                <w:sz w:val="18"/>
                <w:szCs w:val="18"/>
                <w:lang w:eastAsia="bg-BG" w:bidi="bg-BG"/>
              </w:rPr>
            </w:pPr>
            <w:r>
              <w:rPr>
                <w:b/>
                <w:noProof/>
                <w:sz w:val="18"/>
              </w:rPr>
              <w:t>ОБЩО</w:t>
            </w:r>
          </w:p>
        </w:tc>
      </w:tr>
      <w:tr w:rsidR="00C0119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18"/>
                <w:szCs w:val="18"/>
                <w:lang w:eastAsia="bg-BG" w:bidi="bg-BG"/>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ind w:right="-29"/>
              <w:jc w:val="center"/>
              <w:rPr>
                <w:noProof/>
                <w:sz w:val="18"/>
                <w:szCs w:val="18"/>
                <w:lang w:eastAsia="bg-BG" w:bidi="bg-BG"/>
              </w:rPr>
            </w:pPr>
            <w:r>
              <w:rPr>
                <w:b/>
                <w:noProof/>
                <w:sz w:val="18"/>
              </w:rPr>
              <w:t>РЕЗУЛТАТИ</w:t>
            </w:r>
          </w:p>
        </w:tc>
      </w:tr>
      <w:tr w:rsidR="00C0119A">
        <w:trPr>
          <w:cantSplit/>
          <w:trHeight w:val="11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vAlign w:val="center"/>
          </w:tcPr>
          <w:p w:rsidR="00C0119A" w:rsidRDefault="00867678">
            <w:pPr>
              <w:spacing w:line="276" w:lineRule="auto"/>
              <w:jc w:val="center"/>
              <w:rPr>
                <w:noProof/>
                <w:sz w:val="18"/>
                <w:szCs w:val="18"/>
              </w:rPr>
            </w:pPr>
            <w:r>
              <w:rPr>
                <w:noProof/>
                <w:sz w:val="18"/>
              </w:rPr>
              <w:t>Вид</w:t>
            </w:r>
            <w:r>
              <w:rPr>
                <w:rStyle w:val="FootnoteReference"/>
                <w:noProof/>
              </w:rPr>
              <w:footnoteReference w:id="20"/>
            </w:r>
          </w:p>
          <w:p w:rsidR="00C0119A" w:rsidRDefault="00C0119A">
            <w:pPr>
              <w:spacing w:before="0" w:after="0" w:line="276" w:lineRule="auto"/>
              <w:jc w:val="center"/>
              <w:rPr>
                <w:noProof/>
                <w:sz w:val="18"/>
                <w:szCs w:val="18"/>
                <w:lang w:eastAsia="bg-BG" w:bidi="bg-BG"/>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szCs w:val="18"/>
                <w:lang w:eastAsia="bg-BG" w:bidi="bg-BG"/>
              </w:rPr>
            </w:pPr>
            <w:r>
              <w:rPr>
                <w:noProof/>
                <w:sz w:val="18"/>
              </w:rPr>
              <w:t>Среден разход</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rsidR="00C0119A" w:rsidRDefault="00867678">
            <w:pPr>
              <w:spacing w:line="276" w:lineRule="auto"/>
              <w:ind w:left="113" w:right="113"/>
              <w:jc w:val="center"/>
              <w:rPr>
                <w:noProof/>
                <w:sz w:val="18"/>
                <w:szCs w:val="18"/>
                <w:lang w:eastAsia="bg-BG" w:bidi="bg-BG"/>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Разходи</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C0119A" w:rsidRDefault="00867678">
            <w:pPr>
              <w:spacing w:line="276" w:lineRule="auto"/>
              <w:ind w:left="113" w:right="113"/>
              <w:jc w:val="center"/>
              <w:rPr>
                <w:noProof/>
                <w:sz w:val="18"/>
                <w:szCs w:val="18"/>
                <w:lang w:eastAsia="bg-BG" w:bidi="bg-BG"/>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Разходи</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C0119A" w:rsidRDefault="00867678">
            <w:pPr>
              <w:spacing w:line="276" w:lineRule="auto"/>
              <w:ind w:left="113" w:right="113"/>
              <w:jc w:val="center"/>
              <w:rPr>
                <w:noProof/>
                <w:sz w:val="18"/>
                <w:szCs w:val="18"/>
                <w:lang w:eastAsia="bg-BG" w:bidi="bg-BG"/>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Разходи</w:t>
            </w:r>
          </w:p>
        </w:tc>
        <w:tc>
          <w:tcPr>
            <w:tcW w:w="90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C0119A" w:rsidRDefault="00867678">
            <w:pPr>
              <w:spacing w:line="276" w:lineRule="auto"/>
              <w:ind w:left="113" w:right="113"/>
              <w:jc w:val="center"/>
              <w:rPr>
                <w:noProof/>
                <w:sz w:val="18"/>
                <w:szCs w:val="18"/>
                <w:lang w:eastAsia="bg-BG" w:bidi="bg-BG"/>
              </w:rPr>
            </w:pPr>
            <w:r>
              <w:rPr>
                <w:noProof/>
                <w:sz w:val="18"/>
              </w:rPr>
              <w:t>Брой</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Разходи</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C0119A" w:rsidRDefault="00867678">
            <w:pPr>
              <w:spacing w:line="276" w:lineRule="auto"/>
              <w:ind w:left="113" w:right="113"/>
              <w:jc w:val="center"/>
              <w:rPr>
                <w:noProof/>
                <w:sz w:val="18"/>
                <w:szCs w:val="18"/>
                <w:lang w:eastAsia="bg-BG" w:bidi="bg-BG"/>
              </w:rPr>
            </w:pPr>
            <w:r>
              <w:rPr>
                <w:noProof/>
                <w:sz w:val="18"/>
              </w:rPr>
              <w:t>Брой</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Разходи</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C0119A" w:rsidRDefault="00867678">
            <w:pPr>
              <w:spacing w:line="276" w:lineRule="auto"/>
              <w:ind w:left="113" w:right="113"/>
              <w:jc w:val="center"/>
              <w:rPr>
                <w:noProof/>
                <w:sz w:val="18"/>
                <w:szCs w:val="18"/>
                <w:lang w:eastAsia="bg-BG" w:bidi="bg-BG"/>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Разходи</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C0119A" w:rsidRDefault="00867678">
            <w:pPr>
              <w:spacing w:line="276" w:lineRule="auto"/>
              <w:ind w:left="113" w:right="113"/>
              <w:jc w:val="center"/>
              <w:rPr>
                <w:noProof/>
                <w:sz w:val="18"/>
                <w:szCs w:val="18"/>
                <w:lang w:eastAsia="bg-BG" w:bidi="bg-BG"/>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Разходи</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Общ брой</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C0119A" w:rsidRDefault="00867678">
            <w:pPr>
              <w:spacing w:line="276" w:lineRule="auto"/>
              <w:jc w:val="center"/>
              <w:rPr>
                <w:noProof/>
                <w:sz w:val="18"/>
                <w:szCs w:val="18"/>
                <w:lang w:eastAsia="bg-BG" w:bidi="bg-BG"/>
              </w:rPr>
            </w:pPr>
            <w:r>
              <w:rPr>
                <w:noProof/>
                <w:sz w:val="18"/>
              </w:rPr>
              <w:t>Общо разходи</w:t>
            </w:r>
          </w:p>
        </w:tc>
      </w:tr>
      <w:tr w:rsidR="00C0119A">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ind w:right="-29"/>
              <w:jc w:val="center"/>
              <w:rPr>
                <w:noProof/>
                <w:sz w:val="18"/>
                <w:szCs w:val="18"/>
                <w:lang w:eastAsia="bg-BG" w:bidi="bg-BG"/>
              </w:rPr>
            </w:pPr>
            <w:r>
              <w:rPr>
                <w:noProof/>
                <w:sz w:val="18"/>
              </w:rPr>
              <w:t>КОНКРЕТНА ЦЕЛ № 1</w:t>
            </w:r>
            <w:r>
              <w:rPr>
                <w:rStyle w:val="FootnoteReference"/>
                <w:noProof/>
              </w:rPr>
              <w:footnoteReference w:id="21"/>
            </w:r>
            <w:r>
              <w:rPr>
                <w:noProof/>
                <w:sz w:val="18"/>
              </w:rPr>
              <w:t>…</w:t>
            </w:r>
          </w:p>
        </w:tc>
        <w:tc>
          <w:tcPr>
            <w:tcW w:w="504"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54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90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gridSpan w:val="2"/>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54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648"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432"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54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90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r>
      <w:tr w:rsidR="00C0119A">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C0119A" w:rsidRDefault="00867678">
            <w:pPr>
              <w:spacing w:line="276" w:lineRule="auto"/>
              <w:ind w:right="-29"/>
              <w:jc w:val="center"/>
              <w:rPr>
                <w:noProof/>
                <w:sz w:val="18"/>
                <w:szCs w:val="18"/>
                <w:lang w:eastAsia="bg-BG" w:bidi="bg-BG"/>
              </w:rPr>
            </w:pPr>
            <w:r>
              <w:rPr>
                <w:noProof/>
                <w:sz w:val="18"/>
              </w:rPr>
              <w:t>- Резултат</w:t>
            </w: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01"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04"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gridSpan w:val="2"/>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648"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432"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r>
      <w:tr w:rsidR="00C0119A">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C0119A" w:rsidRDefault="00867678">
            <w:pPr>
              <w:spacing w:line="276" w:lineRule="auto"/>
              <w:ind w:right="-29"/>
              <w:jc w:val="center"/>
              <w:rPr>
                <w:noProof/>
                <w:sz w:val="18"/>
                <w:szCs w:val="18"/>
                <w:lang w:eastAsia="bg-BG" w:bidi="bg-BG"/>
              </w:rPr>
            </w:pPr>
            <w:r>
              <w:rPr>
                <w:noProof/>
                <w:sz w:val="18"/>
              </w:rPr>
              <w:t>- Резултат</w:t>
            </w: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01"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04"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gridSpan w:val="2"/>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648"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432"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dashSmallGap"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dashSmallGap"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r>
      <w:tr w:rsidR="00C0119A">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C0119A" w:rsidRDefault="00867678">
            <w:pPr>
              <w:spacing w:line="276" w:lineRule="auto"/>
              <w:ind w:right="-29"/>
              <w:jc w:val="center"/>
              <w:rPr>
                <w:noProof/>
                <w:sz w:val="18"/>
                <w:szCs w:val="18"/>
                <w:lang w:eastAsia="bg-BG" w:bidi="bg-BG"/>
              </w:rPr>
            </w:pPr>
            <w:r>
              <w:rPr>
                <w:noProof/>
                <w:sz w:val="18"/>
              </w:rPr>
              <w:t>- Резултат</w:t>
            </w: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01"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04"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gridSpan w:val="2"/>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648"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432"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r>
      <w:tr w:rsidR="00C0119A">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rsidR="00C0119A" w:rsidRDefault="00867678">
            <w:pPr>
              <w:spacing w:line="276" w:lineRule="auto"/>
              <w:ind w:right="-29"/>
              <w:jc w:val="center"/>
              <w:rPr>
                <w:noProof/>
                <w:sz w:val="18"/>
                <w:szCs w:val="18"/>
                <w:lang w:eastAsia="bg-BG" w:bidi="bg-BG"/>
              </w:rPr>
            </w:pPr>
            <w:r>
              <w:rPr>
                <w:noProof/>
                <w:sz w:val="18"/>
              </w:rPr>
              <w:t>Междинен сбор за конкретна цел № 1</w:t>
            </w:r>
          </w:p>
        </w:tc>
        <w:tc>
          <w:tcPr>
            <w:tcW w:w="504"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gridSpan w:val="2"/>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648"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432"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r>
      <w:tr w:rsidR="00C0119A">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60" w:after="60" w:line="276" w:lineRule="auto"/>
              <w:ind w:right="-29"/>
              <w:jc w:val="center"/>
              <w:rPr>
                <w:noProof/>
                <w:sz w:val="18"/>
                <w:szCs w:val="18"/>
                <w:lang w:eastAsia="bg-BG" w:bidi="bg-BG"/>
              </w:rPr>
            </w:pPr>
            <w:r>
              <w:rPr>
                <w:noProof/>
                <w:sz w:val="18"/>
              </w:rPr>
              <w:t>КОНКРЕТНА ЦЕЛ № 2…</w:t>
            </w:r>
          </w:p>
        </w:tc>
        <w:tc>
          <w:tcPr>
            <w:tcW w:w="504"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54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90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gridSpan w:val="2"/>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54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648"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432"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54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72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c>
          <w:tcPr>
            <w:tcW w:w="900" w:type="dxa"/>
            <w:tcBorders>
              <w:top w:val="nil"/>
              <w:left w:val="nil"/>
              <w:bottom w:val="nil"/>
              <w:right w:val="nil"/>
            </w:tcBorders>
          </w:tcPr>
          <w:p w:rsidR="00C0119A" w:rsidRDefault="00C0119A">
            <w:pPr>
              <w:spacing w:before="60" w:after="60" w:line="276" w:lineRule="auto"/>
              <w:ind w:right="-29"/>
              <w:jc w:val="center"/>
              <w:rPr>
                <w:noProof/>
                <w:sz w:val="18"/>
                <w:szCs w:val="18"/>
                <w:lang w:eastAsia="bg-BG" w:bidi="bg-BG"/>
              </w:rPr>
            </w:pPr>
          </w:p>
        </w:tc>
      </w:tr>
      <w:tr w:rsidR="00C0119A">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C0119A" w:rsidRDefault="00867678">
            <w:pPr>
              <w:spacing w:line="276" w:lineRule="auto"/>
              <w:ind w:right="-29"/>
              <w:jc w:val="center"/>
              <w:rPr>
                <w:noProof/>
                <w:sz w:val="18"/>
                <w:szCs w:val="18"/>
                <w:lang w:eastAsia="bg-BG" w:bidi="bg-BG"/>
              </w:rPr>
            </w:pPr>
            <w:r>
              <w:rPr>
                <w:noProof/>
                <w:sz w:val="18"/>
              </w:rPr>
              <w:t xml:space="preserve">- </w:t>
            </w:r>
            <w:r>
              <w:rPr>
                <w:noProof/>
                <w:sz w:val="18"/>
              </w:rPr>
              <w:t>Резултат</w:t>
            </w: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01"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04"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gridSpan w:val="2"/>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648"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432"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line="276" w:lineRule="auto"/>
              <w:ind w:right="-29"/>
              <w:jc w:val="center"/>
              <w:rPr>
                <w:noProof/>
                <w:sz w:val="18"/>
                <w:szCs w:val="18"/>
                <w:lang w:eastAsia="bg-BG" w:bidi="bg-BG"/>
              </w:rPr>
            </w:pPr>
          </w:p>
        </w:tc>
      </w:tr>
      <w:tr w:rsidR="00C0119A">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rsidR="00C0119A" w:rsidRDefault="00867678">
            <w:pPr>
              <w:spacing w:line="276" w:lineRule="auto"/>
              <w:jc w:val="center"/>
              <w:rPr>
                <w:noProof/>
                <w:sz w:val="18"/>
                <w:szCs w:val="18"/>
                <w:lang w:eastAsia="bg-BG" w:bidi="bg-BG"/>
              </w:rPr>
            </w:pPr>
            <w:r>
              <w:rPr>
                <w:noProof/>
                <w:sz w:val="18"/>
              </w:rPr>
              <w:t>Междинен сбор за конкретна цел № 2</w:t>
            </w:r>
          </w:p>
        </w:tc>
        <w:tc>
          <w:tcPr>
            <w:tcW w:w="504"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51" w:type="dxa"/>
            <w:gridSpan w:val="2"/>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669"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648"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432"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54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72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c>
          <w:tcPr>
            <w:tcW w:w="900" w:type="dxa"/>
            <w:tcBorders>
              <w:top w:val="single" w:sz="4" w:space="0" w:color="auto"/>
              <w:left w:val="single" w:sz="4" w:space="0" w:color="auto"/>
              <w:bottom w:val="single" w:sz="12" w:space="0" w:color="auto"/>
              <w:right w:val="single" w:sz="4" w:space="0" w:color="auto"/>
            </w:tcBorders>
          </w:tcPr>
          <w:p w:rsidR="00C0119A" w:rsidRDefault="00C0119A">
            <w:pPr>
              <w:spacing w:line="276" w:lineRule="auto"/>
              <w:ind w:right="-29"/>
              <w:jc w:val="center"/>
              <w:rPr>
                <w:noProof/>
                <w:sz w:val="18"/>
                <w:szCs w:val="18"/>
                <w:lang w:eastAsia="bg-BG" w:bidi="bg-BG"/>
              </w:rPr>
            </w:pPr>
          </w:p>
        </w:tc>
      </w:tr>
      <w:tr w:rsidR="00C0119A">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rsidR="00C0119A" w:rsidRDefault="00867678">
            <w:pPr>
              <w:spacing w:line="276" w:lineRule="auto"/>
              <w:ind w:right="-29"/>
              <w:jc w:val="center"/>
              <w:rPr>
                <w:noProof/>
                <w:sz w:val="18"/>
                <w:szCs w:val="18"/>
                <w:lang w:eastAsia="bg-BG" w:bidi="bg-BG"/>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54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90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gridSpan w:val="2"/>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54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648"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432"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54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720" w:type="dxa"/>
            <w:tcBorders>
              <w:top w:val="single" w:sz="12" w:space="0" w:color="auto"/>
              <w:left w:val="single" w:sz="4" w:space="0" w:color="auto"/>
              <w:bottom w:val="single" w:sz="12" w:space="0" w:color="auto"/>
              <w:right w:val="single" w:sz="4" w:space="0" w:color="auto"/>
            </w:tcBorders>
          </w:tcPr>
          <w:p w:rsidR="00C0119A" w:rsidRDefault="00C0119A">
            <w:pPr>
              <w:spacing w:before="180" w:after="180" w:line="276" w:lineRule="auto"/>
              <w:ind w:right="-29"/>
              <w:jc w:val="center"/>
              <w:rPr>
                <w:noProof/>
                <w:sz w:val="18"/>
                <w:szCs w:val="18"/>
                <w:lang w:eastAsia="bg-BG" w:bidi="bg-BG"/>
              </w:rPr>
            </w:pPr>
          </w:p>
        </w:tc>
        <w:tc>
          <w:tcPr>
            <w:tcW w:w="900" w:type="dxa"/>
            <w:tcBorders>
              <w:top w:val="single" w:sz="12" w:space="0" w:color="auto"/>
              <w:left w:val="single" w:sz="4" w:space="0" w:color="auto"/>
              <w:bottom w:val="single" w:sz="12" w:space="0" w:color="auto"/>
              <w:right w:val="single" w:sz="12" w:space="0" w:color="auto"/>
            </w:tcBorders>
          </w:tcPr>
          <w:p w:rsidR="00C0119A" w:rsidRDefault="00C0119A">
            <w:pPr>
              <w:spacing w:before="180" w:after="180" w:line="276" w:lineRule="auto"/>
              <w:ind w:right="-29"/>
              <w:jc w:val="center"/>
              <w:rPr>
                <w:noProof/>
                <w:sz w:val="18"/>
                <w:szCs w:val="18"/>
                <w:lang w:eastAsia="bg-BG" w:bidi="bg-BG"/>
              </w:rPr>
            </w:pPr>
          </w:p>
        </w:tc>
      </w:tr>
    </w:tbl>
    <w:p w:rsidR="00C0119A" w:rsidRDefault="00C0119A">
      <w:pPr>
        <w:pStyle w:val="ListParagraph"/>
        <w:ind w:left="360"/>
        <w:rPr>
          <w:rFonts w:ascii="Times New Roman" w:hAnsi="Times New Roman"/>
          <w:b/>
          <w:noProof/>
          <w:sz w:val="18"/>
          <w:lang w:eastAsia="bg-BG" w:bidi="bg-BG"/>
        </w:rPr>
      </w:pPr>
    </w:p>
    <w:p w:rsidR="00C0119A" w:rsidRDefault="00C0119A">
      <w:pPr>
        <w:spacing w:before="0" w:after="0" w:line="276" w:lineRule="auto"/>
        <w:jc w:val="left"/>
        <w:rPr>
          <w:rFonts w:eastAsia="Times New Roman"/>
          <w:b/>
          <w:noProof/>
          <w:sz w:val="18"/>
          <w:szCs w:val="24"/>
        </w:rPr>
        <w:sectPr w:rsidR="00C0119A" w:rsidSect="00867678">
          <w:pgSz w:w="16840" w:h="11907" w:orient="landscape"/>
          <w:pgMar w:top="1134" w:right="1418" w:bottom="567" w:left="1418" w:header="709" w:footer="709" w:gutter="0"/>
          <w:cols w:space="720"/>
          <w:docGrid w:linePitch="326"/>
        </w:sectPr>
      </w:pPr>
    </w:p>
    <w:p w:rsidR="00C0119A" w:rsidRDefault="00867678">
      <w:pPr>
        <w:pStyle w:val="ListParagraph"/>
        <w:ind w:left="360"/>
        <w:rPr>
          <w:rFonts w:ascii="Times New Roman" w:hAnsi="Times New Roman"/>
          <w:b/>
          <w:noProof/>
        </w:rPr>
      </w:pPr>
      <w:r>
        <w:rPr>
          <w:rFonts w:ascii="Times New Roman" w:hAnsi="Times New Roman"/>
          <w:b/>
          <w:noProof/>
          <w:sz w:val="18"/>
        </w:rPr>
        <w:t xml:space="preserve">БЕЛЕЖКА </w:t>
      </w:r>
    </w:p>
    <w:p w:rsidR="00C0119A" w:rsidRDefault="00867678">
      <w:pPr>
        <w:ind w:left="360"/>
        <w:rPr>
          <w:noProof/>
          <w:sz w:val="20"/>
          <w:szCs w:val="20"/>
        </w:rPr>
      </w:pPr>
      <w:r>
        <w:rPr>
          <w:noProof/>
          <w:sz w:val="20"/>
        </w:rPr>
        <w:t>Очакваният положителен резултат от настоящото предложение е, че: i) държавите членки ще получат информация относно</w:t>
      </w:r>
      <w:r>
        <w:rPr>
          <w:noProof/>
          <w:sz w:val="20"/>
        </w:rPr>
        <w:t xml:space="preserve"> предприятията, което ще им позволи да заемат информирана позиция за целенасочено провеждане на данъчни одити; ii) широката общественост може да счете мярката като активна стъпка, с която се гарантира, че всички данъкоплатци заплащат дължимите от тях данъц</w:t>
      </w:r>
      <w:r>
        <w:rPr>
          <w:noProof/>
          <w:sz w:val="20"/>
        </w:rPr>
        <w:t>и; iii) дружествата може да ограничат структурите си за агресивно данъчно планиране. Макар че за държавите членки административната тежест, пряко свързана с предоставянето на информация за отчетите по държави, ще нарасне, очаква се тези разходи да бъдат ог</w:t>
      </w:r>
      <w:r>
        <w:rPr>
          <w:noProof/>
          <w:sz w:val="20"/>
        </w:rPr>
        <w:t>раничени поради факта, че отчетите се изготвят от самите предприятия.</w:t>
      </w:r>
    </w:p>
    <w:p w:rsidR="00C0119A" w:rsidRDefault="00867678">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rsidR="00C0119A" w:rsidRDefault="00867678">
      <w:pPr>
        <w:pStyle w:val="ManualHeading4"/>
        <w:rPr>
          <w:noProof/>
        </w:rPr>
      </w:pPr>
      <w:r>
        <w:rPr>
          <w:noProof/>
        </w:rPr>
        <w:t>3.2.3.1.</w:t>
      </w:r>
      <w:r>
        <w:rPr>
          <w:noProof/>
        </w:rPr>
        <w:tab/>
        <w:t xml:space="preserve">Обобщение </w:t>
      </w:r>
    </w:p>
    <w:p w:rsidR="00C0119A" w:rsidRDefault="00867678">
      <w:pPr>
        <w:pStyle w:val="ListDash1"/>
        <w:numPr>
          <w:ilvl w:val="0"/>
          <w:numId w:val="16"/>
        </w:num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w:t>
      </w:r>
      <w:r>
        <w:rPr>
          <w:noProof/>
        </w:rPr>
        <w:t xml:space="preserve"> разходи </w:t>
      </w:r>
    </w:p>
    <w:p w:rsidR="00C0119A" w:rsidRDefault="00867678">
      <w:pPr>
        <w:pStyle w:val="ListDash1"/>
        <w:numPr>
          <w:ilvl w:val="0"/>
          <w:numId w:val="16"/>
        </w:numPr>
        <w:rPr>
          <w:noProof/>
        </w:rPr>
      </w:pPr>
      <w:r>
        <w:rPr>
          <w:noProof/>
        </w:rPr>
        <w:sym w:font="Wingdings" w:char="F0FD"/>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rsidR="00C0119A" w:rsidRDefault="00867678">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0119A">
        <w:trPr>
          <w:trHeight w:val="585"/>
        </w:trPr>
        <w:tc>
          <w:tcPr>
            <w:tcW w:w="1980" w:type="dxa"/>
            <w:tcBorders>
              <w:top w:val="single" w:sz="2" w:space="0" w:color="auto"/>
              <w:left w:val="single" w:sz="2" w:space="0" w:color="auto"/>
              <w:bottom w:val="single" w:sz="2" w:space="0" w:color="auto"/>
              <w:right w:val="single" w:sz="2" w:space="0" w:color="auto"/>
            </w:tcBorders>
          </w:tcPr>
          <w:p w:rsidR="00C0119A" w:rsidRDefault="00C0119A">
            <w:pPr>
              <w:spacing w:before="60" w:after="60" w:line="200" w:lineRule="exac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jc w:val="center"/>
              <w:rPr>
                <w:noProof/>
                <w:sz w:val="16"/>
                <w:szCs w:val="16"/>
                <w:lang w:eastAsia="bg-BG" w:bidi="bg-BG"/>
              </w:rPr>
            </w:pPr>
            <w:r>
              <w:rPr>
                <w:noProof/>
              </w:rPr>
              <w:t xml:space="preserve">Година </w:t>
            </w:r>
            <w:r>
              <w:rPr>
                <w:b/>
                <w:noProof/>
                <w:sz w:val="16"/>
              </w:rPr>
              <w:t xml:space="preserve">N </w:t>
            </w:r>
            <w:r>
              <w:rPr>
                <w:rStyle w:val="FootnoteReference"/>
                <w:b/>
                <w:noProof/>
                <w:sz w:val="16"/>
              </w:rPr>
              <w:footnoteReference w:id="22"/>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jc w:val="center"/>
              <w:rPr>
                <w:noProof/>
                <w:sz w:val="16"/>
                <w:szCs w:val="16"/>
                <w:lang w:eastAsia="bg-BG" w:bidi="bg-BG"/>
              </w:rPr>
            </w:pPr>
            <w:r>
              <w:rPr>
                <w:noProof/>
              </w:rPr>
              <w:t>Година</w:t>
            </w:r>
            <w:r>
              <w:rPr>
                <w:b/>
                <w:noProof/>
                <w:sz w:val="16"/>
              </w:rPr>
              <w:t>N+1</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jc w:val="center"/>
              <w:rPr>
                <w:noProof/>
                <w:sz w:val="16"/>
                <w:szCs w:val="16"/>
                <w:lang w:eastAsia="bg-BG" w:bidi="bg-BG"/>
              </w:rPr>
            </w:pPr>
            <w:r>
              <w:rPr>
                <w:noProof/>
              </w:rPr>
              <w:t>Година</w:t>
            </w:r>
            <w:r>
              <w:rPr>
                <w:b/>
                <w:noProof/>
                <w:sz w:val="16"/>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jc w:val="center"/>
              <w:rPr>
                <w:noProof/>
                <w:sz w:val="16"/>
                <w:szCs w:val="16"/>
                <w:lang w:eastAsia="bg-BG" w:bidi="bg-BG"/>
              </w:rPr>
            </w:pPr>
            <w:r>
              <w:rPr>
                <w:noProof/>
              </w:rPr>
              <w:t>Година</w:t>
            </w:r>
            <w:r>
              <w:rPr>
                <w:b/>
                <w:noProof/>
                <w:sz w:val="16"/>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line="200" w:lineRule="exact"/>
              <w:jc w:val="center"/>
              <w:rPr>
                <w:b/>
                <w:noProof/>
                <w:sz w:val="16"/>
                <w:szCs w:val="16"/>
                <w:lang w:eastAsia="bg-BG" w:bidi="bg-BG"/>
              </w:rPr>
            </w:pPr>
            <w:r>
              <w:rPr>
                <w:noProof/>
                <w:sz w:val="16"/>
              </w:rPr>
              <w:t xml:space="preserve">Да се добавят толкова </w:t>
            </w:r>
            <w:r>
              <w:rPr>
                <w:noProof/>
                <w:sz w:val="16"/>
              </w:rPr>
              <w:t>години, колкото е необходимо, за да се обхване продължителността на отражението (вж. точка 1.6)</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jc w:val="center"/>
              <w:rPr>
                <w:b/>
                <w:noProof/>
                <w:sz w:val="16"/>
                <w:szCs w:val="16"/>
                <w:lang w:eastAsia="bg-BG" w:bidi="bg-BG"/>
              </w:rPr>
            </w:pPr>
            <w:r>
              <w:rPr>
                <w:b/>
                <w:noProof/>
                <w:sz w:val="16"/>
              </w:rPr>
              <w:t>ОБЩО</w:t>
            </w:r>
          </w:p>
        </w:tc>
      </w:tr>
    </w:tbl>
    <w:p w:rsidR="00C0119A" w:rsidRDefault="00C0119A">
      <w:pPr>
        <w:spacing w:line="200" w:lineRule="exact"/>
        <w:rPr>
          <w:noProof/>
          <w:sz w:val="16"/>
          <w:szCs w:val="16"/>
          <w:lang w:eastAsia="bg-BG" w:bidi="bg-BG"/>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0119A">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C0119A" w:rsidRDefault="00867678">
            <w:pPr>
              <w:spacing w:before="60" w:after="60" w:line="200" w:lineRule="exact"/>
              <w:jc w:val="center"/>
              <w:rPr>
                <w:b/>
                <w:noProof/>
                <w:sz w:val="16"/>
                <w:szCs w:val="16"/>
                <w:lang w:eastAsia="bg-BG" w:bidi="bg-BG"/>
              </w:rPr>
            </w:pPr>
            <w:r>
              <w:rPr>
                <w:b/>
                <w:noProof/>
              </w:rPr>
              <w:t xml:space="preserve">ФУНКЦИЯ 5 </w:t>
            </w:r>
            <w:r>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r w:rsidR="00C0119A">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ind w:left="72"/>
              <w:jc w:val="left"/>
              <w:rPr>
                <w:noProof/>
                <w:sz w:val="16"/>
                <w:szCs w:val="16"/>
                <w:lang w:eastAsia="bg-BG" w:bidi="bg-BG"/>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0,528</w:t>
            </w: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r w:rsidR="00C0119A">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ind w:left="72"/>
              <w:jc w:val="left"/>
              <w:rPr>
                <w:noProof/>
                <w:sz w:val="16"/>
                <w:szCs w:val="16"/>
                <w:lang w:eastAsia="bg-BG" w:bidi="bg-BG"/>
              </w:rPr>
            </w:pPr>
            <w:r>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0,030</w:t>
            </w: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r w:rsidR="00C0119A">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C0119A" w:rsidRDefault="00867678">
            <w:pPr>
              <w:spacing w:before="60" w:after="60" w:line="200" w:lineRule="exact"/>
              <w:jc w:val="center"/>
              <w:rPr>
                <w:b/>
                <w:noProof/>
                <w:sz w:val="16"/>
                <w:szCs w:val="16"/>
                <w:lang w:eastAsia="bg-BG" w:bidi="bg-BG"/>
              </w:rPr>
            </w:pPr>
            <w:r>
              <w:rPr>
                <w:b/>
                <w:noProof/>
              </w:rPr>
              <w:t xml:space="preserve">Междинен сбор за ФУКЦИЯ 5 </w:t>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bl>
    <w:p w:rsidR="00C0119A" w:rsidRDefault="00C0119A">
      <w:pPr>
        <w:spacing w:line="200" w:lineRule="exact"/>
        <w:rPr>
          <w:noProof/>
          <w:sz w:val="16"/>
          <w:szCs w:val="16"/>
          <w:lang w:eastAsia="bg-BG" w:bidi="bg-BG"/>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0119A">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C0119A" w:rsidRDefault="00867678">
            <w:pPr>
              <w:spacing w:before="60" w:after="60" w:line="200" w:lineRule="exact"/>
              <w:jc w:val="center"/>
              <w:rPr>
                <w:noProof/>
                <w:sz w:val="16"/>
                <w:szCs w:val="16"/>
              </w:rPr>
            </w:pPr>
            <w:r>
              <w:rPr>
                <w:b/>
                <w:noProof/>
              </w:rPr>
              <w:t>извън ФУНКЦИЯ 5</w:t>
            </w:r>
            <w:r>
              <w:rPr>
                <w:rStyle w:val="FootnoteReference"/>
                <w:b/>
                <w:noProof/>
              </w:rPr>
              <w:footnoteReference w:id="23"/>
            </w:r>
            <w:r>
              <w:rPr>
                <w:b/>
                <w:noProof/>
                <w:sz w:val="16"/>
              </w:rPr>
              <w:t xml:space="preserve">от многогодишната финансова рамка </w:t>
            </w:r>
          </w:p>
          <w:p w:rsidR="00C0119A" w:rsidRDefault="00C0119A">
            <w:pPr>
              <w:spacing w:before="0" w:after="0" w:line="200" w:lineRule="exact"/>
              <w:jc w:val="center"/>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r w:rsidR="00C0119A">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ind w:left="72"/>
              <w:jc w:val="left"/>
              <w:rPr>
                <w:noProof/>
                <w:sz w:val="16"/>
                <w:szCs w:val="16"/>
                <w:lang w:eastAsia="bg-BG" w:bidi="bg-BG"/>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r w:rsidR="00C0119A">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C0119A" w:rsidRDefault="00867678">
            <w:pPr>
              <w:spacing w:before="60" w:after="60" w:line="200" w:lineRule="exact"/>
              <w:ind w:left="72"/>
              <w:jc w:val="left"/>
              <w:rPr>
                <w:noProof/>
                <w:sz w:val="16"/>
                <w:szCs w:val="16"/>
                <w:lang w:eastAsia="bg-BG" w:bidi="bg-BG"/>
              </w:rPr>
            </w:pPr>
            <w:r>
              <w:rPr>
                <w:noProof/>
              </w:rPr>
              <w:t xml:space="preserve">Други разходи </w:t>
            </w:r>
            <w:r>
              <w:rPr>
                <w:noProof/>
                <w:sz w:val="16"/>
              </w:rP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r w:rsidR="00C0119A">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C0119A" w:rsidRDefault="00867678">
            <w:pPr>
              <w:spacing w:before="60" w:after="60" w:line="200" w:lineRule="exact"/>
              <w:jc w:val="center"/>
              <w:rPr>
                <w:b/>
                <w:noProof/>
                <w:sz w:val="16"/>
                <w:szCs w:val="16"/>
                <w:lang w:eastAsia="bg-BG" w:bidi="bg-BG"/>
              </w:rPr>
            </w:pPr>
            <w:r>
              <w:rPr>
                <w:b/>
                <w:noProof/>
              </w:rPr>
              <w:t xml:space="preserve">Междинен сбор извън ФУНКЦИЯ 5 </w:t>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C0119A" w:rsidRDefault="00C0119A">
            <w:pPr>
              <w:spacing w:before="60" w:after="60" w:line="200" w:lineRule="exact"/>
              <w:jc w:val="right"/>
              <w:rPr>
                <w:b/>
                <w:noProof/>
                <w:sz w:val="16"/>
                <w:szCs w:val="16"/>
                <w:lang w:eastAsia="bg-BG" w:bidi="bg-BG"/>
              </w:rPr>
            </w:pPr>
          </w:p>
        </w:tc>
      </w:tr>
    </w:tbl>
    <w:p w:rsidR="00C0119A" w:rsidRDefault="00C0119A">
      <w:pPr>
        <w:spacing w:line="200" w:lineRule="exact"/>
        <w:rPr>
          <w:noProof/>
          <w:sz w:val="16"/>
          <w:szCs w:val="16"/>
          <w:lang w:eastAsia="bg-BG" w:bidi="bg-BG"/>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0119A">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rsidR="00C0119A" w:rsidRDefault="00867678">
            <w:pPr>
              <w:spacing w:before="60" w:after="60" w:line="200" w:lineRule="exact"/>
              <w:jc w:val="center"/>
              <w:rPr>
                <w:noProof/>
                <w:sz w:val="16"/>
                <w:szCs w:val="16"/>
                <w:lang w:eastAsia="bg-BG" w:bidi="bg-BG"/>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C0119A" w:rsidRDefault="00867678">
            <w:pPr>
              <w:spacing w:before="20" w:after="20" w:line="276" w:lineRule="auto"/>
              <w:jc w:val="right"/>
              <w:rPr>
                <w:noProof/>
                <w:lang w:eastAsia="bg-BG" w:bidi="bg-BG"/>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12" w:space="0" w:color="auto"/>
              <w:left w:val="single" w:sz="2" w:space="0" w:color="auto"/>
              <w:bottom w:val="single" w:sz="12" w:space="0" w:color="auto"/>
              <w:right w:val="single" w:sz="2" w:space="0" w:color="auto"/>
            </w:tcBorders>
            <w:vAlign w:val="center"/>
          </w:tcPr>
          <w:p w:rsidR="00C0119A" w:rsidRDefault="00C0119A">
            <w:pPr>
              <w:spacing w:before="20" w:after="20" w:line="276" w:lineRule="auto"/>
              <w:jc w:val="right"/>
              <w:rPr>
                <w:noProof/>
                <w:lang w:eastAsia="bg-BG" w:bidi="bg-BG"/>
              </w:rPr>
            </w:pPr>
          </w:p>
        </w:tc>
        <w:tc>
          <w:tcPr>
            <w:tcW w:w="1080" w:type="dxa"/>
            <w:tcBorders>
              <w:top w:val="single" w:sz="12" w:space="0" w:color="auto"/>
              <w:left w:val="single" w:sz="2" w:space="0" w:color="auto"/>
              <w:bottom w:val="single" w:sz="12" w:space="0" w:color="auto"/>
              <w:right w:val="single" w:sz="12" w:space="0" w:color="auto"/>
            </w:tcBorders>
            <w:vAlign w:val="center"/>
          </w:tcPr>
          <w:p w:rsidR="00C0119A" w:rsidRDefault="00C0119A">
            <w:pPr>
              <w:spacing w:before="60" w:after="60" w:line="200" w:lineRule="exact"/>
              <w:jc w:val="right"/>
              <w:rPr>
                <w:b/>
                <w:noProof/>
                <w:sz w:val="16"/>
                <w:szCs w:val="16"/>
                <w:lang w:eastAsia="bg-BG" w:bidi="bg-BG"/>
              </w:rPr>
            </w:pPr>
          </w:p>
        </w:tc>
      </w:tr>
    </w:tbl>
    <w:p w:rsidR="00C0119A" w:rsidRDefault="00867678">
      <w:pPr>
        <w:rPr>
          <w:noProof/>
          <w:sz w:val="18"/>
          <w:lang w:eastAsia="bg-BG" w:bidi="bg-BG"/>
        </w:rPr>
      </w:pPr>
      <w:r>
        <w:rPr>
          <w:noProof/>
          <w:sz w:val="18"/>
        </w:rPr>
        <w:t xml:space="preserve">Нуждите от бюджетни кредити за човешки ресурси и за другите разходи с административен характер ще бъдат покрити с бюджетните кредити на ГД, </w:t>
      </w:r>
      <w:r>
        <w:rPr>
          <w:noProof/>
          <w:sz w:val="18"/>
        </w:rPr>
        <w:t xml:space="preserve">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w:t>
      </w:r>
      <w:r>
        <w:rPr>
          <w:noProof/>
          <w:sz w:val="18"/>
        </w:rPr>
        <w:t>на средства и като се имат предвид бюджетните ограничения.</w:t>
      </w:r>
    </w:p>
    <w:p w:rsidR="00C0119A" w:rsidRDefault="00C0119A">
      <w:pPr>
        <w:spacing w:before="0" w:after="0"/>
        <w:jc w:val="left"/>
        <w:rPr>
          <w:noProof/>
          <w:sz w:val="18"/>
        </w:rPr>
        <w:sectPr w:rsidR="00C0119A" w:rsidSect="00867678">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rsidR="00C0119A" w:rsidRDefault="00867678">
      <w:pPr>
        <w:pStyle w:val="ManualHeading4"/>
        <w:rPr>
          <w:bCs/>
          <w:noProof/>
          <w:szCs w:val="24"/>
        </w:rPr>
      </w:pPr>
      <w:r>
        <w:rPr>
          <w:noProof/>
        </w:rPr>
        <w:t>3.2.3.2.</w:t>
      </w:r>
      <w:r>
        <w:rPr>
          <w:noProof/>
        </w:rPr>
        <w:tab/>
        <w:t>Очаквани нужди от човешки ресурси</w:t>
      </w:r>
    </w:p>
    <w:p w:rsidR="00C0119A" w:rsidRDefault="00867678">
      <w:pPr>
        <w:pStyle w:val="ListDash1"/>
        <w:numPr>
          <w:ilvl w:val="0"/>
          <w:numId w:val="16"/>
        </w:numPr>
        <w:rPr>
          <w:noProof/>
        </w:rPr>
      </w:pPr>
      <w:r>
        <w:rPr>
          <w:noProof/>
        </w:rPr>
        <w:sym w:font="Wingdings" w:char="F0A8"/>
      </w:r>
      <w:r>
        <w:rPr>
          <w:noProof/>
        </w:rPr>
        <w:t xml:space="preserve"> Предложението/инициативата не налага използване на човешки ресурси. </w:t>
      </w:r>
    </w:p>
    <w:p w:rsidR="00C0119A" w:rsidRDefault="00867678">
      <w:pPr>
        <w:pStyle w:val="ListDash1"/>
        <w:numPr>
          <w:ilvl w:val="0"/>
          <w:numId w:val="16"/>
        </w:numPr>
        <w:rPr>
          <w:noProof/>
        </w:rPr>
      </w:pPr>
      <w:r>
        <w:rPr>
          <w:noProof/>
        </w:rPr>
        <w:sym w:font="Wingdings" w:char="F0FD"/>
      </w:r>
      <w:r>
        <w:rPr>
          <w:noProof/>
        </w:rPr>
        <w:t xml:space="preserve"> Предложението/инициативата налага използване на човешки ресурси съгласно обяснението по-долу:</w:t>
      </w:r>
    </w:p>
    <w:p w:rsidR="00C0119A" w:rsidRDefault="00867678">
      <w:pPr>
        <w:spacing w:after="60"/>
        <w:jc w:val="right"/>
        <w:rPr>
          <w:i/>
          <w:noProof/>
          <w:sz w:val="20"/>
        </w:rPr>
      </w:pPr>
      <w:r>
        <w:rPr>
          <w:i/>
          <w:noProof/>
          <w:sz w:val="20"/>
        </w:rPr>
        <w:t>Оценката се посочва в еквиваленти на пълно работно време</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4"/>
        <w:gridCol w:w="2040"/>
        <w:gridCol w:w="1281"/>
        <w:gridCol w:w="1281"/>
        <w:gridCol w:w="1538"/>
        <w:gridCol w:w="713"/>
        <w:gridCol w:w="643"/>
        <w:gridCol w:w="643"/>
        <w:gridCol w:w="643"/>
      </w:tblGrid>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rsidR="00C0119A" w:rsidRDefault="00C0119A">
            <w:pPr>
              <w:pStyle w:val="Text1"/>
              <w:spacing w:before="40" w:after="40" w:line="276" w:lineRule="auto"/>
              <w:ind w:left="0"/>
              <w:jc w:val="center"/>
              <w:rPr>
                <w:i/>
                <w:noProof/>
                <w:sz w:val="16"/>
                <w:szCs w:val="16"/>
                <w:lang w:eastAsia="bg-BG" w:bidi="bg-BG"/>
              </w:rPr>
            </w:pP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20" w:after="20" w:line="276" w:lineRule="auto"/>
              <w:jc w:val="center"/>
              <w:rPr>
                <w:noProof/>
                <w:sz w:val="16"/>
                <w:szCs w:val="16"/>
                <w:lang w:eastAsia="bg-BG" w:bidi="bg-BG"/>
              </w:rPr>
            </w:pPr>
            <w:r>
              <w:rPr>
                <w:noProof/>
              </w:rPr>
              <w:t>Година</w:t>
            </w:r>
            <w:r>
              <w:rPr>
                <w:b/>
                <w:noProof/>
                <w:sz w:val="16"/>
              </w:rPr>
              <w:t>2016</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20" w:after="20" w:line="276" w:lineRule="auto"/>
              <w:jc w:val="center"/>
              <w:rPr>
                <w:noProof/>
                <w:sz w:val="16"/>
                <w:szCs w:val="16"/>
                <w:lang w:eastAsia="bg-BG" w:bidi="bg-BG"/>
              </w:rPr>
            </w:pPr>
            <w:r>
              <w:rPr>
                <w:noProof/>
              </w:rPr>
              <w:t>Година</w:t>
            </w:r>
            <w:r>
              <w:rPr>
                <w:b/>
                <w:noProof/>
                <w:sz w:val="16"/>
              </w:rPr>
              <w:t>2017</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20" w:after="20" w:line="276" w:lineRule="auto"/>
              <w:jc w:val="center"/>
              <w:rPr>
                <w:noProof/>
                <w:sz w:val="16"/>
                <w:szCs w:val="16"/>
                <w:lang w:eastAsia="bg-BG" w:bidi="bg-BG"/>
              </w:rPr>
            </w:pPr>
            <w:r>
              <w:rPr>
                <w:noProof/>
                <w:sz w:val="16"/>
              </w:rPr>
              <w:t xml:space="preserve">Година </w:t>
            </w:r>
            <w:r>
              <w:rPr>
                <w:b/>
                <w:noProof/>
                <w:sz w:val="16"/>
              </w:rPr>
              <w:t>2018</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20" w:after="20" w:line="276" w:lineRule="auto"/>
              <w:jc w:val="center"/>
              <w:rPr>
                <w:noProof/>
                <w:sz w:val="16"/>
                <w:szCs w:val="16"/>
                <w:lang w:eastAsia="bg-BG" w:bidi="bg-BG"/>
              </w:rPr>
            </w:pPr>
            <w:r>
              <w:rPr>
                <w:noProof/>
                <w:sz w:val="16"/>
              </w:rPr>
              <w:t xml:space="preserve">Година </w:t>
            </w:r>
            <w:r>
              <w:rPr>
                <w:b/>
                <w:noProof/>
                <w:sz w:val="16"/>
              </w:rPr>
              <w:t>2019</w:t>
            </w:r>
          </w:p>
        </w:tc>
        <w:tc>
          <w:tcPr>
            <w:tcW w:w="345" w:type="pct"/>
            <w:gridSpan w:val="3"/>
            <w:tcBorders>
              <w:top w:val="single" w:sz="6" w:space="0" w:color="auto"/>
              <w:left w:val="single" w:sz="6" w:space="0" w:color="auto"/>
              <w:bottom w:val="single" w:sz="6" w:space="0" w:color="auto"/>
              <w:right w:val="single" w:sz="6" w:space="0" w:color="auto"/>
            </w:tcBorders>
            <w:vAlign w:val="center"/>
            <w:hideMark/>
          </w:tcPr>
          <w:p w:rsidR="00C0119A" w:rsidRDefault="00867678">
            <w:pPr>
              <w:spacing w:line="276" w:lineRule="auto"/>
              <w:jc w:val="center"/>
              <w:rPr>
                <w:b/>
                <w:noProof/>
                <w:sz w:val="16"/>
                <w:szCs w:val="16"/>
                <w:lang w:eastAsia="bg-BG" w:bidi="bg-BG"/>
              </w:rPr>
            </w:pPr>
            <w:r>
              <w:rPr>
                <w:noProof/>
                <w:sz w:val="16"/>
              </w:rPr>
              <w:t>2020</w:t>
            </w:r>
          </w:p>
        </w:tc>
      </w:tr>
      <w:tr w:rsidR="00C0119A">
        <w:trPr>
          <w:trHeight w:val="289"/>
          <w:jc w:val="center"/>
        </w:trPr>
        <w:tc>
          <w:tcPr>
            <w:tcW w:w="4424" w:type="pct"/>
            <w:gridSpan w:val="5"/>
            <w:tcBorders>
              <w:top w:val="single" w:sz="6" w:space="0" w:color="auto"/>
              <w:left w:val="single" w:sz="6" w:space="0" w:color="auto"/>
              <w:bottom w:val="single" w:sz="6" w:space="0" w:color="auto"/>
              <w:right w:val="single" w:sz="6" w:space="0" w:color="auto"/>
            </w:tcBorders>
            <w:hideMark/>
          </w:tcPr>
          <w:p w:rsidR="00C0119A" w:rsidRDefault="00867678">
            <w:pPr>
              <w:spacing w:before="20" w:after="20" w:line="276" w:lineRule="auto"/>
              <w:rPr>
                <w:noProof/>
                <w:sz w:val="16"/>
                <w:szCs w:val="16"/>
                <w:lang w:eastAsia="bg-BG" w:bidi="bg-BG"/>
              </w:rPr>
            </w:pPr>
            <w:r>
              <w:rPr>
                <w:b/>
                <w:noProof/>
                <w:sz w:val="16"/>
              </w:rPr>
              <w:sym w:font="Wingdings" w:char="F09F"/>
            </w:r>
            <w:r>
              <w:rPr>
                <w:noProof/>
              </w:rPr>
              <w:t xml:space="preserve"> </w:t>
            </w:r>
            <w:r>
              <w:rPr>
                <w:b/>
                <w:noProof/>
              </w:rPr>
              <w:t>Длъжности в щатното разписание (длъжностни лица и временно наети лица)</w:t>
            </w:r>
          </w:p>
        </w:tc>
        <w:tc>
          <w:tcPr>
            <w:tcW w:w="226"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20" w:after="20" w:line="276" w:lineRule="auto"/>
              <w:jc w:val="center"/>
              <w:rPr>
                <w:noProof/>
                <w:sz w:val="16"/>
                <w:szCs w:val="16"/>
                <w:lang w:eastAsia="bg-BG" w:bidi="bg-BG"/>
              </w:rPr>
            </w:pPr>
          </w:p>
        </w:tc>
        <w:tc>
          <w:tcPr>
            <w:tcW w:w="345" w:type="pct"/>
            <w:gridSpan w:val="3"/>
            <w:tcBorders>
              <w:top w:val="single" w:sz="6" w:space="0" w:color="auto"/>
              <w:left w:val="single" w:sz="6" w:space="0" w:color="auto"/>
              <w:bottom w:val="single" w:sz="6" w:space="0" w:color="auto"/>
              <w:right w:val="single" w:sz="6" w:space="0" w:color="auto"/>
            </w:tcBorders>
            <w:vAlign w:val="center"/>
          </w:tcPr>
          <w:p w:rsidR="00C0119A" w:rsidRDefault="00C0119A">
            <w:pPr>
              <w:spacing w:line="276" w:lineRule="auto"/>
              <w:jc w:val="center"/>
              <w:rPr>
                <w:noProof/>
                <w:sz w:val="16"/>
                <w:szCs w:val="16"/>
                <w:lang w:eastAsia="bg-BG" w:bidi="bg-BG"/>
              </w:rPr>
            </w:pP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4"/>
              <w:jc w:val="left"/>
              <w:rPr>
                <w:b/>
                <w:noProof/>
                <w:sz w:val="16"/>
                <w:szCs w:val="16"/>
                <w:lang w:eastAsia="bg-BG" w:bidi="bg-BG"/>
              </w:rPr>
            </w:pPr>
            <w:r>
              <w:rPr>
                <w:noProof/>
                <w:sz w:val="16"/>
              </w:rPr>
              <w:t>XX 01 01 01 (Централа и представителства на Комисията)</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4"/>
              <w:jc w:val="left"/>
              <w:rPr>
                <w:noProof/>
                <w:sz w:val="16"/>
                <w:szCs w:val="16"/>
                <w:lang w:eastAsia="bg-BG" w:bidi="bg-BG"/>
              </w:rPr>
            </w:pPr>
            <w:r>
              <w:rPr>
                <w:noProof/>
                <w:sz w:val="16"/>
              </w:rPr>
              <w:t>XX 01 01 02 (Делегации)</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w:t>
            </w: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4"/>
              <w:jc w:val="left"/>
              <w:rPr>
                <w:noProof/>
                <w:sz w:val="16"/>
                <w:szCs w:val="16"/>
                <w:lang w:eastAsia="bg-BG" w:bidi="bg-BG"/>
              </w:rPr>
            </w:pPr>
            <w:r>
              <w:rPr>
                <w:noProof/>
                <w:sz w:val="16"/>
              </w:rPr>
              <w:t xml:space="preserve">XX 01 05 01 (Непреки научни </w:t>
            </w:r>
            <w:r>
              <w:rPr>
                <w:noProof/>
                <w:sz w:val="16"/>
              </w:rPr>
              <w:t>изследвания)</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w:t>
            </w: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4"/>
              <w:jc w:val="left"/>
              <w:rPr>
                <w:noProof/>
                <w:sz w:val="16"/>
                <w:szCs w:val="16"/>
                <w:lang w:eastAsia="bg-BG" w:bidi="bg-BG"/>
              </w:rPr>
            </w:pPr>
            <w:r>
              <w:rPr>
                <w:noProof/>
                <w:sz w:val="16"/>
              </w:rPr>
              <w:t>10 01 05 01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w:t>
            </w: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r w:rsidR="00C0119A">
        <w:trPr>
          <w:gridAfter w:val="4"/>
          <w:wAfter w:w="571" w:type="pct"/>
          <w:trHeight w:val="248"/>
          <w:jc w:val="center"/>
        </w:trPr>
        <w:tc>
          <w:tcPr>
            <w:tcW w:w="4429" w:type="pct"/>
            <w:gridSpan w:val="5"/>
            <w:tcBorders>
              <w:top w:val="single" w:sz="6" w:space="0" w:color="auto"/>
              <w:left w:val="single" w:sz="6" w:space="0" w:color="auto"/>
              <w:bottom w:val="single" w:sz="6" w:space="0" w:color="auto"/>
              <w:right w:val="single" w:sz="6" w:space="0" w:color="auto"/>
            </w:tcBorders>
            <w:vAlign w:val="center"/>
          </w:tcPr>
          <w:p w:rsidR="00C0119A" w:rsidRDefault="00867678">
            <w:pPr>
              <w:pStyle w:val="Text1"/>
              <w:spacing w:before="60" w:after="60" w:line="276" w:lineRule="auto"/>
              <w:ind w:left="0"/>
              <w:jc w:val="left"/>
              <w:rPr>
                <w:b/>
                <w:noProof/>
                <w:sz w:val="16"/>
                <w:szCs w:val="16"/>
              </w:rPr>
            </w:pPr>
            <w:r>
              <w:rPr>
                <w:b/>
                <w:noProof/>
                <w:sz w:val="16"/>
              </w:rPr>
              <w:sym w:font="Wingdings" w:char="F09F"/>
            </w:r>
            <w:r>
              <w:rPr>
                <w:noProof/>
              </w:rPr>
              <w:t xml:space="preserve"> </w:t>
            </w:r>
            <w:r>
              <w:rPr>
                <w:b/>
                <w:noProof/>
              </w:rPr>
              <w:t>Външен персонал (в еквивалент на пълно работно време</w:t>
            </w:r>
            <w:r>
              <w:rPr>
                <w:noProof/>
              </w:rPr>
              <w:t>:</w:t>
            </w:r>
            <w:r>
              <w:rPr>
                <w:b/>
                <w:noProof/>
                <w:sz w:val="16"/>
              </w:rPr>
              <w:t xml:space="preserve"> ЕПРВ)</w:t>
            </w:r>
            <w:r>
              <w:rPr>
                <w:rStyle w:val="FootnoteReference"/>
                <w:b/>
                <w:noProof/>
                <w:sz w:val="16"/>
              </w:rPr>
              <w:footnoteReference w:id="24"/>
            </w:r>
          </w:p>
          <w:p w:rsidR="00C0119A" w:rsidRDefault="00C0119A">
            <w:pPr>
              <w:pStyle w:val="Text1"/>
              <w:spacing w:before="0" w:after="0" w:line="276" w:lineRule="auto"/>
              <w:ind w:left="0"/>
              <w:jc w:val="left"/>
              <w:rPr>
                <w:noProof/>
                <w:sz w:val="16"/>
                <w:szCs w:val="16"/>
                <w:lang w:eastAsia="bg-BG" w:bidi="bg-BG"/>
              </w:rPr>
            </w:pP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6"/>
              <w:jc w:val="left"/>
              <w:rPr>
                <w:b/>
                <w:noProof/>
                <w:sz w:val="16"/>
                <w:szCs w:val="16"/>
                <w:lang w:eastAsia="bg-BG" w:bidi="bg-BG"/>
              </w:rPr>
            </w:pPr>
            <w:r>
              <w:rPr>
                <w:noProof/>
                <w:sz w:val="16"/>
              </w:rPr>
              <w:t>XX 01 02 01 (ДНП, КНЕ, ПНА от общия финансов пакет)</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6"/>
              <w:jc w:val="left"/>
              <w:rPr>
                <w:noProof/>
                <w:sz w:val="16"/>
                <w:szCs w:val="16"/>
                <w:lang w:eastAsia="bg-BG" w:bidi="bg-BG"/>
              </w:rPr>
            </w:pPr>
            <w:r>
              <w:rPr>
                <w:noProof/>
                <w:sz w:val="16"/>
              </w:rPr>
              <w:t>XX 01 02 02 (ДНП, МП, КНЕ, ПНА и МЕС в делегациите)</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w:t>
            </w: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r w:rsidR="00C0119A">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rsidR="00C0119A" w:rsidRDefault="00867678">
            <w:pPr>
              <w:pStyle w:val="Text1"/>
              <w:spacing w:beforeLines="20" w:before="48" w:afterLines="20" w:after="48" w:line="276" w:lineRule="auto"/>
              <w:ind w:left="98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rsidR="00C0119A" w:rsidRDefault="00C0119A">
            <w:pPr>
              <w:pStyle w:val="Text1"/>
              <w:spacing w:beforeLines="20" w:before="48" w:afterLines="20" w:after="48" w:line="276" w:lineRule="auto"/>
              <w:ind w:left="986"/>
              <w:jc w:val="left"/>
              <w:rPr>
                <w:b/>
                <w:noProof/>
                <w:sz w:val="16"/>
                <w:szCs w:val="16"/>
                <w:lang w:eastAsia="bg-BG" w:bidi="bg-BG"/>
              </w:rPr>
            </w:pPr>
          </w:p>
        </w:tc>
        <w:tc>
          <w:tcPr>
            <w:tcW w:w="949" w:type="pct"/>
            <w:tcBorders>
              <w:top w:val="single" w:sz="6" w:space="0" w:color="auto"/>
              <w:left w:val="single" w:sz="6" w:space="0" w:color="auto"/>
              <w:bottom w:val="single" w:sz="6" w:space="0" w:color="auto"/>
              <w:right w:val="single" w:sz="6" w:space="0" w:color="auto"/>
            </w:tcBorders>
            <w:vAlign w:val="center"/>
          </w:tcPr>
          <w:p w:rsidR="00C0119A" w:rsidRDefault="00867678">
            <w:pPr>
              <w:pStyle w:val="Text1"/>
              <w:spacing w:beforeLines="20" w:before="48" w:afterLines="20" w:after="48" w:line="276" w:lineRule="auto"/>
              <w:ind w:left="986"/>
              <w:jc w:val="left"/>
              <w:rPr>
                <w:b/>
                <w:noProof/>
                <w:sz w:val="16"/>
                <w:szCs w:val="16"/>
              </w:rPr>
            </w:pPr>
            <w:r>
              <w:rPr>
                <w:noProof/>
                <w:sz w:val="16"/>
              </w:rPr>
              <w:t>- в централата</w:t>
            </w:r>
          </w:p>
          <w:p w:rsidR="00C0119A" w:rsidRDefault="00C0119A">
            <w:pPr>
              <w:pStyle w:val="Text1"/>
              <w:spacing w:beforeLines="20" w:before="48" w:afterLines="20" w:after="48" w:line="276" w:lineRule="auto"/>
              <w:ind w:left="986"/>
              <w:jc w:val="left"/>
              <w:rPr>
                <w:b/>
                <w:noProof/>
                <w:sz w:val="16"/>
                <w:szCs w:val="16"/>
                <w:lang w:eastAsia="bg-BG" w:bidi="bg-BG"/>
              </w:rPr>
            </w:pP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r>
      <w:tr w:rsidR="00C0119A">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0119A" w:rsidRDefault="00C0119A">
            <w:pPr>
              <w:spacing w:before="0" w:after="0"/>
              <w:jc w:val="left"/>
              <w:rPr>
                <w:b/>
                <w:noProof/>
                <w:sz w:val="16"/>
                <w:szCs w:val="16"/>
                <w:lang w:eastAsia="bg-BG" w:bidi="bg-BG"/>
              </w:rPr>
            </w:pPr>
          </w:p>
        </w:tc>
        <w:tc>
          <w:tcPr>
            <w:tcW w:w="949" w:type="pct"/>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6"/>
              <w:jc w:val="left"/>
              <w:rPr>
                <w:b/>
                <w:noProof/>
                <w:sz w:val="16"/>
                <w:szCs w:val="16"/>
                <w:lang w:eastAsia="bg-BG" w:bidi="bg-BG"/>
              </w:rPr>
            </w:pPr>
            <w:r>
              <w:rPr>
                <w:noProof/>
                <w:sz w:val="16"/>
              </w:rPr>
              <w:t xml:space="preserve">- в делегациите </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w:t>
            </w: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6"/>
              <w:jc w:val="left"/>
              <w:rPr>
                <w:noProof/>
                <w:sz w:val="16"/>
                <w:szCs w:val="16"/>
                <w:lang w:eastAsia="bg-BG" w:bidi="bg-BG"/>
              </w:rPr>
            </w:pPr>
            <w:r>
              <w:rPr>
                <w:b/>
                <w:noProof/>
              </w:rPr>
              <w:t>XX</w:t>
            </w:r>
            <w:r>
              <w:rPr>
                <w:noProof/>
              </w:rPr>
              <w:t xml:space="preserve"> 01 05 02 (ДНП, КНЕ, ПНА —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m.</w:t>
            </w:r>
          </w:p>
        </w:tc>
      </w:tr>
      <w:tr w:rsidR="00C0119A">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6"/>
              <w:jc w:val="left"/>
              <w:rPr>
                <w:noProof/>
                <w:sz w:val="16"/>
                <w:szCs w:val="16"/>
                <w:lang w:eastAsia="bg-BG" w:bidi="bg-BG"/>
              </w:rPr>
            </w:pPr>
            <w:r>
              <w:rPr>
                <w:noProof/>
                <w:sz w:val="16"/>
              </w:rPr>
              <w:t>10 01 05 02 (ДНП, ПНА, КНЕ —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c>
          <w:tcPr>
            <w:tcW w:w="115" w:type="pct"/>
            <w:tcBorders>
              <w:top w:val="single" w:sz="6"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r w:rsidR="00C0119A">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rsidR="00C0119A" w:rsidRDefault="00867678">
            <w:pPr>
              <w:pStyle w:val="Text1"/>
              <w:spacing w:beforeLines="20" w:before="48" w:afterLines="20" w:after="48" w:line="276" w:lineRule="auto"/>
              <w:ind w:left="984"/>
              <w:jc w:val="left"/>
              <w:rPr>
                <w:noProof/>
                <w:sz w:val="16"/>
                <w:szCs w:val="16"/>
                <w:lang w:eastAsia="bg-BG" w:bidi="bg-BG"/>
              </w:rPr>
            </w:pPr>
            <w:r>
              <w:rPr>
                <w:noProof/>
                <w:sz w:val="16"/>
              </w:rPr>
              <w:t>Други бюджетни редове (да се посочат)</w:t>
            </w:r>
          </w:p>
        </w:tc>
        <w:tc>
          <w:tcPr>
            <w:tcW w:w="318" w:type="pct"/>
            <w:tcBorders>
              <w:top w:val="single" w:sz="6" w:space="0" w:color="auto"/>
              <w:left w:val="single" w:sz="6" w:space="0" w:color="auto"/>
              <w:bottom w:val="double" w:sz="4"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318" w:type="pct"/>
            <w:tcBorders>
              <w:top w:val="single" w:sz="6" w:space="0" w:color="auto"/>
              <w:left w:val="single" w:sz="6" w:space="0" w:color="auto"/>
              <w:bottom w:val="double" w:sz="4"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891" w:type="pct"/>
            <w:tcBorders>
              <w:top w:val="single" w:sz="6" w:space="0" w:color="auto"/>
              <w:left w:val="single" w:sz="6" w:space="0" w:color="auto"/>
              <w:bottom w:val="double" w:sz="4"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226" w:type="pct"/>
            <w:tcBorders>
              <w:top w:val="single" w:sz="6" w:space="0" w:color="auto"/>
              <w:left w:val="single" w:sz="6" w:space="0" w:color="auto"/>
              <w:bottom w:val="double" w:sz="4"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double" w:sz="4"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p.m.</w:t>
            </w:r>
          </w:p>
        </w:tc>
        <w:tc>
          <w:tcPr>
            <w:tcW w:w="115" w:type="pct"/>
            <w:tcBorders>
              <w:top w:val="single" w:sz="6" w:space="0" w:color="auto"/>
              <w:left w:val="single" w:sz="6" w:space="0" w:color="auto"/>
              <w:bottom w:val="double" w:sz="4"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c>
          <w:tcPr>
            <w:tcW w:w="115" w:type="pct"/>
            <w:tcBorders>
              <w:top w:val="single" w:sz="6" w:space="0" w:color="auto"/>
              <w:left w:val="single" w:sz="6" w:space="0" w:color="auto"/>
              <w:bottom w:val="double" w:sz="4"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r w:rsidR="00C0119A">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rsidR="00C0119A" w:rsidRDefault="00867678">
            <w:pPr>
              <w:pStyle w:val="Text1"/>
              <w:spacing w:beforeLines="20" w:before="48" w:afterLines="20" w:after="48" w:line="276" w:lineRule="auto"/>
              <w:ind w:left="986"/>
              <w:jc w:val="left"/>
              <w:rPr>
                <w:noProof/>
                <w:sz w:val="16"/>
                <w:szCs w:val="16"/>
                <w:lang w:eastAsia="bg-BG" w:bidi="bg-BG"/>
              </w:rPr>
            </w:pPr>
            <w:r>
              <w:rPr>
                <w:b/>
                <w:noProof/>
                <w:sz w:val="16"/>
              </w:rPr>
              <w:t>ОБЩО</w:t>
            </w:r>
          </w:p>
        </w:tc>
        <w:tc>
          <w:tcPr>
            <w:tcW w:w="318" w:type="pct"/>
            <w:tcBorders>
              <w:top w:val="double" w:sz="4"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318" w:type="pct"/>
            <w:tcBorders>
              <w:top w:val="double" w:sz="4"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1891" w:type="pct"/>
            <w:tcBorders>
              <w:top w:val="double" w:sz="4"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226" w:type="pct"/>
            <w:tcBorders>
              <w:top w:val="double" w:sz="4"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115" w:type="pct"/>
            <w:tcBorders>
              <w:top w:val="double" w:sz="4" w:space="0" w:color="auto"/>
              <w:left w:val="single" w:sz="6" w:space="0" w:color="auto"/>
              <w:bottom w:val="single" w:sz="6" w:space="0" w:color="auto"/>
              <w:right w:val="single" w:sz="6" w:space="0" w:color="auto"/>
            </w:tcBorders>
            <w:vAlign w:val="center"/>
            <w:hideMark/>
          </w:tcPr>
          <w:p w:rsidR="00C0119A" w:rsidRDefault="00867678">
            <w:pPr>
              <w:spacing w:beforeLines="20" w:before="48" w:afterLines="20" w:after="48" w:line="276" w:lineRule="auto"/>
              <w:jc w:val="center"/>
              <w:rPr>
                <w:noProof/>
                <w:lang w:eastAsia="bg-BG" w:bidi="bg-BG"/>
              </w:rPr>
            </w:pPr>
            <w:r>
              <w:rPr>
                <w:noProof/>
              </w:rPr>
              <w:t>4</w:t>
            </w:r>
          </w:p>
        </w:tc>
        <w:tc>
          <w:tcPr>
            <w:tcW w:w="115" w:type="pct"/>
            <w:tcBorders>
              <w:top w:val="double" w:sz="4"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c>
          <w:tcPr>
            <w:tcW w:w="115" w:type="pct"/>
            <w:tcBorders>
              <w:top w:val="double" w:sz="4" w:space="0" w:color="auto"/>
              <w:left w:val="single" w:sz="6" w:space="0" w:color="auto"/>
              <w:bottom w:val="single" w:sz="6" w:space="0" w:color="auto"/>
              <w:right w:val="single" w:sz="6" w:space="0" w:color="auto"/>
            </w:tcBorders>
            <w:vAlign w:val="center"/>
          </w:tcPr>
          <w:p w:rsidR="00C0119A" w:rsidRDefault="00C0119A">
            <w:pPr>
              <w:spacing w:beforeLines="20" w:before="48" w:afterLines="20" w:after="48" w:line="276" w:lineRule="auto"/>
              <w:jc w:val="center"/>
              <w:rPr>
                <w:noProof/>
                <w:lang w:eastAsia="bg-BG" w:bidi="bg-BG"/>
              </w:rPr>
            </w:pPr>
          </w:p>
        </w:tc>
      </w:tr>
    </w:tbl>
    <w:p w:rsidR="00C0119A" w:rsidRDefault="00867678">
      <w:pPr>
        <w:pStyle w:val="Text1"/>
        <w:spacing w:before="60" w:after="60"/>
        <w:ind w:left="851"/>
        <w:rPr>
          <w:noProof/>
          <w:sz w:val="18"/>
          <w:szCs w:val="18"/>
          <w:lang w:eastAsia="bg-BG" w:bidi="bg-BG"/>
        </w:rPr>
      </w:pPr>
      <w:r>
        <w:rPr>
          <w:b/>
          <w:noProof/>
        </w:rPr>
        <w:t>XX</w:t>
      </w:r>
      <w:r>
        <w:rPr>
          <w:noProof/>
        </w:rPr>
        <w:t xml:space="preserve"> е съответната област на политиката или бюджетен дял.</w:t>
      </w:r>
    </w:p>
    <w:p w:rsidR="00C0119A" w:rsidRDefault="00867678">
      <w:pPr>
        <w:pStyle w:val="Text1"/>
        <w:rPr>
          <w:noProof/>
          <w:sz w:val="18"/>
          <w:szCs w:val="18"/>
        </w:rPr>
      </w:pPr>
      <w:r>
        <w:rPr>
          <w:noProof/>
          <w:sz w:val="18"/>
        </w:rPr>
        <w:t>Нуждите</w:t>
      </w:r>
      <w:r>
        <w:rPr>
          <w:noProof/>
          <w:sz w:val="18"/>
        </w:rPr>
        <w:t xml:space="preserve">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w:t>
      </w:r>
      <w:r>
        <w:rPr>
          <w:noProof/>
          <w:sz w:val="18"/>
        </w:rPr>
        <w:t xml:space="preserve"> управляващата ГД в рамките на годишната процедура за отпускане на средства и като се имат предвид бюджетните ограничения.</w:t>
      </w:r>
    </w:p>
    <w:p w:rsidR="00C0119A" w:rsidRDefault="00867678">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0119A">
        <w:tc>
          <w:tcPr>
            <w:tcW w:w="3240" w:type="dxa"/>
            <w:tcBorders>
              <w:top w:val="single" w:sz="2" w:space="0" w:color="auto"/>
              <w:left w:val="single" w:sz="2" w:space="0" w:color="auto"/>
              <w:bottom w:val="single" w:sz="2" w:space="0" w:color="auto"/>
              <w:right w:val="single" w:sz="2" w:space="0" w:color="auto"/>
            </w:tcBorders>
            <w:hideMark/>
          </w:tcPr>
          <w:p w:rsidR="00C0119A" w:rsidRDefault="00867678">
            <w:pPr>
              <w:spacing w:line="276" w:lineRule="auto"/>
              <w:rPr>
                <w:noProof/>
                <w:sz w:val="20"/>
                <w:lang w:eastAsia="bg-BG" w:bidi="bg-BG"/>
              </w:rPr>
            </w:pPr>
            <w:r>
              <w:rPr>
                <w:noProof/>
                <w:sz w:val="20"/>
              </w:rPr>
              <w:t>Длъжностни лица и временно наети служители</w:t>
            </w:r>
          </w:p>
        </w:tc>
        <w:tc>
          <w:tcPr>
            <w:tcW w:w="7200" w:type="dxa"/>
            <w:tcBorders>
              <w:top w:val="single" w:sz="2" w:space="0" w:color="auto"/>
              <w:left w:val="single" w:sz="2" w:space="0" w:color="auto"/>
              <w:bottom w:val="single" w:sz="2" w:space="0" w:color="auto"/>
              <w:right w:val="single" w:sz="2" w:space="0" w:color="auto"/>
            </w:tcBorders>
            <w:hideMark/>
          </w:tcPr>
          <w:p w:rsidR="00C0119A" w:rsidRDefault="00867678">
            <w:pPr>
              <w:spacing w:line="276" w:lineRule="auto"/>
              <w:rPr>
                <w:noProof/>
                <w:sz w:val="20"/>
                <w:lang w:eastAsia="bg-BG" w:bidi="bg-BG"/>
              </w:rPr>
            </w:pPr>
            <w:r>
              <w:rPr>
                <w:noProof/>
                <w:sz w:val="20"/>
              </w:rPr>
              <w:t>Подготовка на заседания и кореспонденци</w:t>
            </w:r>
            <w:r>
              <w:rPr>
                <w:noProof/>
                <w:sz w:val="20"/>
              </w:rPr>
              <w:t>я с ДЧ; (в зависимост от разговорите с държавите членки) работа по изготвяне на формулярите, информационно-технологичните формати и централната директория; възлагане на външни изпълнители работата по информационната система</w:t>
            </w:r>
          </w:p>
        </w:tc>
      </w:tr>
      <w:tr w:rsidR="00C0119A">
        <w:tc>
          <w:tcPr>
            <w:tcW w:w="3240" w:type="dxa"/>
            <w:tcBorders>
              <w:top w:val="single" w:sz="2" w:space="0" w:color="auto"/>
              <w:left w:val="single" w:sz="2" w:space="0" w:color="auto"/>
              <w:bottom w:val="single" w:sz="2" w:space="0" w:color="auto"/>
              <w:right w:val="single" w:sz="2" w:space="0" w:color="auto"/>
            </w:tcBorders>
            <w:hideMark/>
          </w:tcPr>
          <w:p w:rsidR="00C0119A" w:rsidRDefault="00867678">
            <w:pPr>
              <w:spacing w:before="60" w:after="60" w:line="276" w:lineRule="auto"/>
              <w:rPr>
                <w:noProof/>
                <w:sz w:val="20"/>
                <w:lang w:eastAsia="bg-BG" w:bidi="bg-BG"/>
              </w:rPr>
            </w:pPr>
            <w:r>
              <w:rPr>
                <w:noProof/>
                <w:sz w:val="20"/>
              </w:rPr>
              <w:t>Външен персонал</w:t>
            </w:r>
          </w:p>
        </w:tc>
        <w:tc>
          <w:tcPr>
            <w:tcW w:w="7200" w:type="dxa"/>
            <w:tcBorders>
              <w:top w:val="single" w:sz="2" w:space="0" w:color="auto"/>
              <w:left w:val="single" w:sz="2" w:space="0" w:color="auto"/>
              <w:bottom w:val="single" w:sz="2" w:space="0" w:color="auto"/>
              <w:right w:val="single" w:sz="2" w:space="0" w:color="auto"/>
            </w:tcBorders>
            <w:hideMark/>
          </w:tcPr>
          <w:p w:rsidR="00C0119A" w:rsidRDefault="00867678">
            <w:pPr>
              <w:spacing w:line="276" w:lineRule="auto"/>
              <w:rPr>
                <w:noProof/>
                <w:sz w:val="20"/>
                <w:lang w:eastAsia="bg-BG" w:bidi="bg-BG"/>
              </w:rPr>
            </w:pPr>
            <w:r>
              <w:rPr>
                <w:noProof/>
                <w:sz w:val="20"/>
              </w:rPr>
              <w:t>Не се прилага</w:t>
            </w:r>
          </w:p>
        </w:tc>
      </w:tr>
    </w:tbl>
    <w:p w:rsidR="00C0119A" w:rsidRDefault="00C0119A">
      <w:pPr>
        <w:spacing w:before="0" w:after="0"/>
        <w:jc w:val="left"/>
        <w:rPr>
          <w:noProof/>
        </w:rPr>
        <w:sectPr w:rsidR="00C0119A" w:rsidSect="00867678">
          <w:pgSz w:w="11907" w:h="16840"/>
          <w:pgMar w:top="1134" w:right="1418" w:bottom="1134" w:left="1418" w:header="709" w:footer="709" w:gutter="0"/>
          <w:cols w:space="720"/>
          <w:docGrid w:linePitch="326"/>
        </w:sectPr>
      </w:pPr>
    </w:p>
    <w:p w:rsidR="00C0119A" w:rsidRDefault="00867678">
      <w:pPr>
        <w:pStyle w:val="ManualHeading3"/>
        <w:rPr>
          <w:bCs/>
          <w:noProof/>
          <w:szCs w:val="24"/>
          <w:lang w:eastAsia="bg-BG" w:bidi="bg-BG"/>
        </w:rPr>
      </w:pPr>
      <w:r>
        <w:rPr>
          <w:noProof/>
        </w:rPr>
        <w:t>3.2.4.</w:t>
      </w:r>
      <w:r>
        <w:rPr>
          <w:noProof/>
        </w:rPr>
        <w:tab/>
        <w:t xml:space="preserve">Съвместимост с настоящата многогодишна финансова рамка </w:t>
      </w:r>
    </w:p>
    <w:p w:rsidR="00C0119A" w:rsidRDefault="00867678">
      <w:pPr>
        <w:pStyle w:val="ListDash1"/>
        <w:numPr>
          <w:ilvl w:val="0"/>
          <w:numId w:val="16"/>
        </w:numPr>
        <w:rPr>
          <w:noProof/>
        </w:rPr>
      </w:pPr>
      <w:r>
        <w:rPr>
          <w:noProof/>
        </w:rPr>
        <w:sym w:font="Wingdings" w:char="F0FD"/>
      </w:r>
      <w:r>
        <w:rPr>
          <w:noProof/>
        </w:rPr>
        <w:t xml:space="preserve"> Предложението/инициативата е съвместимо(а) с настоящата многогодишна финансова рамка.</w:t>
      </w:r>
    </w:p>
    <w:p w:rsidR="00C0119A" w:rsidRDefault="00867678">
      <w:pPr>
        <w:pStyle w:val="ListDash1"/>
        <w:numPr>
          <w:ilvl w:val="0"/>
          <w:numId w:val="16"/>
        </w:numPr>
        <w:rPr>
          <w:noProof/>
        </w:rPr>
      </w:pPr>
      <w:r>
        <w:rPr>
          <w:noProof/>
        </w:rPr>
        <w:sym w:font="Wingdings" w:char="F0A8"/>
      </w:r>
      <w:r>
        <w:rPr>
          <w:noProof/>
        </w:rPr>
        <w:t xml:space="preserve"> Предложението/инициативата налага препрограмиране на съответната функция от многог</w:t>
      </w:r>
      <w:r>
        <w:rPr>
          <w:noProof/>
        </w:rPr>
        <w:t>одишната финансова рамка.</w:t>
      </w:r>
    </w:p>
    <w:p w:rsidR="00C0119A" w:rsidRDefault="00867678">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rsidR="00C0119A" w:rsidRDefault="00867678">
      <w:pPr>
        <w:pStyle w:val="ListDash1"/>
        <w:numPr>
          <w:ilvl w:val="0"/>
          <w:numId w:val="16"/>
        </w:numPr>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rsidR="00C0119A" w:rsidRDefault="00867678">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w:t>
      </w:r>
      <w:r>
        <w:rPr>
          <w:noProof/>
          <w:sz w:val="20"/>
        </w:rPr>
        <w:t>нете какво е необходимо, като посочите съответните функции, бюджетни редове и суми.</w:t>
      </w:r>
    </w:p>
    <w:p w:rsidR="00C0119A" w:rsidRDefault="00867678">
      <w:pPr>
        <w:pStyle w:val="ManualHeading3"/>
        <w:rPr>
          <w:bCs/>
          <w:noProof/>
          <w:szCs w:val="24"/>
        </w:rPr>
      </w:pPr>
      <w:r>
        <w:rPr>
          <w:noProof/>
        </w:rPr>
        <w:t>3.2.5.</w:t>
      </w:r>
      <w:r>
        <w:rPr>
          <w:noProof/>
        </w:rPr>
        <w:tab/>
        <w:t xml:space="preserve">Участие на трети страни във финансирането </w:t>
      </w:r>
    </w:p>
    <w:p w:rsidR="00C0119A" w:rsidRDefault="00867678">
      <w:pPr>
        <w:pStyle w:val="ListDash1"/>
        <w:numPr>
          <w:ilvl w:val="0"/>
          <w:numId w:val="16"/>
        </w:numPr>
        <w:rPr>
          <w:noProof/>
        </w:rPr>
      </w:pPr>
      <w:r>
        <w:rPr>
          <w:noProof/>
        </w:rPr>
        <w:t xml:space="preserve">Предложението/инициативата не предвижда съфинансиране от трети страни. </w:t>
      </w:r>
    </w:p>
    <w:p w:rsidR="00C0119A" w:rsidRDefault="00867678">
      <w:pPr>
        <w:pStyle w:val="ListDash1"/>
        <w:numPr>
          <w:ilvl w:val="0"/>
          <w:numId w:val="16"/>
        </w:numPr>
        <w:rPr>
          <w:noProof/>
        </w:rPr>
      </w:pPr>
      <w:r>
        <w:rPr>
          <w:strike/>
          <w:noProof/>
        </w:rPr>
        <w:t>Предложението/инициативата предвижда съфинансиране</w:t>
      </w:r>
      <w:r>
        <w:rPr>
          <w:strike/>
          <w:noProof/>
        </w:rPr>
        <w:t xml:space="preserve"> съгласно следните прогнози</w:t>
      </w:r>
      <w:r>
        <w:rPr>
          <w:noProof/>
        </w:rPr>
        <w:t>:</w:t>
      </w:r>
    </w:p>
    <w:p w:rsidR="00C0119A" w:rsidRDefault="00867678">
      <w:pPr>
        <w:jc w:val="right"/>
        <w:rPr>
          <w:noProof/>
          <w:sz w:val="20"/>
        </w:rPr>
      </w:pPr>
      <w:r>
        <w:rPr>
          <w:noProof/>
          <w:sz w:val="20"/>
        </w:rPr>
        <w:t>Бюджетни кредити в млн. евро (до третия знак след десетичната запетая)</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rsidR="00C0119A">
        <w:trPr>
          <w:cantSplit/>
        </w:trPr>
        <w:tc>
          <w:tcPr>
            <w:tcW w:w="2340" w:type="dxa"/>
            <w:tcBorders>
              <w:top w:val="single" w:sz="6" w:space="0" w:color="auto"/>
              <w:left w:val="single" w:sz="6" w:space="0" w:color="auto"/>
              <w:bottom w:val="single" w:sz="6" w:space="0" w:color="auto"/>
              <w:right w:val="single" w:sz="6" w:space="0" w:color="auto"/>
            </w:tcBorders>
          </w:tcPr>
          <w:p w:rsidR="00C0119A" w:rsidRDefault="00C0119A">
            <w:pPr>
              <w:spacing w:before="60" w:after="60" w:line="276" w:lineRule="auto"/>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hideMark/>
          </w:tcPr>
          <w:p w:rsidR="00C0119A" w:rsidRDefault="00867678">
            <w:pPr>
              <w:spacing w:line="276" w:lineRule="auto"/>
              <w:jc w:val="center"/>
              <w:rPr>
                <w:noProof/>
                <w:sz w:val="20"/>
                <w:lang w:eastAsia="bg-BG" w:bidi="bg-BG"/>
              </w:rPr>
            </w:pPr>
            <w:r>
              <w:rPr>
                <w:noProof/>
              </w:rPr>
              <w:t xml:space="preserve">Година </w:t>
            </w:r>
            <w:r>
              <w:rPr>
                <w:b/>
                <w:noProof/>
                <w:sz w:val="20"/>
              </w:rPr>
              <w:t xml:space="preserve">N </w:t>
            </w:r>
          </w:p>
        </w:tc>
        <w:tc>
          <w:tcPr>
            <w:tcW w:w="964" w:type="dxa"/>
            <w:tcBorders>
              <w:top w:val="single" w:sz="6" w:space="0" w:color="auto"/>
              <w:left w:val="single" w:sz="6" w:space="0" w:color="auto"/>
              <w:bottom w:val="single" w:sz="6" w:space="0" w:color="auto"/>
              <w:right w:val="single" w:sz="6"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rsidR="00C0119A" w:rsidRDefault="00867678">
            <w:pPr>
              <w:spacing w:line="276" w:lineRule="auto"/>
              <w:jc w:val="center"/>
              <w:rPr>
                <w:noProof/>
                <w:sz w:val="20"/>
                <w:lang w:eastAsia="bg-BG" w:bidi="bg-BG"/>
              </w:rPr>
            </w:pPr>
            <w:r>
              <w:rPr>
                <w:noProof/>
              </w:rPr>
              <w:t>Година</w:t>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rsidR="00C0119A" w:rsidRDefault="00867678">
            <w:pPr>
              <w:spacing w:line="276" w:lineRule="auto"/>
              <w:jc w:val="center"/>
              <w:rPr>
                <w:b/>
                <w:noProof/>
                <w:sz w:val="20"/>
                <w:lang w:eastAsia="bg-BG" w:bidi="bg-BG"/>
              </w:rPr>
            </w:pPr>
            <w:r>
              <w:rPr>
                <w:noProof/>
                <w:sz w:val="20"/>
              </w:rPr>
              <w:t xml:space="preserve">Да се добавят толкова години, колкото е необходимо, за да се обхване продължителността на отражението (вж. точка </w:t>
            </w:r>
            <w:r>
              <w:rPr>
                <w:noProof/>
                <w:sz w:val="20"/>
              </w:rPr>
              <w:t>1.6)</w:t>
            </w:r>
          </w:p>
        </w:tc>
        <w:tc>
          <w:tcPr>
            <w:tcW w:w="1158" w:type="dxa"/>
            <w:tcBorders>
              <w:top w:val="single" w:sz="6" w:space="0" w:color="auto"/>
              <w:left w:val="single" w:sz="6" w:space="0" w:color="auto"/>
              <w:bottom w:val="single" w:sz="6" w:space="0" w:color="auto"/>
              <w:right w:val="single" w:sz="6" w:space="0" w:color="auto"/>
            </w:tcBorders>
            <w:vAlign w:val="center"/>
            <w:hideMark/>
          </w:tcPr>
          <w:p w:rsidR="00C0119A" w:rsidRDefault="00867678">
            <w:pPr>
              <w:spacing w:before="60" w:after="60" w:line="276" w:lineRule="auto"/>
              <w:jc w:val="center"/>
              <w:rPr>
                <w:noProof/>
                <w:sz w:val="20"/>
                <w:lang w:eastAsia="bg-BG" w:bidi="bg-BG"/>
              </w:rPr>
            </w:pPr>
            <w:r>
              <w:rPr>
                <w:noProof/>
                <w:sz w:val="20"/>
              </w:rPr>
              <w:t>Общо</w:t>
            </w:r>
          </w:p>
        </w:tc>
      </w:tr>
      <w:tr w:rsidR="00C0119A">
        <w:trPr>
          <w:cantSplit/>
        </w:trPr>
        <w:tc>
          <w:tcPr>
            <w:tcW w:w="2340" w:type="dxa"/>
            <w:tcBorders>
              <w:top w:val="single" w:sz="6" w:space="0" w:color="auto"/>
              <w:left w:val="single" w:sz="6" w:space="0" w:color="auto"/>
              <w:bottom w:val="single" w:sz="6" w:space="0" w:color="auto"/>
              <w:right w:val="single" w:sz="6" w:space="0" w:color="auto"/>
            </w:tcBorders>
            <w:hideMark/>
          </w:tcPr>
          <w:p w:rsidR="00C0119A" w:rsidRDefault="00867678">
            <w:pPr>
              <w:spacing w:line="276" w:lineRule="auto"/>
              <w:rPr>
                <w:noProof/>
                <w:sz w:val="22"/>
                <w:lang w:eastAsia="bg-BG" w:bidi="bg-BG"/>
              </w:rPr>
            </w:pPr>
            <w:r>
              <w:rPr>
                <w:noProof/>
                <w:sz w:val="20"/>
              </w:rPr>
              <w:t>Да се посочи съфинансиращият орган</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1158"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r>
      <w:tr w:rsidR="00C0119A">
        <w:trPr>
          <w:cantSplit/>
        </w:trPr>
        <w:tc>
          <w:tcPr>
            <w:tcW w:w="2340" w:type="dxa"/>
            <w:tcBorders>
              <w:top w:val="single" w:sz="6" w:space="0" w:color="auto"/>
              <w:left w:val="single" w:sz="6" w:space="0" w:color="auto"/>
              <w:bottom w:val="single" w:sz="6" w:space="0" w:color="auto"/>
              <w:right w:val="single" w:sz="6" w:space="0" w:color="auto"/>
            </w:tcBorders>
            <w:hideMark/>
          </w:tcPr>
          <w:p w:rsidR="00C0119A" w:rsidRDefault="00867678">
            <w:pPr>
              <w:spacing w:before="60" w:after="60" w:line="276" w:lineRule="auto"/>
              <w:jc w:val="left"/>
              <w:rPr>
                <w:noProof/>
                <w:sz w:val="20"/>
                <w:lang w:eastAsia="bg-BG" w:bidi="bg-BG"/>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964"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c>
          <w:tcPr>
            <w:tcW w:w="1158" w:type="dxa"/>
            <w:tcBorders>
              <w:top w:val="single" w:sz="6" w:space="0" w:color="auto"/>
              <w:left w:val="single" w:sz="6" w:space="0" w:color="auto"/>
              <w:bottom w:val="single" w:sz="6" w:space="0" w:color="auto"/>
              <w:right w:val="single" w:sz="6" w:space="0" w:color="auto"/>
            </w:tcBorders>
            <w:vAlign w:val="center"/>
          </w:tcPr>
          <w:p w:rsidR="00C0119A" w:rsidRDefault="00C0119A">
            <w:pPr>
              <w:spacing w:before="60" w:after="60" w:line="276" w:lineRule="auto"/>
              <w:jc w:val="center"/>
              <w:rPr>
                <w:noProof/>
                <w:sz w:val="20"/>
                <w:lang w:eastAsia="bg-BG" w:bidi="bg-BG"/>
              </w:rPr>
            </w:pPr>
          </w:p>
        </w:tc>
      </w:tr>
    </w:tbl>
    <w:p w:rsidR="00C0119A" w:rsidRDefault="00867678">
      <w:pPr>
        <w:pStyle w:val="ManualHeading2"/>
        <w:rPr>
          <w:bCs/>
          <w:noProof/>
          <w:szCs w:val="24"/>
          <w:lang w:eastAsia="bg-BG" w:bidi="bg-BG"/>
        </w:rPr>
      </w:pPr>
      <w:r>
        <w:rPr>
          <w:noProof/>
        </w:rPr>
        <w:br w:type="page"/>
        <w:t>3.3.</w:t>
      </w:r>
      <w:r>
        <w:rPr>
          <w:noProof/>
        </w:rPr>
        <w:tab/>
        <w:t xml:space="preserve">Очаквано отражение върху приходите </w:t>
      </w:r>
    </w:p>
    <w:p w:rsidR="00C0119A" w:rsidRDefault="00867678">
      <w:pPr>
        <w:pStyle w:val="ListDash1"/>
        <w:numPr>
          <w:ilvl w:val="0"/>
          <w:numId w:val="16"/>
        </w:numPr>
        <w:rPr>
          <w:noProof/>
        </w:rPr>
      </w:pPr>
      <w:r>
        <w:rPr>
          <w:noProof/>
        </w:rPr>
        <w:sym w:font="Wingdings" w:char="F0FD"/>
      </w:r>
      <w:r>
        <w:rPr>
          <w:noProof/>
        </w:rPr>
        <w:t xml:space="preserve"> Предложението/инициативата няма финансово отражение върху приходите.</w:t>
      </w:r>
    </w:p>
    <w:p w:rsidR="00C0119A" w:rsidRDefault="00867678">
      <w:pPr>
        <w:pStyle w:val="ListDash1"/>
        <w:numPr>
          <w:ilvl w:val="0"/>
          <w:numId w:val="16"/>
        </w:numPr>
        <w:rPr>
          <w:noProof/>
        </w:rPr>
      </w:pPr>
      <w:r>
        <w:rPr>
          <w:noProof/>
        </w:rPr>
        <w:sym w:font="Wingdings" w:char="F0A8"/>
      </w:r>
      <w:r>
        <w:rPr>
          <w:noProof/>
        </w:rPr>
        <w:t xml:space="preserve"> Предложението/инициативата има следното финансово отражение:</w:t>
      </w:r>
    </w:p>
    <w:p w:rsidR="00C0119A" w:rsidRDefault="00867678">
      <w:pPr>
        <w:pStyle w:val="ListNumberLevel3"/>
        <w:numPr>
          <w:ilvl w:val="2"/>
          <w:numId w:val="14"/>
        </w:numPr>
        <w:rPr>
          <w:noProof/>
        </w:rPr>
      </w:pPr>
      <w:r>
        <w:rPr>
          <w:noProof/>
        </w:rPr>
        <w:sym w:font="Wingdings" w:char="F0A8"/>
      </w:r>
      <w:r>
        <w:rPr>
          <w:noProof/>
        </w:rPr>
        <w:t xml:space="preserve"> върху собствените ресурси </w:t>
      </w:r>
    </w:p>
    <w:p w:rsidR="00C0119A" w:rsidRDefault="00867678">
      <w:pPr>
        <w:pStyle w:val="ListNumberLevel3"/>
        <w:numPr>
          <w:ilvl w:val="2"/>
          <w:numId w:val="14"/>
        </w:numPr>
        <w:rPr>
          <w:noProof/>
        </w:rPr>
      </w:pPr>
      <w:r>
        <w:rPr>
          <w:noProof/>
        </w:rPr>
        <w:sym w:font="Wingdings" w:char="F0A8"/>
      </w:r>
      <w:r>
        <w:rPr>
          <w:noProof/>
        </w:rPr>
        <w:t xml:space="preserve"> върху разните приходи </w:t>
      </w:r>
    </w:p>
    <w:p w:rsidR="00C0119A" w:rsidRDefault="00867678">
      <w:pPr>
        <w:jc w:val="right"/>
        <w:rPr>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rsidR="00C0119A">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40" w:after="40" w:line="276" w:lineRule="auto"/>
              <w:rPr>
                <w:noProof/>
                <w:sz w:val="18"/>
                <w:lang w:eastAsia="bg-BG" w:bidi="bg-BG"/>
              </w:rPr>
            </w:pPr>
            <w:r>
              <w:rPr>
                <w:noProof/>
                <w:sz w:val="18"/>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18"/>
              </w:rPr>
              <w:t>Налични бюджетни кредити за текущата бюджетна година</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sz w:val="18"/>
              </w:rPr>
              <w:t>Отражение на</w:t>
            </w:r>
            <w:r>
              <w:rPr>
                <w:noProof/>
                <w:sz w:val="18"/>
              </w:rPr>
              <w:t xml:space="preserve"> предложението/инициативата</w:t>
            </w:r>
            <w:r>
              <w:rPr>
                <w:rStyle w:val="FootnoteReference"/>
                <w:noProof/>
                <w:sz w:val="18"/>
              </w:rPr>
              <w:footnoteReference w:id="26"/>
            </w:r>
          </w:p>
        </w:tc>
      </w:tr>
      <w:tr w:rsidR="00C0119A">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18"/>
                <w:lang w:eastAsia="bg-BG" w:bidi="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119A" w:rsidRDefault="00C0119A">
            <w:pPr>
              <w:spacing w:before="0" w:after="0"/>
              <w:jc w:val="left"/>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rPr>
              <w:t xml:space="preserve">Година </w:t>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rPr>
              <w:t>Година</w:t>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rPr>
              <w:t>Година</w:t>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noProof/>
                <w:sz w:val="18"/>
                <w:lang w:eastAsia="bg-BG" w:bidi="bg-BG"/>
              </w:rPr>
            </w:pPr>
            <w:r>
              <w:rPr>
                <w:noProof/>
              </w:rPr>
              <w:t>Година</w:t>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C0119A" w:rsidRDefault="00867678">
            <w:pPr>
              <w:spacing w:line="276" w:lineRule="auto"/>
              <w:jc w:val="center"/>
              <w:rPr>
                <w:b/>
                <w:noProof/>
                <w:sz w:val="18"/>
                <w:lang w:eastAsia="bg-BG" w:bidi="bg-BG"/>
              </w:rPr>
            </w:pPr>
            <w:r>
              <w:rPr>
                <w:noProof/>
                <w:sz w:val="18"/>
              </w:rPr>
              <w:t>Да се добавят толкова години, колкото е необходимо, за да се обхване продължителността на отражението (вж. точка 1.6)</w:t>
            </w:r>
          </w:p>
        </w:tc>
      </w:tr>
      <w:tr w:rsidR="00C0119A">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rsidR="00C0119A" w:rsidRDefault="00867678">
            <w:pPr>
              <w:spacing w:before="40" w:after="40" w:line="276" w:lineRule="auto"/>
              <w:rPr>
                <w:noProof/>
                <w:sz w:val="18"/>
                <w:lang w:eastAsia="bg-BG" w:bidi="bg-BG"/>
              </w:rPr>
            </w:pPr>
            <w:r>
              <w:rPr>
                <w:noProof/>
                <w:sz w:val="18"/>
              </w:rPr>
              <w:t>Статия….</w:t>
            </w:r>
          </w:p>
        </w:tc>
        <w:tc>
          <w:tcPr>
            <w:tcW w:w="1276"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i/>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noProof/>
                <w:sz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noProof/>
                <w:sz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C0119A" w:rsidRDefault="00C0119A">
            <w:pPr>
              <w:spacing w:beforeLines="40" w:before="96" w:afterLines="40" w:after="96" w:line="276" w:lineRule="auto"/>
              <w:jc w:val="center"/>
              <w:rPr>
                <w:noProof/>
                <w:sz w:val="18"/>
                <w:lang w:eastAsia="bg-BG" w:bidi="bg-BG"/>
              </w:rPr>
            </w:pPr>
          </w:p>
        </w:tc>
      </w:tr>
    </w:tbl>
    <w:p w:rsidR="00C0119A" w:rsidRDefault="00867678">
      <w:pPr>
        <w:pStyle w:val="Text1"/>
        <w:rPr>
          <w:noProof/>
          <w:sz w:val="20"/>
          <w:lang w:eastAsia="bg-BG" w:bidi="bg-BG"/>
        </w:rPr>
      </w:pPr>
      <w:r>
        <w:rPr>
          <w:noProof/>
          <w:sz w:val="20"/>
        </w:rPr>
        <w:t xml:space="preserve">За разните „целеви“ приходи да се посочат </w:t>
      </w:r>
      <w:r>
        <w:rPr>
          <w:noProof/>
          <w:sz w:val="20"/>
        </w:rPr>
        <w:t>съответните разходни бюджетни редове.</w:t>
      </w:r>
    </w:p>
    <w:p w:rsidR="00C0119A" w:rsidRDefault="00C0119A">
      <w:pPr>
        <w:pStyle w:val="Text1"/>
        <w:pBdr>
          <w:top w:val="single" w:sz="4" w:space="1" w:color="auto"/>
          <w:left w:val="single" w:sz="4" w:space="4" w:color="auto"/>
          <w:bottom w:val="single" w:sz="4" w:space="1" w:color="auto"/>
          <w:right w:val="single" w:sz="4" w:space="4" w:color="auto"/>
        </w:pBdr>
        <w:rPr>
          <w:noProof/>
        </w:rPr>
      </w:pPr>
    </w:p>
    <w:p w:rsidR="00C0119A" w:rsidRDefault="00867678">
      <w:pPr>
        <w:pStyle w:val="Text1"/>
        <w:rPr>
          <w:noProof/>
          <w:sz w:val="20"/>
        </w:rPr>
      </w:pPr>
      <w:r>
        <w:rPr>
          <w:noProof/>
          <w:sz w:val="20"/>
        </w:rPr>
        <w:t>Да се посочи методът за изчисляване на отражението върху приходите.</w:t>
      </w:r>
    </w:p>
    <w:p w:rsidR="00C0119A" w:rsidRDefault="00C0119A">
      <w:pPr>
        <w:pStyle w:val="Text1"/>
        <w:pBdr>
          <w:top w:val="single" w:sz="4" w:space="1" w:color="auto"/>
          <w:left w:val="single" w:sz="4" w:space="4" w:color="auto"/>
          <w:bottom w:val="single" w:sz="4" w:space="1" w:color="auto"/>
          <w:right w:val="single" w:sz="4" w:space="4" w:color="auto"/>
        </w:pBdr>
        <w:rPr>
          <w:noProof/>
        </w:rPr>
      </w:pPr>
    </w:p>
    <w:sectPr w:rsidR="00C0119A" w:rsidSect="0086767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9A" w:rsidRDefault="00867678">
      <w:pPr>
        <w:spacing w:before="0" w:after="0"/>
      </w:pPr>
      <w:r>
        <w:separator/>
      </w:r>
    </w:p>
  </w:endnote>
  <w:endnote w:type="continuationSeparator" w:id="0">
    <w:p w:rsidR="00C0119A" w:rsidRDefault="008676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Footer"/>
      <w:rPr>
        <w:rFonts w:ascii="Arial" w:hAnsi="Arial" w:cs="Arial"/>
        <w:b/>
        <w:sz w:val="48"/>
      </w:rPr>
    </w:pPr>
    <w:r w:rsidRPr="00867678">
      <w:rPr>
        <w:rFonts w:ascii="Arial" w:hAnsi="Arial" w:cs="Arial"/>
        <w:b/>
        <w:sz w:val="48"/>
      </w:rPr>
      <w:t>BG</w:t>
    </w:r>
    <w:r w:rsidRPr="00867678">
      <w:rPr>
        <w:rFonts w:ascii="Arial" w:hAnsi="Arial" w:cs="Arial"/>
        <w:b/>
        <w:sz w:val="48"/>
      </w:rPr>
      <w:tab/>
    </w:r>
    <w:r w:rsidRPr="00867678">
      <w:rPr>
        <w:rFonts w:ascii="Arial" w:hAnsi="Arial" w:cs="Arial"/>
        <w:b/>
        <w:sz w:val="48"/>
      </w:rPr>
      <w:tab/>
    </w:r>
    <w:fldSimple w:instr=" DOCVARIABLE &quot;LW_Confidence&quot; \* MERGEFORMAT ">
      <w:r>
        <w:t xml:space="preserve"> </w:t>
      </w:r>
    </w:fldSimple>
    <w:r w:rsidRPr="00867678">
      <w:tab/>
    </w:r>
    <w:proofErr w:type="spellStart"/>
    <w:r w:rsidRPr="00867678">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Footer"/>
      <w:rPr>
        <w:rFonts w:ascii="Arial" w:hAnsi="Arial" w:cs="Arial"/>
        <w:b/>
        <w:sz w:val="48"/>
      </w:rPr>
    </w:pPr>
    <w:r w:rsidRPr="00867678">
      <w:rPr>
        <w:rFonts w:ascii="Arial" w:hAnsi="Arial" w:cs="Arial"/>
        <w:b/>
        <w:sz w:val="48"/>
      </w:rPr>
      <w:t>BG</w:t>
    </w:r>
    <w:r w:rsidRPr="00867678">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fldSimple w:instr=" DOCVARIABLE &quot;LW_Confidence&quot; \* MERGEFORMAT ">
      <w:r>
        <w:t xml:space="preserve"> </w:t>
      </w:r>
    </w:fldSimple>
    <w:r w:rsidRPr="00867678">
      <w:tab/>
    </w:r>
    <w:r w:rsidRPr="0086767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9A" w:rsidRPr="00867678" w:rsidRDefault="00867678" w:rsidP="00867678">
    <w:pPr>
      <w:pStyle w:val="FooterLandscape"/>
      <w:rPr>
        <w:rFonts w:ascii="Arial" w:hAnsi="Arial" w:cs="Arial"/>
        <w:b/>
        <w:sz w:val="48"/>
      </w:rPr>
    </w:pPr>
    <w:r w:rsidRPr="00867678">
      <w:rPr>
        <w:rFonts w:ascii="Arial" w:hAnsi="Arial" w:cs="Arial"/>
        <w:b/>
        <w:sz w:val="48"/>
      </w:rPr>
      <w:t>BG</w:t>
    </w:r>
    <w:r w:rsidRPr="00867678">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fldSimple w:instr=" DOCVARIABLE &quot;LW_Confidence&quot; \* MERGEFORMAT ">
      <w:r>
        <w:t xml:space="preserve"> </w:t>
      </w:r>
    </w:fldSimple>
    <w:r w:rsidRPr="00867678">
      <w:tab/>
    </w:r>
    <w:r w:rsidRPr="00867678">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9A" w:rsidRPr="00867678" w:rsidRDefault="00867678" w:rsidP="00867678">
    <w:pPr>
      <w:pStyle w:val="Footer"/>
      <w:rPr>
        <w:rFonts w:ascii="Arial" w:hAnsi="Arial" w:cs="Arial"/>
        <w:b/>
        <w:sz w:val="48"/>
      </w:rPr>
    </w:pPr>
    <w:r w:rsidRPr="00867678">
      <w:rPr>
        <w:rFonts w:ascii="Arial" w:hAnsi="Arial" w:cs="Arial"/>
        <w:b/>
        <w:sz w:val="48"/>
      </w:rPr>
      <w:t>BG</w:t>
    </w:r>
    <w:r w:rsidRPr="00867678">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fldSimple w:instr=" DOCVARIABLE &quot;LW_Confidence&quot; \* MERGEFORMAT ">
      <w:r>
        <w:t xml:space="preserve"> </w:t>
      </w:r>
    </w:fldSimple>
    <w:r w:rsidRPr="00867678">
      <w:tab/>
    </w:r>
    <w:r w:rsidRPr="00867678">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9A" w:rsidRDefault="00867678">
      <w:pPr>
        <w:spacing w:before="0" w:after="0"/>
      </w:pPr>
      <w:r>
        <w:separator/>
      </w:r>
    </w:p>
  </w:footnote>
  <w:footnote w:type="continuationSeparator" w:id="0">
    <w:p w:rsidR="00C0119A" w:rsidRDefault="00867678">
      <w:pPr>
        <w:spacing w:before="0" w:after="0"/>
      </w:pPr>
      <w:r>
        <w:continuationSeparator/>
      </w:r>
    </w:p>
  </w:footnote>
  <w:footnote w:id="1">
    <w:p w:rsidR="00C0119A" w:rsidRDefault="00867678">
      <w:pPr>
        <w:pStyle w:val="FootnoteText"/>
      </w:pPr>
      <w:r>
        <w:rPr>
          <w:rStyle w:val="FootnoteReference"/>
        </w:rPr>
        <w:footnoteRef/>
      </w:r>
      <w:r>
        <w:tab/>
        <w:t>ОВ L 336, 27.12.1977 г., стр. 15.</w:t>
      </w:r>
    </w:p>
  </w:footnote>
  <w:footnote w:id="2">
    <w:p w:rsidR="00C0119A" w:rsidRDefault="00867678">
      <w:pPr>
        <w:pStyle w:val="FootnoteText"/>
      </w:pPr>
      <w:r>
        <w:rPr>
          <w:rStyle w:val="FootnoteReference"/>
        </w:rPr>
        <w:footnoteRef/>
      </w:r>
      <w:r>
        <w:tab/>
      </w:r>
      <w:r>
        <w:t xml:space="preserve">Директива 2011/16/ЕС на Съвета от 15 февруари 2011 г. относно административното сътрудничество в областта </w:t>
      </w:r>
      <w:r>
        <w:t>на данъчното облагане и за отмяна на Директива 77/799/ЕИО (ОВ L 64, 11.3.2011 г., стр. 1).</w:t>
      </w:r>
    </w:p>
  </w:footnote>
  <w:footnote w:id="3">
    <w:p w:rsidR="00C0119A" w:rsidRDefault="00867678">
      <w:pPr>
        <w:pStyle w:val="FootnoteText"/>
        <w:ind w:left="142" w:hanging="142"/>
      </w:pPr>
      <w:r>
        <w:rPr>
          <w:rStyle w:val="FootnoteReference"/>
        </w:rPr>
        <w:footnoteRef/>
      </w:r>
      <w:r>
        <w:tab/>
      </w:r>
      <w:hyperlink r:id="rId1" w:history="1">
        <w:r>
          <w:rPr>
            <w:rStyle w:val="Hyperlink"/>
          </w:rPr>
          <w:t>http://ec.europa.eu/priorities/work-programme-2016_bg</w:t>
        </w:r>
      </w:hyperlink>
      <w:r>
        <w:t xml:space="preserve"> </w:t>
      </w:r>
    </w:p>
  </w:footnote>
  <w:footnote w:id="4">
    <w:p w:rsidR="00C0119A" w:rsidRDefault="00867678">
      <w:pPr>
        <w:pStyle w:val="FootnoteText"/>
        <w:ind w:left="142" w:hanging="142"/>
      </w:pPr>
      <w:r>
        <w:rPr>
          <w:rStyle w:val="FootnoteReference"/>
        </w:rPr>
        <w:footnoteRef/>
      </w:r>
      <w:r>
        <w:tab/>
      </w:r>
      <w:r>
        <w:t xml:space="preserve">OВ L 359, 16.12.2014 г. </w:t>
      </w:r>
    </w:p>
  </w:footnote>
  <w:footnote w:id="5">
    <w:p w:rsidR="00C0119A" w:rsidRDefault="00867678">
      <w:pPr>
        <w:pStyle w:val="FootnoteText"/>
      </w:pPr>
      <w:r>
        <w:rPr>
          <w:rStyle w:val="FootnoteReference"/>
        </w:rPr>
        <w:footnoteRef/>
      </w:r>
      <w:r>
        <w:tab/>
      </w:r>
      <w:r>
        <w:t>OВ L 332,</w:t>
      </w:r>
      <w:r>
        <w:t xml:space="preserve"> 18.12.2015 г.</w:t>
      </w:r>
    </w:p>
  </w:footnote>
  <w:footnote w:id="6">
    <w:p w:rsidR="00C0119A" w:rsidRDefault="00867678">
      <w:pPr>
        <w:spacing w:before="0" w:after="0"/>
        <w:ind w:left="142" w:hanging="142"/>
      </w:pPr>
      <w:r>
        <w:rPr>
          <w:rStyle w:val="FootnoteReference"/>
        </w:rPr>
        <w:footnoteRef/>
      </w:r>
      <w:r>
        <w:tab/>
      </w:r>
      <w:r>
        <w:rPr>
          <w:sz w:val="20"/>
        </w:rPr>
        <w:t xml:space="preserve">Резолюция на Европейския парламент от 21 май 2013 г. относно борбата срещу данъчните измами, отклонението от данъчно облагане и данъчните убежища (доклад </w:t>
      </w:r>
      <w:proofErr w:type="spellStart"/>
      <w:r>
        <w:rPr>
          <w:sz w:val="20"/>
        </w:rPr>
        <w:t>Kleva</w:t>
      </w:r>
      <w:proofErr w:type="spellEnd"/>
      <w:r>
        <w:rPr>
          <w:sz w:val="20"/>
        </w:rPr>
        <w:t>) — 2013/</w:t>
      </w:r>
      <w:r>
        <w:rPr>
          <w:sz w:val="20"/>
          <w:szCs w:val="20"/>
        </w:rPr>
        <w:t>2060</w:t>
      </w:r>
      <w:r>
        <w:rPr>
          <w:sz w:val="20"/>
        </w:rPr>
        <w:t xml:space="preserve"> (INI).</w:t>
      </w:r>
    </w:p>
  </w:footnote>
  <w:footnote w:id="7">
    <w:p w:rsidR="00C0119A" w:rsidRDefault="00867678">
      <w:pPr>
        <w:spacing w:before="0" w:after="0"/>
        <w:ind w:left="142" w:hanging="142"/>
      </w:pPr>
      <w:r>
        <w:rPr>
          <w:rStyle w:val="FootnoteReference"/>
        </w:rPr>
        <w:footnoteRef/>
      </w:r>
      <w:r>
        <w:tab/>
      </w:r>
      <w:r>
        <w:rPr>
          <w:sz w:val="20"/>
        </w:rPr>
        <w:t xml:space="preserve">Становище на Европейския икономически и социален комитет </w:t>
      </w:r>
      <w:r>
        <w:rPr>
          <w:sz w:val="20"/>
        </w:rPr>
        <w:t xml:space="preserve">от 17 април 2013 г. относно Съобщение на Комисията до Европейския парламент и Съвета — План за действие за укрепване на борбата срещу данъчните измами и укриването на данъци, COM (2012) 722 </w:t>
      </w:r>
      <w:proofErr w:type="spellStart"/>
      <w:r>
        <w:rPr>
          <w:sz w:val="20"/>
        </w:rPr>
        <w:t>final</w:t>
      </w:r>
      <w:proofErr w:type="spellEnd"/>
      <w:r>
        <w:rPr>
          <w:sz w:val="20"/>
        </w:rPr>
        <w:t xml:space="preserve"> (доклад </w:t>
      </w:r>
      <w:proofErr w:type="spellStart"/>
      <w:r>
        <w:rPr>
          <w:sz w:val="20"/>
        </w:rPr>
        <w:t>Dandea</w:t>
      </w:r>
      <w:proofErr w:type="spellEnd"/>
      <w:r>
        <w:rPr>
          <w:sz w:val="20"/>
        </w:rPr>
        <w:t>) — CESE 101/2013.</w:t>
      </w:r>
    </w:p>
  </w:footnote>
  <w:footnote w:id="8">
    <w:p w:rsidR="00C0119A" w:rsidRDefault="00867678">
      <w:pPr>
        <w:pStyle w:val="FootnoteText"/>
        <w:ind w:left="142" w:hanging="142"/>
      </w:pPr>
      <w:r>
        <w:rPr>
          <w:rStyle w:val="FootnoteReference"/>
        </w:rPr>
        <w:footnoteRef/>
      </w:r>
      <w:r>
        <w:tab/>
      </w:r>
      <w:r>
        <w:t>Публичните доклади от раб</w:t>
      </w:r>
      <w:r>
        <w:t xml:space="preserve">отата на групата „Кодекс за поведение“ (Данъчно облагане на предприятия) са достъпни </w:t>
      </w:r>
      <w:hyperlink r:id="rId2" w:history="1">
        <w:r>
          <w:rPr>
            <w:rStyle w:val="Hyperlink"/>
          </w:rPr>
          <w:t>тук</w:t>
        </w:r>
      </w:hyperlink>
      <w:r>
        <w:rPr>
          <w:rStyle w:val="Hyperlink"/>
        </w:rPr>
        <w:t>.</w:t>
      </w:r>
    </w:p>
  </w:footnote>
  <w:footnote w:id="9">
    <w:p w:rsidR="00C0119A" w:rsidRDefault="00867678">
      <w:pPr>
        <w:pStyle w:val="FootnoteText"/>
      </w:pPr>
      <w:r>
        <w:rPr>
          <w:rStyle w:val="FootnoteReference"/>
        </w:rPr>
        <w:footnoteRef/>
      </w:r>
      <w:r>
        <w:tab/>
      </w:r>
      <w:r>
        <w:t>ОВ C ,  г., стр. .</w:t>
      </w:r>
    </w:p>
  </w:footnote>
  <w:footnote w:id="10">
    <w:p w:rsidR="00C0119A" w:rsidRDefault="00867678">
      <w:pPr>
        <w:pStyle w:val="FootnoteText"/>
      </w:pPr>
      <w:r>
        <w:rPr>
          <w:rStyle w:val="FootnoteReference"/>
        </w:rPr>
        <w:footnoteRef/>
      </w:r>
      <w:r>
        <w:tab/>
        <w:t>ОВ C ,  г., стр. .</w:t>
      </w:r>
    </w:p>
  </w:footnote>
  <w:footnote w:id="11">
    <w:p w:rsidR="00C0119A" w:rsidRDefault="00867678">
      <w:pPr>
        <w:pStyle w:val="FootnoteText"/>
        <w:rPr>
          <w:szCs w:val="24"/>
        </w:rPr>
      </w:pPr>
      <w:r>
        <w:rPr>
          <w:rStyle w:val="FootnoteReference"/>
        </w:rPr>
        <w:footnoteRef/>
      </w:r>
      <w:r>
        <w:tab/>
        <w:t xml:space="preserve">УД: управление по дейности; БД: </w:t>
      </w:r>
      <w:proofErr w:type="spellStart"/>
      <w:r>
        <w:t>бюджетиране</w:t>
      </w:r>
      <w:proofErr w:type="spellEnd"/>
      <w:r>
        <w:t xml:space="preserve"> по дейности.</w:t>
      </w:r>
    </w:p>
  </w:footnote>
  <w:footnote w:id="12">
    <w:p w:rsidR="00C0119A" w:rsidRDefault="00867678">
      <w:pPr>
        <w:pStyle w:val="FootnoteText"/>
        <w:rPr>
          <w:szCs w:val="24"/>
        </w:rPr>
      </w:pPr>
      <w:r>
        <w:rPr>
          <w:rStyle w:val="FootnoteReference"/>
        </w:rPr>
        <w:footnoteRef/>
      </w:r>
      <w:r>
        <w:tab/>
      </w:r>
      <w:r>
        <w:t>Съгласно член 54, параграф 2, букви а) или б) от Финансовия регламент.</w:t>
      </w:r>
    </w:p>
  </w:footnote>
  <w:footnote w:id="13">
    <w:p w:rsidR="00C0119A" w:rsidRDefault="00867678">
      <w:pPr>
        <w:pStyle w:val="FootnoteText"/>
        <w:rPr>
          <w:szCs w:val="24"/>
        </w:rPr>
      </w:pPr>
      <w:r>
        <w:rPr>
          <w:rStyle w:val="FootnoteReference"/>
        </w:rPr>
        <w:footnoteRef/>
      </w:r>
      <w:r>
        <w:tab/>
      </w:r>
      <w:r>
        <w:t>Подробности във връзк</w:t>
      </w:r>
      <w:r>
        <w:t xml:space="preserve">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3" w:history="1">
        <w:r>
          <w:rPr>
            <w:rStyle w:val="Hyperlink"/>
            <w:sz w:val="18"/>
          </w:rPr>
          <w:t>http://www.cc.cec/budg/man/budgmanag/budgmanag_fr.html</w:t>
        </w:r>
      </w:hyperlink>
    </w:p>
  </w:footnote>
  <w:footnote w:id="14">
    <w:p w:rsidR="00C0119A" w:rsidRDefault="00867678">
      <w:pPr>
        <w:pStyle w:val="FootnoteText"/>
        <w:rPr>
          <w:szCs w:val="24"/>
        </w:rPr>
      </w:pPr>
      <w:r>
        <w:rPr>
          <w:rStyle w:val="FootnoteReference"/>
        </w:rPr>
        <w:footnoteRef/>
      </w:r>
      <w:r>
        <w:tab/>
      </w:r>
      <w:proofErr w:type="spellStart"/>
      <w:r>
        <w:t>Многогод</w:t>
      </w:r>
      <w:proofErr w:type="spellEnd"/>
      <w:r>
        <w:t>. = мног</w:t>
      </w:r>
      <w:r>
        <w:t xml:space="preserve">огодишни бюджетни кредити / </w:t>
      </w:r>
      <w:proofErr w:type="spellStart"/>
      <w:r>
        <w:t>едногод</w:t>
      </w:r>
      <w:proofErr w:type="spellEnd"/>
      <w:r>
        <w:t>. = едногодишни бюджетни кредити.</w:t>
      </w:r>
    </w:p>
  </w:footnote>
  <w:footnote w:id="15">
    <w:p w:rsidR="00C0119A" w:rsidRDefault="00867678">
      <w:pPr>
        <w:pStyle w:val="FootnoteText"/>
        <w:rPr>
          <w:szCs w:val="24"/>
        </w:rPr>
      </w:pPr>
      <w:r>
        <w:rPr>
          <w:rStyle w:val="FootnoteReference"/>
        </w:rPr>
        <w:footnoteRef/>
      </w:r>
      <w:r>
        <w:tab/>
      </w:r>
      <w:r>
        <w:t xml:space="preserve">ЕАСТ: Европейска асоциация за свободна търговия. </w:t>
      </w:r>
    </w:p>
  </w:footnote>
  <w:footnote w:id="16">
    <w:p w:rsidR="00C0119A" w:rsidRDefault="00867678">
      <w:pPr>
        <w:pStyle w:val="FootnoteText"/>
        <w:rPr>
          <w:szCs w:val="24"/>
        </w:rPr>
      </w:pPr>
      <w:r>
        <w:rPr>
          <w:rStyle w:val="FootnoteReference"/>
        </w:rPr>
        <w:footnoteRef/>
      </w:r>
      <w:r>
        <w:tab/>
      </w:r>
      <w:r>
        <w:t>Държави кандидатки и, ако е приложимо, държави потенциални кандидатки от Западните Балкани.</w:t>
      </w:r>
    </w:p>
  </w:footnote>
  <w:footnote w:id="17">
    <w:p w:rsidR="00C0119A" w:rsidRDefault="00867678">
      <w:pPr>
        <w:pStyle w:val="FootnoteText"/>
        <w:rPr>
          <w:szCs w:val="24"/>
        </w:rPr>
      </w:pPr>
      <w:r>
        <w:rPr>
          <w:rStyle w:val="FootnoteReference"/>
        </w:rPr>
        <w:footnoteRef/>
      </w:r>
      <w:r>
        <w:tab/>
      </w:r>
      <w:r>
        <w:t>2016 е годината, през която започва изп</w:t>
      </w:r>
      <w:r>
        <w:t>ълнението на предложението/инициативата.</w:t>
      </w:r>
    </w:p>
  </w:footnote>
  <w:footnote w:id="18">
    <w:p w:rsidR="00C0119A" w:rsidRDefault="00867678">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9">
    <w:p w:rsidR="00C0119A" w:rsidRDefault="00867678">
      <w:pPr>
        <w:pStyle w:val="FootnoteText"/>
        <w:rPr>
          <w:szCs w:val="24"/>
        </w:rPr>
      </w:pPr>
      <w:r>
        <w:rPr>
          <w:rStyle w:val="FootnoteReference"/>
        </w:rPr>
        <w:footnoteRef/>
      </w:r>
      <w:r>
        <w:tab/>
      </w:r>
      <w:r>
        <w:t xml:space="preserve">2016 е годината, през </w:t>
      </w:r>
      <w:r>
        <w:t>която започва изпълнението на предложението/инициативата.</w:t>
      </w:r>
    </w:p>
  </w:footnote>
  <w:footnote w:id="20">
    <w:p w:rsidR="00C0119A" w:rsidRDefault="00867678">
      <w:pPr>
        <w:pStyle w:val="FootnoteText"/>
        <w:rPr>
          <w:szCs w:val="24"/>
        </w:rPr>
      </w:pPr>
      <w:r>
        <w:rPr>
          <w:rStyle w:val="FootnoteReference"/>
        </w:rPr>
        <w:footnoteRef/>
      </w:r>
      <w:r>
        <w:tab/>
      </w:r>
      <w:r>
        <w:t>Резултатите са продуктите и услугите, които ще бъдат доставени (например брой финансирани обмени на учащи се, дължина на построените пътища в километри и т.н.).</w:t>
      </w:r>
    </w:p>
  </w:footnote>
  <w:footnote w:id="21">
    <w:p w:rsidR="00C0119A" w:rsidRDefault="00867678">
      <w:pPr>
        <w:pStyle w:val="FootnoteText"/>
        <w:rPr>
          <w:szCs w:val="24"/>
        </w:rPr>
      </w:pPr>
      <w:r>
        <w:rPr>
          <w:rStyle w:val="FootnoteReference"/>
        </w:rPr>
        <w:footnoteRef/>
      </w:r>
      <w:r>
        <w:tab/>
      </w:r>
      <w:r>
        <w:t>Съгласно описанието в точка 1.4.2</w:t>
      </w:r>
      <w:r>
        <w:t xml:space="preserve">. „Конкретни цели…“. </w:t>
      </w:r>
    </w:p>
  </w:footnote>
  <w:footnote w:id="22">
    <w:p w:rsidR="00C0119A" w:rsidRDefault="00867678">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23">
    <w:p w:rsidR="00C0119A" w:rsidRDefault="00867678">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w:t>
      </w:r>
      <w:r>
        <w:t>и изследвания, преки научни изследвания.</w:t>
      </w:r>
    </w:p>
  </w:footnote>
  <w:footnote w:id="24">
    <w:p w:rsidR="00C0119A" w:rsidRDefault="00867678">
      <w:pPr>
        <w:pStyle w:val="FootnoteText"/>
        <w:rPr>
          <w:szCs w:val="24"/>
        </w:rPr>
      </w:pPr>
      <w:r>
        <w:rPr>
          <w:rStyle w:val="FootnoteReference"/>
        </w:rPr>
        <w:footnoteRef/>
      </w:r>
      <w:r>
        <w:tab/>
      </w:r>
      <w: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5">
    <w:p w:rsidR="00C0119A" w:rsidRDefault="00867678">
      <w:pPr>
        <w:pStyle w:val="FootnoteText"/>
        <w:rPr>
          <w:szCs w:val="24"/>
        </w:rPr>
      </w:pPr>
      <w:r>
        <w:rPr>
          <w:rStyle w:val="FootnoteReference"/>
        </w:rPr>
        <w:footnoteRef/>
      </w:r>
      <w:r>
        <w:tab/>
      </w:r>
      <w:proofErr w:type="spellStart"/>
      <w:r>
        <w:t>Подтаван</w:t>
      </w:r>
      <w:proofErr w:type="spellEnd"/>
      <w:r>
        <w:t xml:space="preserve"> за външния персонал,</w:t>
      </w:r>
      <w:r>
        <w:t xml:space="preserve"> покрит с бюджетните кредити за оперативни разходи (предишни редове BA).</w:t>
      </w:r>
    </w:p>
  </w:footnote>
  <w:footnote w:id="26">
    <w:p w:rsidR="00C0119A" w:rsidRDefault="00867678">
      <w:pPr>
        <w:pStyle w:val="FootnoteText"/>
        <w:rPr>
          <w:szCs w:val="24"/>
        </w:rPr>
      </w:pPr>
      <w:r>
        <w:rPr>
          <w:rStyle w:val="FootnoteReference"/>
        </w:rPr>
        <w:footnoteRef/>
      </w:r>
      <w:r>
        <w:tab/>
      </w:r>
      <w: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w:t>
      </w:r>
      <w:r>
        <w:t>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9A" w:rsidRDefault="00C0119A" w:rsidP="0086767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9A" w:rsidRDefault="00C0119A" w:rsidP="008676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78" w:rsidRPr="00867678" w:rsidRDefault="00867678" w:rsidP="00867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1CB6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43B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4CAA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1879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8038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3"/>
  </w:num>
  <w:num w:numId="18">
    <w:abstractNumId w:val="18"/>
  </w:num>
  <w:num w:numId="19">
    <w:abstractNumId w:val="10"/>
  </w:num>
  <w:num w:numId="20">
    <w:abstractNumId w:val="21"/>
  </w:num>
  <w:num w:numId="21">
    <w:abstractNumId w:val="9"/>
  </w:num>
  <w:num w:numId="22">
    <w:abstractNumId w:val="11"/>
  </w:num>
  <w:num w:numId="23">
    <w:abstractNumId w:val="7"/>
  </w:num>
  <w:num w:numId="24">
    <w:abstractNumId w:val="20"/>
  </w:num>
  <w:num w:numId="25">
    <w:abstractNumId w:val="6"/>
  </w:num>
  <w:num w:numId="26">
    <w:abstractNumId w:val="12"/>
  </w:num>
  <w:num w:numId="27">
    <w:abstractNumId w:val="16"/>
  </w:num>
  <w:num w:numId="28">
    <w:abstractNumId w:val="17"/>
  </w:num>
  <w:num w:numId="29">
    <w:abstractNumId w:val="8"/>
  </w:num>
  <w:num w:numId="30">
    <w:abstractNumId w:val="15"/>
  </w:num>
  <w:num w:numId="31">
    <w:abstractNumId w:val="24"/>
  </w:num>
  <w:num w:numId="32">
    <w:abstractNumId w:val="18"/>
  </w:num>
  <w:num w:numId="33">
    <w:abstractNumId w:val="10"/>
  </w:num>
  <w:num w:numId="34">
    <w:abstractNumId w:val="21"/>
  </w:num>
  <w:num w:numId="35">
    <w:abstractNumId w:val="9"/>
  </w:num>
  <w:num w:numId="36">
    <w:abstractNumId w:val="11"/>
  </w:num>
  <w:num w:numId="37">
    <w:abstractNumId w:val="7"/>
  </w:num>
  <w:num w:numId="38">
    <w:abstractNumId w:val="20"/>
  </w:num>
  <w:num w:numId="39">
    <w:abstractNumId w:val="6"/>
  </w:num>
  <w:num w:numId="40">
    <w:abstractNumId w:val="12"/>
  </w:num>
  <w:num w:numId="41">
    <w:abstractNumId w:val="16"/>
  </w:num>
  <w:num w:numId="42">
    <w:abstractNumId w:val="17"/>
  </w:num>
  <w:num w:numId="43">
    <w:abstractNumId w:val="8"/>
  </w:num>
  <w:num w:numId="44">
    <w:abstractNumId w:val="15"/>
  </w:num>
  <w:num w:numId="4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2 15:43: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7"/>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5"/>
    <w:docVar w:name="DQCStatus" w:val="Yellow"/>
    <w:docVar w:name="DQCVersion" w:val="3"/>
    <w:docVar w:name="DQCWithWarnings" w:val="0"/>
    <w:docVar w:name="LW_CONFIDENCE" w:val=" "/>
    <w:docVar w:name="LW_CONST_RESTREINT_UE" w:val="RESTREINT UE/EU RESTRICTED"/>
    <w:docVar w:name="LW_CORRIGENDUM" w:val="&lt;UNUSED&gt;"/>
    <w:docVar w:name="LW_COVERPAGE_GUID" w:val="25A61D6B3B904AE384B041644EBF88D7"/>
    <w:docVar w:name="LW_CROSSREFERENCE" w:val="&lt;UNUSED&gt;"/>
    <w:docVar w:name="LW_DocType" w:val="COM"/>
    <w:docVar w:name="LW_EMISSION" w:val="28.1.2016"/>
    <w:docVar w:name="LW_EMISSION_ISODATE" w:val="2016-01-28"/>
    <w:docVar w:name="LW_EMISSION_LOCATION" w:val="BRX"/>
    <w:docVar w:name="LW_EMISSION_PREFIX" w:val="\u1041?\u1088?\u1102?\u1082?\u1089?\u1077?\u1083?,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10"/>
    <w:docVar w:name="LW_REF.II.NEW.CP_YEAR" w:val="2016"/>
    <w:docVar w:name="LW_REF.INST.NEW" w:val="COM"/>
    <w:docVar w:name="LW_REF.INST.NEW_ADOPTED" w:val="final"/>
    <w:docVar w:name="LW_REF.INST.NEW_TEXT" w:val="(2016) 2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1/16/\u1045?\u1057? \u1087?\u1086? \u1086?\u1090?\u1085?\u1086?\u1096?\u1077?\u1085?\u1080?\u1077? \u1085?\u1072? \u1079?\u1072?\u1076?\u1098?\u1083?\u1078?\u1080?\u1090?\u1077?\u1083?\u1085?\u1080?\u1103? \u1072?\u1074?\u1090?\u1086?\u1084?\u1072?\u1090?\u1080?\u1095?\u1077?\u1085? \u1086?\u1073?\u1084?\u1077?\u1085? \u1085?\u1072? \u1080?\u1085?\u1092?\u1086?\u1088?\u1084?\u1072?\u1094?\u1080?\u1103? \u1074? \u1086?\u1073?\u1083?\u1072?\u1089?\u1090?\u1090?\u1072? \u1085?\u1072? \u1076?\u1072?\u1085?\u1098?\u1095?\u1085?\u1086?\u1090?\u1086? \u1086?\u1073?\u1083?\u1072?\u1075?\u1072?\u1085?\u1077?"/>
    <w:docVar w:name="LW_TYPE.DOC.CP" w:val="\u1044?\u1048?\u1056?\u1045?\u1050?\u1058?\u1048?\u1042?\u1040? \u1053?\u1040? \u1057?\u1066?\u1042?\u1045?\u1058?\u1040?"/>
  </w:docVars>
  <w:rsids>
    <w:rsidRoot w:val="00C0119A"/>
    <w:rsid w:val="00867678"/>
    <w:rsid w:val="00C0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1">
    <w:name w:val="Tex1"/>
    <w:basedOn w:val="Normal"/>
    <w:pPr>
      <w:pBdr>
        <w:top w:val="single" w:sz="4" w:space="1" w:color="auto"/>
        <w:left w:val="single" w:sz="4" w:space="4" w:color="auto"/>
        <w:bottom w:val="single" w:sz="4" w:space="1" w:color="auto"/>
        <w:right w:val="single" w:sz="4" w:space="4" w:color="auto"/>
      </w:pBdr>
      <w:ind w:left="850"/>
    </w:p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867678"/>
    <w:pPr>
      <w:tabs>
        <w:tab w:val="center" w:pos="4535"/>
        <w:tab w:val="right" w:pos="9071"/>
      </w:tabs>
      <w:spacing w:before="0"/>
    </w:pPr>
  </w:style>
  <w:style w:type="character" w:customStyle="1" w:styleId="HeaderChar">
    <w:name w:val="Header Char"/>
    <w:basedOn w:val="DefaultParagraphFont"/>
    <w:link w:val="Header"/>
    <w:uiPriority w:val="99"/>
    <w:rsid w:val="00867678"/>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767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1">
    <w:name w:val="Tex1"/>
    <w:basedOn w:val="Normal"/>
    <w:pPr>
      <w:pBdr>
        <w:top w:val="single" w:sz="4" w:space="1" w:color="auto"/>
        <w:left w:val="single" w:sz="4" w:space="4" w:color="auto"/>
        <w:bottom w:val="single" w:sz="4" w:space="1" w:color="auto"/>
        <w:right w:val="single" w:sz="4" w:space="4" w:color="auto"/>
      </w:pBdr>
      <w:ind w:left="850"/>
    </w:p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867678"/>
    <w:pPr>
      <w:tabs>
        <w:tab w:val="center" w:pos="4535"/>
        <w:tab w:val="right" w:pos="9071"/>
      </w:tabs>
      <w:spacing w:before="0"/>
    </w:pPr>
  </w:style>
  <w:style w:type="character" w:customStyle="1" w:styleId="HeaderChar">
    <w:name w:val="Header Char"/>
    <w:basedOn w:val="DefaultParagraphFont"/>
    <w:link w:val="Header"/>
    <w:uiPriority w:val="99"/>
    <w:rsid w:val="00867678"/>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767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www.consilium.europa.eu/register/en/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1" Type="http://schemas.openxmlformats.org/officeDocument/2006/relationships/hyperlink" Target="http://ec.europa.eu/priorities/work-programme-2016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57D5-F225-424B-A346-9E7723DA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10017</Words>
  <Characters>59001</Characters>
  <Application>Microsoft Office Word</Application>
  <DocSecurity>0</DocSecurity>
  <Lines>2034</Lines>
  <Paragraphs>896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34</cp:revision>
  <cp:lastPrinted>2016-01-22T09:02:00Z</cp:lastPrinted>
  <dcterms:created xsi:type="dcterms:W3CDTF">2016-01-29T09:15:00Z</dcterms:created>
  <dcterms:modified xsi:type="dcterms:W3CDTF">2016-02-02T14:46:00Z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