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81" w:rsidRDefault="00D30841" w:rsidP="00D3084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2C28AF3231E4FFBBA249E7D30857AAF" style="width:450.7pt;height:397.4pt">
            <v:imagedata r:id="rId12" o:title=""/>
          </v:shape>
        </w:pict>
      </w:r>
    </w:p>
    <w:p w:rsidR="001B6381" w:rsidRDefault="001B6381">
      <w:pPr>
        <w:rPr>
          <w:noProof/>
        </w:rPr>
        <w:sectPr w:rsidR="001B6381" w:rsidSect="00D3084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1B6381" w:rsidRDefault="00D30841" w:rsidP="00D30841">
      <w:pPr>
        <w:pStyle w:val="Typedudocument"/>
        <w:rPr>
          <w:noProof/>
        </w:rPr>
      </w:pPr>
      <w:bookmarkStart w:id="0" w:name="_GoBack"/>
      <w:bookmarkEnd w:id="0"/>
      <w:r w:rsidRPr="00D30841">
        <w:lastRenderedPageBreak/>
        <w:t>ПРИЛОЖЕНИЯ</w:t>
      </w:r>
    </w:p>
    <w:p w:rsidR="001B6381" w:rsidRDefault="00D30841" w:rsidP="00D30841">
      <w:pPr>
        <w:pStyle w:val="Accompagnant"/>
        <w:rPr>
          <w:noProof/>
        </w:rPr>
      </w:pPr>
      <w:r w:rsidRPr="00D30841">
        <w:t>към</w:t>
      </w:r>
    </w:p>
    <w:p w:rsidR="001B6381" w:rsidRDefault="00D30841" w:rsidP="00D30841">
      <w:pPr>
        <w:pStyle w:val="Typeacteprincipal"/>
        <w:rPr>
          <w:noProof/>
        </w:rPr>
      </w:pPr>
      <w:r w:rsidRPr="00D30841">
        <w:t>Предложение за Директива на Съвета</w:t>
      </w:r>
    </w:p>
    <w:p w:rsidR="001B6381" w:rsidRDefault="00D30841" w:rsidP="00D30841">
      <w:pPr>
        <w:pStyle w:val="Objetacteprincipal"/>
        <w:rPr>
          <w:noProof/>
        </w:rPr>
      </w:pPr>
      <w:r w:rsidRPr="00D30841">
        <w:t>за изменение на Директива 2011/16/ЕС по отношение на задължителния автоматичен обмен на информация в областта на данъчното облагане</w:t>
      </w:r>
      <w:r w:rsidRPr="00D30841">
        <w:br/>
      </w:r>
    </w:p>
    <w:p w:rsidR="001B6381" w:rsidRDefault="00D30841">
      <w:pPr>
        <w:spacing w:before="0" w:after="200" w:line="276" w:lineRule="auto"/>
        <w:jc w:val="center"/>
        <w:rPr>
          <w:rFonts w:eastAsia="Calibri"/>
          <w:noProof/>
          <w:szCs w:val="24"/>
        </w:rPr>
      </w:pPr>
      <w:r>
        <w:rPr>
          <w:noProof/>
        </w:rPr>
        <w:t>„ПРИЛОЖЕНИЕ III</w:t>
      </w:r>
    </w:p>
    <w:p w:rsidR="001B6381" w:rsidRDefault="00D30841">
      <w:pPr>
        <w:pStyle w:val="NormalCentered"/>
        <w:rPr>
          <w:noProof/>
        </w:rPr>
      </w:pPr>
      <w:r>
        <w:rPr>
          <w:noProof/>
        </w:rPr>
        <w:t>Правила за отчитане на многонационални „групи“ от предприятия</w:t>
      </w:r>
    </w:p>
    <w:p w:rsidR="001B6381" w:rsidRDefault="001B6381">
      <w:pPr>
        <w:pStyle w:val="NormalCentered"/>
        <w:rPr>
          <w:rFonts w:eastAsia="Calibri"/>
          <w:noProof/>
          <w:szCs w:val="24"/>
        </w:rPr>
      </w:pPr>
    </w:p>
    <w:p w:rsidR="001B6381" w:rsidRDefault="00D30841">
      <w:pPr>
        <w:spacing w:before="0" w:after="200" w:line="276" w:lineRule="auto"/>
        <w:jc w:val="center"/>
        <w:rPr>
          <w:rFonts w:eastAsia="Calibri"/>
          <w:noProof/>
          <w:szCs w:val="24"/>
        </w:rPr>
      </w:pPr>
      <w:r>
        <w:rPr>
          <w:noProof/>
        </w:rPr>
        <w:t>РАЗДЕЛ I</w:t>
      </w:r>
    </w:p>
    <w:p w:rsidR="001B6381" w:rsidRDefault="00D30841">
      <w:pPr>
        <w:spacing w:before="0" w:after="200" w:line="276" w:lineRule="auto"/>
        <w:jc w:val="center"/>
        <w:rPr>
          <w:rFonts w:eastAsia="Calibri"/>
          <w:noProof/>
          <w:szCs w:val="24"/>
        </w:rPr>
      </w:pPr>
      <w:r>
        <w:rPr>
          <w:noProof/>
        </w:rPr>
        <w:t xml:space="preserve">ОПРЕДЕЛЕНИЯ </w:t>
      </w:r>
    </w:p>
    <w:p w:rsidR="001B6381" w:rsidRDefault="00D30841">
      <w:pPr>
        <w:spacing w:before="0" w:after="200" w:line="276" w:lineRule="auto"/>
        <w:rPr>
          <w:rFonts w:eastAsia="Calibri"/>
          <w:noProof/>
          <w:szCs w:val="24"/>
        </w:rPr>
      </w:pPr>
      <w:r>
        <w:rPr>
          <w:noProof/>
        </w:rPr>
        <w:t xml:space="preserve">1. „Група“ означава съвкупност от предприятия, свързани посредством </w:t>
      </w:r>
      <w:r>
        <w:rPr>
          <w:noProof/>
        </w:rPr>
        <w:t>собственост или контрол, така че тя е или длъжна да подготви консолидирани финансови отчети за целите на финансовата отчетност съгласно приложимите счетоводни принципи, или ще бъде длъжна, ако дялове от капитала на някое от предприятията бъдат търгувани на</w:t>
      </w:r>
      <w:r>
        <w:rPr>
          <w:noProof/>
        </w:rPr>
        <w:t xml:space="preserve"> публична фондова борса.</w:t>
      </w:r>
    </w:p>
    <w:p w:rsidR="001B6381" w:rsidRDefault="00D30841">
      <w:pPr>
        <w:spacing w:before="0" w:after="200" w:line="276" w:lineRule="auto"/>
        <w:rPr>
          <w:rFonts w:eastAsia="Calibri"/>
          <w:noProof/>
          <w:szCs w:val="24"/>
        </w:rPr>
      </w:pPr>
      <w:r>
        <w:rPr>
          <w:noProof/>
        </w:rPr>
        <w:t>2. „Предприятие“ означава всяка форма на осъществяване на стопанска дейност от лице, посочено в член 3, точка 11, букви б), в) и г).</w:t>
      </w:r>
    </w:p>
    <w:p w:rsidR="001B6381" w:rsidRDefault="00D30841">
      <w:pPr>
        <w:spacing w:before="0" w:after="200" w:line="276" w:lineRule="auto"/>
        <w:rPr>
          <w:rFonts w:eastAsia="Calibri"/>
          <w:noProof/>
          <w:szCs w:val="24"/>
        </w:rPr>
      </w:pPr>
      <w:r>
        <w:rPr>
          <w:noProof/>
        </w:rPr>
        <w:t>3. „Многонационална група от предприятия (МГП)“  означава група, която включва две или повече пред</w:t>
      </w:r>
      <w:r>
        <w:rPr>
          <w:noProof/>
        </w:rPr>
        <w:t xml:space="preserve">приятия, които са местни лица за данъчни цели на различни юрисдикции, или включват предприятие, което е местно лице за данъчни цели на една юрисдикция, но подлежи на данъчно облагане по отношение на дейността, извършвана чрез място на стопанска дейност, в </w:t>
      </w:r>
      <w:r>
        <w:rPr>
          <w:noProof/>
        </w:rPr>
        <w:t>друга юрисдикция, и не представлява „изключена МГП“.</w:t>
      </w:r>
    </w:p>
    <w:p w:rsidR="001B6381" w:rsidRDefault="00D30841">
      <w:pPr>
        <w:spacing w:before="0" w:after="200" w:line="276" w:lineRule="auto"/>
        <w:rPr>
          <w:rFonts w:eastAsia="Calibri"/>
          <w:noProof/>
          <w:szCs w:val="24"/>
        </w:rPr>
      </w:pPr>
      <w:r>
        <w:rPr>
          <w:noProof/>
        </w:rPr>
        <w:t>4. „Изключена МГП“ означава, по отношение на всяка „финансова година на групата“, „група“, която има общи консолидирани приходи на групата в размер до 750 000 000 EUR или сума в местна валута, която е пр</w:t>
      </w:r>
      <w:r>
        <w:rPr>
          <w:noProof/>
        </w:rPr>
        <w:t>иблизително равна на 750 000 000 EUR  към януари 2015 г. на „финансовата година“, непосредствено предшестваща „отчетната финансова година“, както е отразено в нейните „консолидирани финансови отчети“ за предходната „финансова година“.</w:t>
      </w:r>
    </w:p>
    <w:p w:rsidR="001B6381" w:rsidRDefault="00D30841">
      <w:pPr>
        <w:spacing w:before="0" w:after="200" w:line="276" w:lineRule="auto"/>
        <w:rPr>
          <w:rFonts w:eastAsia="Calibri"/>
          <w:noProof/>
          <w:szCs w:val="24"/>
        </w:rPr>
      </w:pPr>
      <w:r>
        <w:rPr>
          <w:noProof/>
        </w:rPr>
        <w:t>5. „Съставна единица“</w:t>
      </w:r>
      <w:r>
        <w:rPr>
          <w:noProof/>
        </w:rPr>
        <w:t xml:space="preserve"> означава някое от следните:</w:t>
      </w:r>
    </w:p>
    <w:p w:rsidR="001B6381" w:rsidRDefault="00D30841">
      <w:pPr>
        <w:spacing w:before="0" w:after="200" w:line="276" w:lineRule="auto"/>
        <w:rPr>
          <w:rFonts w:eastAsia="Calibri"/>
          <w:noProof/>
          <w:szCs w:val="24"/>
        </w:rPr>
      </w:pPr>
      <w:r>
        <w:rPr>
          <w:noProof/>
        </w:rPr>
        <w:t>а) всяка отделна стопанска единица на „МГП“, която е включена в „консолидираните финансови отчети“ на „МГП“ за целите на финансовото отчитане, или която ще бъде включена, ако дялове от капитала на такава стопанска единица на „М</w:t>
      </w:r>
      <w:r>
        <w:rPr>
          <w:noProof/>
        </w:rPr>
        <w:t xml:space="preserve">ГП“ бъдат търгувани на публична фондова борса; </w:t>
      </w:r>
    </w:p>
    <w:p w:rsidR="001B6381" w:rsidRDefault="00D30841">
      <w:pPr>
        <w:spacing w:before="0" w:after="200" w:line="276" w:lineRule="auto"/>
        <w:rPr>
          <w:rFonts w:eastAsia="Calibri"/>
          <w:noProof/>
          <w:szCs w:val="24"/>
        </w:rPr>
      </w:pPr>
      <w:r>
        <w:rPr>
          <w:noProof/>
        </w:rPr>
        <w:lastRenderedPageBreak/>
        <w:t xml:space="preserve">б) всяка такава стопанска единица, която е изключена от „консолидираните финансови отчети“ на „МГП“ само на основание размер или същественост; </w:t>
      </w:r>
    </w:p>
    <w:p w:rsidR="001B6381" w:rsidRDefault="00D30841">
      <w:pPr>
        <w:spacing w:before="0" w:after="200" w:line="276" w:lineRule="auto"/>
        <w:rPr>
          <w:rFonts w:eastAsia="Calibri"/>
          <w:noProof/>
          <w:szCs w:val="24"/>
        </w:rPr>
      </w:pPr>
      <w:r>
        <w:rPr>
          <w:noProof/>
        </w:rPr>
        <w:t>в) всяко място на стопанска дейност на всяка отделна стопанска е</w:t>
      </w:r>
      <w:r>
        <w:rPr>
          <w:noProof/>
        </w:rPr>
        <w:t>диница на „МГП“, спадаща към буква а) или буква б), ако стопанската единица изготвя отделен финансов отчет за това място на стопанска дейност за целите на финансовото отчитане, за регулаторни цели, данъчно отчитане или във връзка с вътрешното управление.</w:t>
      </w:r>
    </w:p>
    <w:p w:rsidR="001B6381" w:rsidRDefault="00D30841">
      <w:pPr>
        <w:spacing w:before="0" w:after="200" w:line="276" w:lineRule="auto"/>
        <w:rPr>
          <w:rFonts w:eastAsia="Calibri"/>
          <w:noProof/>
          <w:szCs w:val="24"/>
        </w:rPr>
      </w:pPr>
      <w:r>
        <w:rPr>
          <w:noProof/>
        </w:rPr>
        <w:t>6</w:t>
      </w:r>
      <w:r>
        <w:rPr>
          <w:noProof/>
        </w:rPr>
        <w:t xml:space="preserve">. „Отчитащо се предприятие“ означава „съставната единица“, от която се изисква да представи отчет по държави в съответствие с изискванията на член 8аа, параграф 3 в юрисдикцията, на която тя е местно лице за данъчни цели, от името на „МГП“. „Отчитащото се </w:t>
      </w:r>
      <w:r>
        <w:rPr>
          <w:noProof/>
        </w:rPr>
        <w:t>предприятие“ може да е „крайното предприятие майка“, „заместващото предприятие майка“ или всяко предприятие, посочено в раздел II, точка 1.</w:t>
      </w:r>
    </w:p>
    <w:p w:rsidR="001B6381" w:rsidRDefault="00D30841">
      <w:pPr>
        <w:spacing w:before="0" w:after="200" w:line="276" w:lineRule="auto"/>
        <w:rPr>
          <w:rFonts w:eastAsia="Calibri"/>
          <w:noProof/>
          <w:szCs w:val="24"/>
        </w:rPr>
      </w:pPr>
      <w:r>
        <w:rPr>
          <w:noProof/>
        </w:rPr>
        <w:t>7. „Крайно предприятие майка“ означава „съставна единица“ на „МГП“, която отговаря на следните критерии:</w:t>
      </w:r>
    </w:p>
    <w:p w:rsidR="001B6381" w:rsidRDefault="00D30841">
      <w:pPr>
        <w:spacing w:before="0" w:after="200" w:line="276" w:lineRule="auto"/>
        <w:rPr>
          <w:rFonts w:eastAsia="Calibri"/>
          <w:noProof/>
          <w:szCs w:val="24"/>
        </w:rPr>
      </w:pPr>
      <w:r>
        <w:rPr>
          <w:noProof/>
        </w:rPr>
        <w:t>а) пряко ил</w:t>
      </w:r>
      <w:r>
        <w:rPr>
          <w:noProof/>
        </w:rPr>
        <w:t>и косвено притежава достатъчен дял в една или повече други „съставни единици“ на  „МГП“, така че да е длъжна да изготвя „консолидирани финансови отчети“ съгласно счетоводните принципи, прилагани по принцип в юрисдикцията, на която тя е местно лице за данъч</w:t>
      </w:r>
      <w:r>
        <w:rPr>
          <w:noProof/>
        </w:rPr>
        <w:t xml:space="preserve">ни цели, или която ще бъде длъжна, ако нейните дялове от капитала бъдат търгувани на публична фондова борса в юрисдикцията, на която тя е местно лице за данъчни цели; </w:t>
      </w:r>
    </w:p>
    <w:p w:rsidR="001B6381" w:rsidRDefault="00D30841">
      <w:pPr>
        <w:spacing w:before="0" w:after="200" w:line="276" w:lineRule="auto"/>
        <w:rPr>
          <w:rFonts w:eastAsia="Calibri"/>
          <w:noProof/>
          <w:szCs w:val="24"/>
        </w:rPr>
      </w:pPr>
      <w:r>
        <w:rPr>
          <w:noProof/>
        </w:rPr>
        <w:t xml:space="preserve">б) няма друга „съставна единица“ на тази „МГП“, която притежава пряко или косвено дела, </w:t>
      </w:r>
      <w:r>
        <w:rPr>
          <w:noProof/>
        </w:rPr>
        <w:t>описан в буква а), в посочената първа съставна единица.</w:t>
      </w:r>
    </w:p>
    <w:p w:rsidR="001B6381" w:rsidRDefault="00D30841">
      <w:pPr>
        <w:spacing w:before="0" w:after="200" w:line="276" w:lineRule="auto"/>
        <w:rPr>
          <w:rFonts w:eastAsia="Calibri"/>
          <w:noProof/>
          <w:szCs w:val="24"/>
        </w:rPr>
      </w:pPr>
      <w:r>
        <w:rPr>
          <w:noProof/>
        </w:rPr>
        <w:t>8. „Заместващо предприятие майка“ означава „съставна единица“ на „МГП“, която е била определена от тази „МГП“ като единствен заместник на „крайното предприятие майка“ при предоставянето на отчета по д</w:t>
      </w:r>
      <w:r>
        <w:rPr>
          <w:noProof/>
        </w:rPr>
        <w:t>ържави в юрисдикцията, на която „съставната единица“ е местно лице за данъчни цели, от името на „МГП“, когато са изпълнени едно или повече от условията, посочени в  раздел II, точка 1.</w:t>
      </w:r>
    </w:p>
    <w:p w:rsidR="001B6381" w:rsidRDefault="00D30841">
      <w:pPr>
        <w:spacing w:before="0" w:after="200" w:line="276" w:lineRule="auto"/>
        <w:rPr>
          <w:rFonts w:eastAsia="Calibri"/>
          <w:noProof/>
          <w:szCs w:val="24"/>
        </w:rPr>
      </w:pPr>
      <w:r>
        <w:rPr>
          <w:noProof/>
        </w:rPr>
        <w:t xml:space="preserve">9. „Финансова година“ означава годишен счетоводен период, по отношение </w:t>
      </w:r>
      <w:r>
        <w:rPr>
          <w:noProof/>
        </w:rPr>
        <w:t>на който „крайното предприятие майка“ от „МГП“ изготвя своите финансови отчети.</w:t>
      </w:r>
    </w:p>
    <w:p w:rsidR="001B6381" w:rsidRDefault="00D30841">
      <w:pPr>
        <w:spacing w:before="0" w:after="200" w:line="276" w:lineRule="auto"/>
        <w:rPr>
          <w:rFonts w:eastAsia="Calibri"/>
          <w:noProof/>
          <w:szCs w:val="24"/>
        </w:rPr>
      </w:pPr>
      <w:r>
        <w:rPr>
          <w:noProof/>
        </w:rPr>
        <w:t>10. „Отчетна финансова година“ означава финансовата година, за която финансовите и оперативните резултати са отразени в отчета по държави, посочен в член 8аа, параграф 3.</w:t>
      </w:r>
    </w:p>
    <w:p w:rsidR="001B6381" w:rsidRDefault="00D30841">
      <w:pPr>
        <w:spacing w:before="0" w:after="200" w:line="276" w:lineRule="auto"/>
        <w:rPr>
          <w:rFonts w:eastAsia="Calibri"/>
          <w:noProof/>
          <w:szCs w:val="24"/>
        </w:rPr>
      </w:pPr>
      <w:r>
        <w:rPr>
          <w:noProof/>
        </w:rPr>
        <w:t>11. „</w:t>
      </w:r>
      <w:r>
        <w:rPr>
          <w:noProof/>
        </w:rPr>
        <w:t>Отговарящо на условията споразумение между компетентните органи“ означава споразумение, което е сключено между упълномощени представители на държава — членка на ЕС, и на юрисдикции извън Съюза, които са страни по „международно споразумение“, и по силата на</w:t>
      </w:r>
      <w:r>
        <w:rPr>
          <w:noProof/>
        </w:rPr>
        <w:t xml:space="preserve"> което се изисква автоматичен обмен на отчетите по държави между юрисдикциите, които са страни по него.</w:t>
      </w:r>
    </w:p>
    <w:p w:rsidR="001B6381" w:rsidRDefault="00D30841">
      <w:pPr>
        <w:spacing w:before="0" w:after="200" w:line="276" w:lineRule="auto"/>
        <w:rPr>
          <w:rFonts w:eastAsia="Calibri"/>
          <w:noProof/>
          <w:szCs w:val="24"/>
        </w:rPr>
      </w:pPr>
      <w:r>
        <w:rPr>
          <w:noProof/>
        </w:rPr>
        <w:t>12. „Международно споразумение“ означава „многостранна спогодба за административна взаимопомощ в областта на данъчното облагане“, всяка двустранна или м</w:t>
      </w:r>
      <w:r>
        <w:rPr>
          <w:noProof/>
        </w:rPr>
        <w:t>ногостранна „данъчна конвенция“ или всяко „споразумение за обмен на информация по данъчни въпроси“, по които държавата членка е страна и чиито разпоредби предоставят законови правомощия за обмен на данъчна информация между юрисдикции, в това число за автом</w:t>
      </w:r>
      <w:r>
        <w:rPr>
          <w:noProof/>
        </w:rPr>
        <w:t>атичен обмен на такава информация.</w:t>
      </w:r>
    </w:p>
    <w:p w:rsidR="001B6381" w:rsidRDefault="00D30841">
      <w:pPr>
        <w:spacing w:before="0" w:after="200" w:line="276" w:lineRule="auto"/>
        <w:rPr>
          <w:rFonts w:eastAsia="Calibri"/>
          <w:noProof/>
          <w:szCs w:val="24"/>
        </w:rPr>
      </w:pPr>
      <w:r>
        <w:rPr>
          <w:noProof/>
        </w:rPr>
        <w:t xml:space="preserve">13. „Консолидирани финансови отчети“ означава финансовите отчети на „МГП“, в които активите, пасивите, приходите, разходите и паричните потоци на „крайното предприятие майка“ и на „съставните единици“ са представени като </w:t>
      </w:r>
      <w:r>
        <w:rPr>
          <w:noProof/>
        </w:rPr>
        <w:t>такива на един стопански субект.</w:t>
      </w:r>
    </w:p>
    <w:p w:rsidR="001B6381" w:rsidRDefault="00D30841">
      <w:pPr>
        <w:spacing w:before="0" w:after="200" w:line="276" w:lineRule="auto"/>
        <w:rPr>
          <w:rFonts w:eastAsia="Calibri"/>
          <w:noProof/>
          <w:szCs w:val="24"/>
        </w:rPr>
      </w:pPr>
      <w:r>
        <w:rPr>
          <w:noProof/>
        </w:rPr>
        <w:t>14.</w:t>
      </w:r>
      <w:r>
        <w:rPr>
          <w:noProof/>
        </w:rPr>
        <w:tab/>
        <w:t xml:space="preserve">Понятието „провал на системата“ се прилага само по отношение на юрисдикции извън Съюза и означава, че дадена юрисдикция има действащо „отговарящо на условията споразумение между компетентните органи“ с държава — членка </w:t>
      </w:r>
      <w:r>
        <w:rPr>
          <w:noProof/>
        </w:rPr>
        <w:t>на ЕС, но е спряла автоматичния обмен (поради причини, различни от съответстващите на условията на това споразумение) или по друг начин редовно не предоставя автоматично на държава членка отчетите по държави, с които разполага, за „МГП“, които имат „състав</w:t>
      </w:r>
      <w:r>
        <w:rPr>
          <w:noProof/>
        </w:rPr>
        <w:t>ни единици“ в тази държава членка.</w:t>
      </w:r>
    </w:p>
    <w:p w:rsidR="001B6381" w:rsidRDefault="001B6381">
      <w:pPr>
        <w:spacing w:before="0" w:after="200" w:line="276" w:lineRule="auto"/>
        <w:jc w:val="center"/>
        <w:rPr>
          <w:rFonts w:eastAsia="Calibri"/>
          <w:noProof/>
          <w:szCs w:val="24"/>
        </w:rPr>
      </w:pPr>
    </w:p>
    <w:p w:rsidR="001B6381" w:rsidRDefault="00D30841">
      <w:pPr>
        <w:spacing w:before="0" w:after="200" w:line="276" w:lineRule="auto"/>
        <w:jc w:val="center"/>
        <w:rPr>
          <w:rFonts w:eastAsia="Calibri"/>
          <w:noProof/>
          <w:szCs w:val="24"/>
        </w:rPr>
      </w:pPr>
      <w:r>
        <w:rPr>
          <w:noProof/>
        </w:rPr>
        <w:t>РАЗДЕЛ II</w:t>
      </w:r>
    </w:p>
    <w:p w:rsidR="001B6381" w:rsidRDefault="00D30841">
      <w:pPr>
        <w:spacing w:before="0" w:after="200" w:line="276" w:lineRule="auto"/>
        <w:jc w:val="center"/>
        <w:rPr>
          <w:rFonts w:eastAsia="Calibri"/>
          <w:noProof/>
          <w:szCs w:val="24"/>
        </w:rPr>
      </w:pPr>
      <w:r>
        <w:rPr>
          <w:noProof/>
        </w:rPr>
        <w:t>ОБЩИ ИЗИСКВАНИЯ ЗА ОТЧИТАНЕ</w:t>
      </w:r>
    </w:p>
    <w:p w:rsidR="001B6381" w:rsidRDefault="00D30841">
      <w:pPr>
        <w:spacing w:before="0" w:after="200" w:line="276" w:lineRule="auto"/>
        <w:ind w:left="57"/>
        <w:rPr>
          <w:rFonts w:eastAsia="Calibri"/>
          <w:noProof/>
          <w:szCs w:val="24"/>
        </w:rPr>
      </w:pPr>
      <w:r>
        <w:rPr>
          <w:noProof/>
        </w:rPr>
        <w:t xml:space="preserve">1. „Съставна единица“, която е местно лице на държава членка и която не е „крайното предприятие майка“ на „МГП“, подава отчет по държави за „отчетната финансова година“ на „МГП“, на </w:t>
      </w:r>
      <w:r>
        <w:rPr>
          <w:noProof/>
        </w:rPr>
        <w:t>която е „съставна единица“, ако са удовлетворени следните критерии:</w:t>
      </w:r>
    </w:p>
    <w:p w:rsidR="001B6381" w:rsidRDefault="00D30841">
      <w:pPr>
        <w:pStyle w:val="Point0"/>
        <w:rPr>
          <w:noProof/>
        </w:rPr>
      </w:pPr>
      <w:bookmarkStart w:id="1" w:name="DQPStarAt1DQPStarAt34CCCDB945D64CBEAE514"/>
      <w:r>
        <w:rPr>
          <w:noProof/>
        </w:rPr>
        <w:t>а)</w:t>
      </w:r>
      <w:r>
        <w:rPr>
          <w:noProof/>
        </w:rPr>
        <w:tab/>
        <w:t xml:space="preserve">единицата е местно лице за данъчни цели на дадена държава членка; </w:t>
      </w:r>
    </w:p>
    <w:bookmarkEnd w:id="1"/>
    <w:p w:rsidR="001B6381" w:rsidRDefault="00D30841">
      <w:pPr>
        <w:pStyle w:val="Point0"/>
        <w:rPr>
          <w:noProof/>
        </w:rPr>
      </w:pPr>
      <w:r>
        <w:rPr>
          <w:noProof/>
        </w:rPr>
        <w:t>б)</w:t>
      </w:r>
      <w:r>
        <w:rPr>
          <w:noProof/>
        </w:rPr>
        <w:tab/>
        <w:t>изпълнено е едно от следните условия:</w:t>
      </w:r>
    </w:p>
    <w:p w:rsidR="001B6381" w:rsidRDefault="00D30841">
      <w:pPr>
        <w:ind w:left="777" w:hanging="720"/>
        <w:rPr>
          <w:noProof/>
        </w:rPr>
      </w:pPr>
      <w:bookmarkStart w:id="2" w:name="DQPStarAt1DQPStarAt19D641DD0B944204AFCBF"/>
      <w:r>
        <w:rPr>
          <w:noProof/>
        </w:rPr>
        <w:t>i.</w:t>
      </w:r>
      <w:r>
        <w:rPr>
          <w:noProof/>
        </w:rPr>
        <w:tab/>
      </w:r>
      <w:r>
        <w:rPr>
          <w:noProof/>
        </w:rPr>
        <w:t xml:space="preserve">„крайното предприятие майка“ на „МГП“ не е задължено да подава отчет по държави в юрисдикцията, на която е местно лице за данъчни цели; </w:t>
      </w:r>
    </w:p>
    <w:p w:rsidR="001B6381" w:rsidRDefault="00D30841">
      <w:pPr>
        <w:ind w:left="777" w:hanging="720"/>
        <w:rPr>
          <w:noProof/>
        </w:rPr>
      </w:pPr>
      <w:r>
        <w:rPr>
          <w:noProof/>
        </w:rPr>
        <w:t>ii.</w:t>
      </w:r>
      <w:r>
        <w:rPr>
          <w:noProof/>
        </w:rPr>
        <w:tab/>
        <w:t>юрисдикцията, на която „крайното предприятие майка“ е местно лице за данъчни цели, има действащо „международно спор</w:t>
      </w:r>
      <w:r>
        <w:rPr>
          <w:noProof/>
        </w:rPr>
        <w:t>азумение“, по което държавата членка е страна, но към момента за подаване на отчет по държави за отчетната финансова година, посочен в член 8аа, параграф 1,  няма действащо „отговарящо на условията споразумение между компетентните органи“, по  което държав</w:t>
      </w:r>
      <w:r>
        <w:rPr>
          <w:noProof/>
        </w:rPr>
        <w:t xml:space="preserve">ата членка да е страна; </w:t>
      </w:r>
    </w:p>
    <w:bookmarkEnd w:id="2"/>
    <w:p w:rsidR="001B6381" w:rsidRDefault="00D30841">
      <w:pPr>
        <w:ind w:left="777" w:hanging="720"/>
        <w:rPr>
          <w:noProof/>
        </w:rPr>
      </w:pPr>
      <w:r>
        <w:rPr>
          <w:noProof/>
        </w:rPr>
        <w:t>iii.</w:t>
      </w:r>
      <w:r>
        <w:rPr>
          <w:noProof/>
        </w:rPr>
        <w:tab/>
        <w:t>налице е „провал на системата“ в юрисдикцията, на която „крайното предприятие майка“ е местно лице за данъчни цели, за което държавата членка е уведомила „съставната единица“, която е местно лице за данъчни цели на държавата ч</w:t>
      </w:r>
      <w:r>
        <w:rPr>
          <w:noProof/>
        </w:rPr>
        <w:t>ленка.</w:t>
      </w:r>
    </w:p>
    <w:p w:rsidR="001B6381" w:rsidRDefault="00D30841">
      <w:pPr>
        <w:spacing w:before="0" w:after="200" w:line="276" w:lineRule="auto"/>
        <w:rPr>
          <w:rFonts w:eastAsia="Calibri"/>
          <w:noProof/>
          <w:szCs w:val="24"/>
        </w:rPr>
      </w:pPr>
      <w:r>
        <w:rPr>
          <w:noProof/>
        </w:rPr>
        <w:t>При наличие на няколко „съставни единици“ на една и съща „МГП“, които са местни лица за данъчни цели на Съюза, и когато са изпълнени едно или няколко от условията, посочени в буква б), „МГП“ може да натовари една от тези „съставни единици“ със задач</w:t>
      </w:r>
      <w:r>
        <w:rPr>
          <w:noProof/>
        </w:rPr>
        <w:t>ата да представи отчета по държави в съответствие с изискванията на член 8аа, параграф 1 по отношение на всяка „отчетна финансова година“ на или преди датата, посочена в член 8аа, параграф 1, и да уведоми държавата членка, че подаването на отчета е предназ</w:t>
      </w:r>
      <w:r>
        <w:rPr>
          <w:noProof/>
        </w:rPr>
        <w:t>начено да отговори на изискването за подаване, приложимо спрямо всички „съставни единици“ на съответната „МГП“, които са местни лица за данъчни цели на Съюза. Тази държава членка в съответствие с член 8аа, параграф 2 предоставя получения отчет по държави н</w:t>
      </w:r>
      <w:r>
        <w:rPr>
          <w:noProof/>
        </w:rPr>
        <w:t xml:space="preserve">а всяка друга държава членка, в която, въз основа на информацията от отчета по държави, една или повече „съставни единици“ на „МГП“ на „отчитащото се предприятие“ са или местни лица за данъчни цели, или обект на данъчно облагане по отношение на дейността, </w:t>
      </w:r>
      <w:r>
        <w:rPr>
          <w:noProof/>
        </w:rPr>
        <w:t>извършвана чрез място на стопанска дейност.</w:t>
      </w:r>
    </w:p>
    <w:p w:rsidR="001B6381" w:rsidRDefault="00D30841">
      <w:pPr>
        <w:spacing w:before="0" w:after="200" w:line="276" w:lineRule="auto"/>
        <w:rPr>
          <w:rFonts w:eastAsia="Calibri"/>
          <w:noProof/>
          <w:szCs w:val="24"/>
        </w:rPr>
      </w:pPr>
      <w:r>
        <w:rPr>
          <w:noProof/>
        </w:rPr>
        <w:t>2. Чрез дерогация от точка 1, когато са изпълнени едно или повече от условията на точка 1, буква б), от предприятие, посочено в точка 1, не се изисква да представя отчет по държави за дадена „отчетна финансова го</w:t>
      </w:r>
      <w:r>
        <w:rPr>
          <w:noProof/>
        </w:rPr>
        <w:t>дина“, ако „МГП“, на която то е „съставна единица“, е предоставила отчет по държави в съответствие с член 8аа, параграф 3 за същата финансова година чрез „заместващо предприятие майка“, което подава този отчет по държави пред данъчните органи на юрисдикция</w:t>
      </w:r>
      <w:r>
        <w:rPr>
          <w:noProof/>
        </w:rPr>
        <w:t>та, на която е местно лице за данъчни цели, на или преди датата, посочена в член 8аа, параграф 1, и когато, в случай че „заместващото предприятие майка“ е местно лице за данъчни цели на дадена юрисдикция извън Съюза, то отговаря на следните условия:</w:t>
      </w:r>
    </w:p>
    <w:p w:rsidR="001B6381" w:rsidRDefault="00D30841">
      <w:pPr>
        <w:spacing w:before="0" w:after="200" w:line="276" w:lineRule="auto"/>
        <w:rPr>
          <w:rFonts w:eastAsia="Calibri"/>
          <w:noProof/>
          <w:szCs w:val="24"/>
        </w:rPr>
      </w:pPr>
      <w:r>
        <w:rPr>
          <w:noProof/>
        </w:rPr>
        <w:t>a)</w:t>
      </w:r>
      <w:r>
        <w:rPr>
          <w:noProof/>
        </w:rPr>
        <w:tab/>
        <w:t>юри</w:t>
      </w:r>
      <w:r>
        <w:rPr>
          <w:noProof/>
        </w:rPr>
        <w:t>сдикцията, на която „заместващото предприятие майка“ е местно лице за данъчни цели, изисква подаване на отчети по държави в съответствие с изискванията на член 8аа, параграф 3;</w:t>
      </w:r>
    </w:p>
    <w:p w:rsidR="001B6381" w:rsidRDefault="00D30841">
      <w:pPr>
        <w:spacing w:before="0" w:after="200" w:line="276" w:lineRule="auto"/>
        <w:rPr>
          <w:rFonts w:eastAsia="Calibri"/>
          <w:noProof/>
          <w:szCs w:val="24"/>
        </w:rPr>
      </w:pPr>
      <w:r>
        <w:rPr>
          <w:noProof/>
        </w:rPr>
        <w:t>б)</w:t>
      </w:r>
      <w:r>
        <w:rPr>
          <w:noProof/>
        </w:rPr>
        <w:tab/>
        <w:t>юрисдикцията, на която „заместващото предприятие майка“ е местно лице за дан</w:t>
      </w:r>
      <w:r>
        <w:rPr>
          <w:noProof/>
        </w:rPr>
        <w:t>ъчни цели, има действащо „отговарящо на условията споразумение между компетентните органи“, по което държавата членка е страна към момента за подаване на отчет по държави за „отчетната финансова година“, посочен в член 8аа, параграф 1;</w:t>
      </w:r>
    </w:p>
    <w:p w:rsidR="001B6381" w:rsidRDefault="00D30841">
      <w:pPr>
        <w:spacing w:before="0" w:after="200" w:line="276" w:lineRule="auto"/>
        <w:rPr>
          <w:rFonts w:eastAsia="Calibri"/>
          <w:noProof/>
          <w:szCs w:val="24"/>
        </w:rPr>
      </w:pPr>
      <w:r>
        <w:rPr>
          <w:noProof/>
        </w:rPr>
        <w:t>в)</w:t>
      </w:r>
      <w:r>
        <w:rPr>
          <w:noProof/>
        </w:rPr>
        <w:tab/>
        <w:t xml:space="preserve">юрисдикцията, на </w:t>
      </w:r>
      <w:r>
        <w:rPr>
          <w:noProof/>
        </w:rPr>
        <w:t>която „заместващото предприятие майка“ е местно лице за данъчни цели, не е уведомила държавата членка за „провал на системата“;</w:t>
      </w:r>
    </w:p>
    <w:p w:rsidR="001B6381" w:rsidRDefault="00D30841">
      <w:pPr>
        <w:spacing w:before="0" w:after="200" w:line="276" w:lineRule="auto"/>
        <w:rPr>
          <w:rFonts w:eastAsia="Calibri"/>
          <w:noProof/>
          <w:szCs w:val="24"/>
        </w:rPr>
      </w:pPr>
      <w:r>
        <w:rPr>
          <w:noProof/>
        </w:rPr>
        <w:t>г)</w:t>
      </w:r>
      <w:r>
        <w:rPr>
          <w:noProof/>
        </w:rPr>
        <w:tab/>
        <w:t>юрисдикцията, на която „заместващото предприятие майка“ е местно лице за данъчни цели, е била уведомена в съответствие с точк</w:t>
      </w:r>
      <w:r>
        <w:rPr>
          <w:noProof/>
        </w:rPr>
        <w:t xml:space="preserve">а 3 от „съставната единица“, която е нейно местно лице за данъчни цели, че последната е „заместващото предприятие майка“; </w:t>
      </w:r>
    </w:p>
    <w:p w:rsidR="001B6381" w:rsidRDefault="00D30841">
      <w:pPr>
        <w:spacing w:before="0" w:after="200" w:line="276" w:lineRule="auto"/>
        <w:rPr>
          <w:rFonts w:eastAsia="Calibri"/>
          <w:noProof/>
          <w:szCs w:val="24"/>
        </w:rPr>
      </w:pPr>
      <w:r>
        <w:rPr>
          <w:noProof/>
        </w:rPr>
        <w:t>д)</w:t>
      </w:r>
      <w:r>
        <w:rPr>
          <w:noProof/>
        </w:rPr>
        <w:tab/>
        <w:t>държавата членка е получила уведомление в съответствие с точка 4.</w:t>
      </w:r>
    </w:p>
    <w:p w:rsidR="001B6381" w:rsidRDefault="001B6381">
      <w:pPr>
        <w:spacing w:before="0" w:after="200" w:line="276" w:lineRule="auto"/>
        <w:rPr>
          <w:rFonts w:eastAsia="Calibri"/>
          <w:noProof/>
          <w:szCs w:val="24"/>
        </w:rPr>
      </w:pPr>
    </w:p>
    <w:p w:rsidR="001B6381" w:rsidRDefault="00D30841">
      <w:pPr>
        <w:spacing w:before="0" w:after="200" w:line="276" w:lineRule="auto"/>
        <w:rPr>
          <w:rFonts w:eastAsia="Calibri"/>
          <w:noProof/>
          <w:szCs w:val="24"/>
        </w:rPr>
      </w:pPr>
      <w:r>
        <w:rPr>
          <w:noProof/>
        </w:rPr>
        <w:t>3. Държавите членки изискват всяка „съставна единица“ на „МГП“,</w:t>
      </w:r>
      <w:r>
        <w:rPr>
          <w:noProof/>
        </w:rPr>
        <w:t xml:space="preserve"> която е местно лице за данъчни цели на една държава членка, да уведомява тази държава членка дали представлява „крайно предприятие майка“, „заместващо предприятие майка“ или „съставна единица“ по точка 1 не по-късно от последния ден на „отчетната финансов</w:t>
      </w:r>
      <w:r>
        <w:rPr>
          <w:noProof/>
        </w:rPr>
        <w:t>а година“ на тази „МГП“.</w:t>
      </w:r>
    </w:p>
    <w:p w:rsidR="001B6381" w:rsidRDefault="00D30841">
      <w:pPr>
        <w:spacing w:before="0" w:after="200" w:line="276" w:lineRule="auto"/>
        <w:rPr>
          <w:rFonts w:eastAsia="Calibri"/>
          <w:noProof/>
          <w:szCs w:val="24"/>
        </w:rPr>
      </w:pPr>
      <w:r>
        <w:rPr>
          <w:noProof/>
        </w:rPr>
        <w:t>4. Държавите членки изискват, когато „съставна единица“ на „МГП“, която е местно лице за данъчни цели на една държава членка, но не е „крайно предприятие майка“, нито „заместващо предприятие майка“, нито „съставна единица“ по точка</w:t>
      </w:r>
      <w:r>
        <w:rPr>
          <w:noProof/>
        </w:rPr>
        <w:t xml:space="preserve"> 1, тя да уведомява държавата членка относно идентичността и мястото, където „отчитащото се  предприятие“ е местно лице за данъчни цели, не по-късно от последния ден на „отчетната финансова година“ на „МГП“.</w:t>
      </w:r>
    </w:p>
    <w:p w:rsidR="001B6381" w:rsidRDefault="00D30841">
      <w:pPr>
        <w:spacing w:before="0" w:after="200" w:line="276" w:lineRule="auto"/>
        <w:rPr>
          <w:rFonts w:eastAsia="Calibri"/>
          <w:noProof/>
          <w:szCs w:val="24"/>
        </w:rPr>
      </w:pPr>
      <w:r>
        <w:rPr>
          <w:noProof/>
        </w:rPr>
        <w:t>5. В отчета по държави трябва да се посочи валут</w:t>
      </w:r>
      <w:r>
        <w:rPr>
          <w:noProof/>
        </w:rPr>
        <w:t>ата на сумите, посочени в този отчет.</w:t>
      </w:r>
    </w:p>
    <w:p w:rsidR="001B6381" w:rsidRDefault="00D30841">
      <w:pPr>
        <w:spacing w:before="0" w:after="200" w:line="276" w:lineRule="auto"/>
        <w:jc w:val="left"/>
        <w:rPr>
          <w:rFonts w:eastAsia="Times New Roman"/>
          <w:b/>
          <w:smallCaps/>
          <w:noProof/>
          <w:sz w:val="28"/>
          <w:szCs w:val="24"/>
        </w:rPr>
      </w:pPr>
      <w:r>
        <w:rPr>
          <w:noProof/>
        </w:rPr>
        <w:br w:type="page"/>
      </w:r>
    </w:p>
    <w:p w:rsidR="001B6381" w:rsidRDefault="001B6381">
      <w:pPr>
        <w:spacing w:before="0" w:after="200" w:line="276" w:lineRule="auto"/>
        <w:jc w:val="center"/>
        <w:rPr>
          <w:rFonts w:eastAsia="Times New Roman"/>
          <w:noProof/>
        </w:rPr>
        <w:sectPr w:rsidR="001B6381" w:rsidSect="00D30841">
          <w:footerReference w:type="default" r:id="rId19"/>
          <w:footerReference w:type="first" r:id="rId20"/>
          <w:pgSz w:w="11907" w:h="16839"/>
          <w:pgMar w:top="1134" w:right="1417" w:bottom="1134" w:left="1418" w:header="709" w:footer="709" w:gutter="0"/>
          <w:cols w:space="708"/>
          <w:docGrid w:linePitch="360"/>
        </w:sectPr>
      </w:pPr>
    </w:p>
    <w:p w:rsidR="001B6381" w:rsidRDefault="00D30841">
      <w:pPr>
        <w:spacing w:before="0" w:after="200" w:line="276" w:lineRule="auto"/>
        <w:jc w:val="center"/>
        <w:rPr>
          <w:rFonts w:eastAsia="Calibri"/>
          <w:noProof/>
          <w:szCs w:val="24"/>
        </w:rPr>
      </w:pPr>
      <w:r>
        <w:rPr>
          <w:noProof/>
        </w:rPr>
        <w:t>РАЗДЕЛ III</w:t>
      </w:r>
    </w:p>
    <w:p w:rsidR="001B6381" w:rsidRDefault="001B6381">
      <w:pPr>
        <w:widowControl w:val="0"/>
        <w:spacing w:before="0" w:after="342" w:line="270" w:lineRule="exact"/>
        <w:rPr>
          <w:rFonts w:ascii="Calibri" w:eastAsia="Times New Roman" w:hAnsi="Calibri"/>
          <w:b/>
          <w:i/>
          <w:noProof/>
          <w:sz w:val="27"/>
          <w:szCs w:val="27"/>
        </w:rPr>
      </w:pPr>
    </w:p>
    <w:p w:rsidR="001B6381" w:rsidRDefault="00D30841">
      <w:pPr>
        <w:keepNext/>
        <w:keepLines/>
        <w:widowControl w:val="0"/>
        <w:spacing w:before="0" w:after="961" w:line="270" w:lineRule="exact"/>
        <w:outlineLvl w:val="2"/>
        <w:rPr>
          <w:rFonts w:ascii="Calibri" w:eastAsia="Times New Roman" w:hAnsi="Calibri"/>
          <w:b/>
          <w:noProof/>
          <w:sz w:val="27"/>
          <w:szCs w:val="27"/>
        </w:rPr>
      </w:pPr>
      <w:bookmarkStart w:id="3" w:name="bookmark46"/>
      <w:r>
        <w:rPr>
          <w:b/>
          <w:noProof/>
          <w:color w:val="000000"/>
          <w:sz w:val="27"/>
          <w:shd w:val="clear" w:color="auto" w:fill="FFFFFF"/>
        </w:rPr>
        <w:t>Отчет по държави</w:t>
      </w:r>
      <w:bookmarkEnd w:id="3"/>
    </w:p>
    <w:p w:rsidR="001B6381" w:rsidRDefault="00D30841">
      <w:pPr>
        <w:widowControl w:val="0"/>
        <w:spacing w:before="0" w:after="438" w:line="210" w:lineRule="exact"/>
        <w:jc w:val="left"/>
        <w:rPr>
          <w:rFonts w:eastAsia="Times New Roman"/>
          <w:b/>
          <w:noProof/>
          <w:szCs w:val="24"/>
        </w:rPr>
      </w:pPr>
      <w:r>
        <w:rPr>
          <w:b/>
          <w:noProof/>
          <w:color w:val="000000"/>
          <w:shd w:val="clear" w:color="auto" w:fill="FFFFFF"/>
        </w:rPr>
        <w:t>А. Образец за отчет по държави</w:t>
      </w:r>
    </w:p>
    <w:p w:rsidR="001B6381" w:rsidRDefault="00D30841">
      <w:pPr>
        <w:widowControl w:val="0"/>
        <w:spacing w:before="0" w:after="0" w:line="160" w:lineRule="exact"/>
        <w:jc w:val="left"/>
        <w:rPr>
          <w:rFonts w:eastAsia="Times New Roman"/>
          <w:noProof/>
          <w:sz w:val="16"/>
          <w:szCs w:val="16"/>
        </w:rPr>
      </w:pPr>
      <w:r>
        <w:rPr>
          <w:b/>
          <w:noProof/>
          <w:color w:val="000000"/>
          <w:sz w:val="16"/>
          <w:shd w:val="clear" w:color="auto" w:fill="FFFFFF"/>
        </w:rPr>
        <w:t>Таблица 1.</w:t>
      </w:r>
      <w:r>
        <w:rPr>
          <w:noProof/>
          <w:color w:val="000000"/>
          <w:sz w:val="16"/>
          <w:shd w:val="clear" w:color="auto" w:fill="FFFFFF"/>
        </w:rPr>
        <w:t xml:space="preserve"> Обобщение на разпределението на приходите, данъците и стопанските дейности по данъчни юрисдикции</w:t>
      </w:r>
      <w:r>
        <w:rPr>
          <w:rFonts w:eastAsia="Times New Roman"/>
          <w:noProof/>
          <w:color w:val="000000"/>
          <w:sz w:val="16"/>
          <w:szCs w:val="16"/>
          <w:shd w:val="clear" w:color="auto" w:fill="FFFFFF"/>
        </w:rPr>
        <w:br/>
      </w:r>
    </w:p>
    <w:tbl>
      <w:tblPr>
        <w:tblOverlap w:val="never"/>
        <w:tblW w:w="0" w:type="auto"/>
        <w:tblLayout w:type="fixed"/>
        <w:tblCellMar>
          <w:left w:w="10" w:type="dxa"/>
          <w:right w:w="10" w:type="dxa"/>
        </w:tblCellMar>
        <w:tblLook w:val="04A0" w:firstRow="1" w:lastRow="0" w:firstColumn="1" w:lastColumn="0" w:noHBand="0" w:noVBand="1"/>
      </w:tblPr>
      <w:tblGrid>
        <w:gridCol w:w="1171"/>
        <w:gridCol w:w="1162"/>
        <w:gridCol w:w="1166"/>
        <w:gridCol w:w="802"/>
        <w:gridCol w:w="1138"/>
        <w:gridCol w:w="1142"/>
        <w:gridCol w:w="1138"/>
        <w:gridCol w:w="1166"/>
        <w:gridCol w:w="1166"/>
        <w:gridCol w:w="1162"/>
        <w:gridCol w:w="1608"/>
      </w:tblGrid>
      <w:tr w:rsidR="001B6381">
        <w:trPr>
          <w:trHeight w:hRule="exact" w:val="682"/>
        </w:trPr>
        <w:tc>
          <w:tcPr>
            <w:tcW w:w="12821" w:type="dxa"/>
            <w:gridSpan w:val="11"/>
            <w:tcBorders>
              <w:top w:val="single" w:sz="4" w:space="0" w:color="auto"/>
              <w:left w:val="single" w:sz="4" w:space="0" w:color="auto"/>
              <w:right w:val="single" w:sz="4" w:space="0" w:color="auto"/>
            </w:tcBorders>
            <w:shd w:val="clear" w:color="auto" w:fill="FFFFFF"/>
            <w:vAlign w:val="center"/>
          </w:tcPr>
          <w:p w:rsidR="001B6381" w:rsidRDefault="00D30841">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 xml:space="preserve">Наименование на МГП: </w:t>
            </w: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 xml:space="preserve">Финансова година, за която се отнася отчетът: </w:t>
            </w: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Използвана валута:</w:t>
            </w:r>
          </w:p>
        </w:tc>
      </w:tr>
      <w:tr w:rsidR="001B6381">
        <w:trPr>
          <w:trHeight w:hRule="exact" w:val="283"/>
        </w:trPr>
        <w:tc>
          <w:tcPr>
            <w:tcW w:w="1171" w:type="dxa"/>
            <w:vMerge w:val="restart"/>
            <w:tcBorders>
              <w:top w:val="single" w:sz="4" w:space="0" w:color="auto"/>
              <w:left w:val="single" w:sz="4" w:space="0" w:color="auto"/>
            </w:tcBorders>
            <w:shd w:val="clear" w:color="auto" w:fill="FFFFFF"/>
          </w:tcPr>
          <w:p w:rsidR="001B6381" w:rsidRDefault="00D30841">
            <w:pPr>
              <w:widowControl w:val="0"/>
              <w:spacing w:before="0" w:after="0" w:line="130" w:lineRule="exact"/>
              <w:ind w:left="100"/>
              <w:jc w:val="left"/>
              <w:rPr>
                <w:rFonts w:ascii="Arial" w:eastAsia="Arial" w:hAnsi="Arial" w:cs="Arial"/>
                <w:noProof/>
                <w:sz w:val="13"/>
                <w:szCs w:val="13"/>
              </w:rPr>
            </w:pPr>
            <w:r>
              <w:rPr>
                <w:rFonts w:ascii="Arial" w:hAnsi="Arial"/>
                <w:noProof/>
                <w:color w:val="000000"/>
                <w:sz w:val="13"/>
                <w:shd w:val="clear" w:color="auto" w:fill="FFFFFF"/>
              </w:rPr>
              <w:t>Данъчна юрисдикция</w:t>
            </w:r>
          </w:p>
        </w:tc>
        <w:tc>
          <w:tcPr>
            <w:tcW w:w="3130" w:type="dxa"/>
            <w:gridSpan w:val="3"/>
            <w:tcBorders>
              <w:top w:val="single" w:sz="4" w:space="0" w:color="auto"/>
              <w:left w:val="single" w:sz="4" w:space="0" w:color="auto"/>
            </w:tcBorders>
            <w:shd w:val="clear" w:color="auto" w:fill="FFFFFF"/>
            <w:vAlign w:val="center"/>
          </w:tcPr>
          <w:p w:rsidR="001B6381" w:rsidRDefault="00D30841">
            <w:pPr>
              <w:widowControl w:val="0"/>
              <w:spacing w:before="0" w:after="0" w:line="130" w:lineRule="exact"/>
              <w:jc w:val="center"/>
              <w:rPr>
                <w:rFonts w:ascii="Arial" w:eastAsia="Arial" w:hAnsi="Arial" w:cs="Arial"/>
                <w:noProof/>
                <w:sz w:val="13"/>
                <w:szCs w:val="13"/>
              </w:rPr>
            </w:pPr>
            <w:r>
              <w:rPr>
                <w:rFonts w:ascii="Arial" w:hAnsi="Arial"/>
                <w:noProof/>
                <w:color w:val="000000"/>
                <w:sz w:val="13"/>
                <w:shd w:val="clear" w:color="auto" w:fill="FFFFFF"/>
              </w:rPr>
              <w:t>Приходи</w:t>
            </w:r>
          </w:p>
        </w:tc>
        <w:tc>
          <w:tcPr>
            <w:tcW w:w="1138"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97" w:lineRule="exact"/>
              <w:ind w:left="200"/>
              <w:jc w:val="center"/>
              <w:rPr>
                <w:rFonts w:ascii="Arial" w:eastAsia="Arial" w:hAnsi="Arial" w:cs="Arial"/>
                <w:noProof/>
                <w:sz w:val="13"/>
                <w:szCs w:val="13"/>
              </w:rPr>
            </w:pPr>
            <w:r>
              <w:rPr>
                <w:rFonts w:ascii="Arial" w:hAnsi="Arial"/>
                <w:noProof/>
                <w:color w:val="000000"/>
                <w:sz w:val="13"/>
                <w:shd w:val="clear" w:color="auto" w:fill="FFFFFF"/>
              </w:rPr>
              <w:t>Печалба(загуба)</w:t>
            </w:r>
          </w:p>
          <w:p w:rsidR="001B6381" w:rsidRDefault="00D30841">
            <w:pPr>
              <w:widowControl w:val="0"/>
              <w:spacing w:before="0" w:after="0" w:line="197" w:lineRule="exact"/>
              <w:ind w:left="360"/>
              <w:jc w:val="center"/>
              <w:rPr>
                <w:rFonts w:ascii="Arial" w:eastAsia="Arial" w:hAnsi="Arial" w:cs="Arial"/>
                <w:noProof/>
                <w:sz w:val="13"/>
                <w:szCs w:val="13"/>
              </w:rPr>
            </w:pPr>
            <w:r>
              <w:rPr>
                <w:rFonts w:ascii="Arial" w:hAnsi="Arial"/>
                <w:noProof/>
                <w:color w:val="000000"/>
                <w:sz w:val="13"/>
                <w:shd w:val="clear" w:color="auto" w:fill="FFFFFF"/>
              </w:rPr>
              <w:t xml:space="preserve">Преди данъка върху </w:t>
            </w:r>
            <w:r>
              <w:rPr>
                <w:rFonts w:ascii="Arial" w:hAnsi="Arial"/>
                <w:noProof/>
                <w:color w:val="000000"/>
                <w:sz w:val="13"/>
                <w:shd w:val="clear" w:color="auto" w:fill="FFFFFF"/>
              </w:rPr>
              <w:t>доходите</w:t>
            </w:r>
          </w:p>
        </w:tc>
        <w:tc>
          <w:tcPr>
            <w:tcW w:w="1142"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Платени данъци върху доходите (на касова основа)</w:t>
            </w:r>
          </w:p>
        </w:tc>
        <w:tc>
          <w:tcPr>
            <w:tcW w:w="1138"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Начислен данък върху дохода - текуща година</w:t>
            </w:r>
          </w:p>
        </w:tc>
        <w:tc>
          <w:tcPr>
            <w:tcW w:w="1166"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30" w:lineRule="exact"/>
              <w:ind w:left="140"/>
              <w:jc w:val="center"/>
              <w:rPr>
                <w:rFonts w:ascii="Arial" w:eastAsia="Arial" w:hAnsi="Arial" w:cs="Arial"/>
                <w:noProof/>
                <w:sz w:val="13"/>
                <w:szCs w:val="13"/>
              </w:rPr>
            </w:pPr>
            <w:r>
              <w:rPr>
                <w:rFonts w:ascii="Arial" w:hAnsi="Arial"/>
                <w:noProof/>
                <w:color w:val="000000"/>
                <w:sz w:val="13"/>
                <w:shd w:val="clear" w:color="auto" w:fill="FFFFFF"/>
              </w:rPr>
              <w:t>Обявен капитал</w:t>
            </w:r>
          </w:p>
        </w:tc>
        <w:tc>
          <w:tcPr>
            <w:tcW w:w="1166"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Натрупана печалба</w:t>
            </w:r>
          </w:p>
        </w:tc>
        <w:tc>
          <w:tcPr>
            <w:tcW w:w="1162"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97" w:lineRule="exact"/>
              <w:ind w:right="240"/>
              <w:jc w:val="center"/>
              <w:rPr>
                <w:rFonts w:ascii="Arial" w:eastAsia="Arial" w:hAnsi="Arial" w:cs="Arial"/>
                <w:noProof/>
                <w:sz w:val="13"/>
                <w:szCs w:val="13"/>
              </w:rPr>
            </w:pPr>
            <w:r>
              <w:rPr>
                <w:rFonts w:ascii="Arial" w:hAnsi="Arial"/>
                <w:noProof/>
                <w:color w:val="000000"/>
                <w:sz w:val="13"/>
                <w:shd w:val="clear" w:color="auto" w:fill="FFFFFF"/>
              </w:rPr>
              <w:t>Брой на наетите лица</w:t>
            </w:r>
          </w:p>
        </w:tc>
        <w:tc>
          <w:tcPr>
            <w:tcW w:w="1608" w:type="dxa"/>
            <w:vMerge w:val="restart"/>
            <w:tcBorders>
              <w:top w:val="single" w:sz="4" w:space="0" w:color="auto"/>
              <w:left w:val="single" w:sz="4" w:space="0" w:color="auto"/>
              <w:right w:val="single" w:sz="4" w:space="0" w:color="auto"/>
            </w:tcBorders>
            <w:shd w:val="clear" w:color="auto" w:fill="FFFFFF"/>
            <w:vAlign w:val="center"/>
          </w:tcPr>
          <w:p w:rsidR="001B6381" w:rsidRDefault="00D30841">
            <w:pPr>
              <w:widowControl w:val="0"/>
              <w:spacing w:before="0" w:after="0" w:line="197" w:lineRule="exact"/>
              <w:jc w:val="center"/>
              <w:rPr>
                <w:rFonts w:ascii="Arial" w:eastAsia="Arial" w:hAnsi="Arial" w:cs="Arial"/>
                <w:noProof/>
                <w:sz w:val="13"/>
                <w:szCs w:val="13"/>
              </w:rPr>
            </w:pPr>
            <w:r>
              <w:rPr>
                <w:rFonts w:ascii="Arial" w:hAnsi="Arial"/>
                <w:noProof/>
                <w:color w:val="000000"/>
                <w:sz w:val="13"/>
                <w:shd w:val="clear" w:color="auto" w:fill="FFFFFF"/>
              </w:rPr>
              <w:t>Материални активи, различни от парични средства и парични еквиваленти</w:t>
            </w:r>
          </w:p>
        </w:tc>
      </w:tr>
      <w:tr w:rsidR="001B6381">
        <w:trPr>
          <w:trHeight w:hRule="exact" w:val="533"/>
        </w:trPr>
        <w:tc>
          <w:tcPr>
            <w:tcW w:w="1171" w:type="dxa"/>
            <w:vMerge/>
            <w:tcBorders>
              <w:left w:val="single" w:sz="4" w:space="0" w:color="auto"/>
            </w:tcBorders>
            <w:shd w:val="clear" w:color="auto" w:fill="FFFFFF"/>
          </w:tcPr>
          <w:p w:rsidR="001B6381" w:rsidRDefault="001B6381">
            <w:pPr>
              <w:widowControl w:val="0"/>
              <w:spacing w:before="0" w:after="0"/>
              <w:jc w:val="left"/>
              <w:rPr>
                <w:rFonts w:eastAsia="Times New Roman"/>
                <w:noProof/>
                <w:color w:val="000000"/>
                <w:szCs w:val="24"/>
              </w:rPr>
            </w:pPr>
          </w:p>
        </w:tc>
        <w:tc>
          <w:tcPr>
            <w:tcW w:w="1162" w:type="dxa"/>
            <w:tcBorders>
              <w:top w:val="single" w:sz="4" w:space="0" w:color="auto"/>
              <w:left w:val="single" w:sz="4" w:space="0" w:color="auto"/>
            </w:tcBorders>
            <w:shd w:val="clear" w:color="auto" w:fill="FFFFFF"/>
            <w:vAlign w:val="center"/>
          </w:tcPr>
          <w:p w:rsidR="001B6381" w:rsidRDefault="00D30841">
            <w:pPr>
              <w:widowControl w:val="0"/>
              <w:spacing w:before="0" w:after="0" w:line="130" w:lineRule="exact"/>
              <w:ind w:left="100"/>
              <w:jc w:val="center"/>
              <w:rPr>
                <w:rFonts w:ascii="Arial" w:eastAsia="Arial" w:hAnsi="Arial" w:cs="Arial"/>
                <w:noProof/>
                <w:sz w:val="13"/>
                <w:szCs w:val="13"/>
              </w:rPr>
            </w:pPr>
            <w:r>
              <w:rPr>
                <w:rFonts w:ascii="Arial" w:hAnsi="Arial"/>
                <w:noProof/>
                <w:color w:val="000000"/>
                <w:sz w:val="13"/>
                <w:shd w:val="clear" w:color="auto" w:fill="FFFFFF"/>
              </w:rPr>
              <w:t>Несвързано лице</w:t>
            </w:r>
          </w:p>
        </w:tc>
        <w:tc>
          <w:tcPr>
            <w:tcW w:w="1166" w:type="dxa"/>
            <w:tcBorders>
              <w:top w:val="single" w:sz="4" w:space="0" w:color="auto"/>
              <w:left w:val="single" w:sz="4" w:space="0" w:color="auto"/>
            </w:tcBorders>
            <w:shd w:val="clear" w:color="auto" w:fill="FFFFFF"/>
            <w:vAlign w:val="center"/>
          </w:tcPr>
          <w:p w:rsidR="001B6381" w:rsidRDefault="00D30841">
            <w:pPr>
              <w:widowControl w:val="0"/>
              <w:spacing w:before="0" w:after="0" w:line="130" w:lineRule="exact"/>
              <w:ind w:left="160"/>
              <w:jc w:val="center"/>
              <w:rPr>
                <w:rFonts w:ascii="Arial" w:eastAsia="Arial" w:hAnsi="Arial" w:cs="Arial"/>
                <w:noProof/>
                <w:sz w:val="13"/>
                <w:szCs w:val="13"/>
              </w:rPr>
            </w:pPr>
            <w:r>
              <w:rPr>
                <w:rFonts w:ascii="Arial" w:hAnsi="Arial"/>
                <w:noProof/>
                <w:color w:val="000000"/>
                <w:sz w:val="13"/>
                <w:shd w:val="clear" w:color="auto" w:fill="FFFFFF"/>
              </w:rPr>
              <w:t xml:space="preserve">Свързано </w:t>
            </w:r>
            <w:r>
              <w:rPr>
                <w:rFonts w:ascii="Arial" w:hAnsi="Arial"/>
                <w:noProof/>
                <w:color w:val="000000"/>
                <w:sz w:val="13"/>
                <w:shd w:val="clear" w:color="auto" w:fill="FFFFFF"/>
              </w:rPr>
              <w:t>лице</w:t>
            </w:r>
          </w:p>
        </w:tc>
        <w:tc>
          <w:tcPr>
            <w:tcW w:w="802" w:type="dxa"/>
            <w:tcBorders>
              <w:top w:val="single" w:sz="4" w:space="0" w:color="auto"/>
              <w:left w:val="single" w:sz="4" w:space="0" w:color="auto"/>
            </w:tcBorders>
            <w:shd w:val="clear" w:color="auto" w:fill="FFFFFF"/>
            <w:vAlign w:val="center"/>
          </w:tcPr>
          <w:p w:rsidR="001B6381" w:rsidRDefault="00D30841">
            <w:pPr>
              <w:widowControl w:val="0"/>
              <w:spacing w:before="0" w:after="0" w:line="130" w:lineRule="exact"/>
              <w:jc w:val="center"/>
              <w:rPr>
                <w:rFonts w:ascii="Arial" w:eastAsia="Arial" w:hAnsi="Arial" w:cs="Arial"/>
                <w:noProof/>
                <w:sz w:val="13"/>
                <w:szCs w:val="13"/>
              </w:rPr>
            </w:pPr>
            <w:r>
              <w:rPr>
                <w:rFonts w:ascii="Arial" w:hAnsi="Arial"/>
                <w:noProof/>
                <w:color w:val="000000"/>
                <w:sz w:val="13"/>
                <w:shd w:val="clear" w:color="auto" w:fill="FFFFFF"/>
              </w:rPr>
              <w:t>Общо</w:t>
            </w:r>
          </w:p>
        </w:tc>
        <w:tc>
          <w:tcPr>
            <w:tcW w:w="1138" w:type="dxa"/>
            <w:vMerge/>
            <w:tcBorders>
              <w:left w:val="single" w:sz="4" w:space="0" w:color="auto"/>
            </w:tcBorders>
            <w:shd w:val="clear" w:color="auto" w:fill="FFFFFF"/>
            <w:vAlign w:val="bottom"/>
          </w:tcPr>
          <w:p w:rsidR="001B6381" w:rsidRDefault="001B6381">
            <w:pPr>
              <w:widowControl w:val="0"/>
              <w:spacing w:before="0" w:after="0"/>
              <w:jc w:val="left"/>
              <w:rPr>
                <w:rFonts w:eastAsia="Times New Roman"/>
                <w:noProof/>
                <w:color w:val="000000"/>
                <w:szCs w:val="24"/>
              </w:rPr>
            </w:pPr>
          </w:p>
        </w:tc>
        <w:tc>
          <w:tcPr>
            <w:tcW w:w="1142" w:type="dxa"/>
            <w:vMerge/>
            <w:tcBorders>
              <w:left w:val="single" w:sz="4" w:space="0" w:color="auto"/>
            </w:tcBorders>
            <w:shd w:val="clear" w:color="auto" w:fill="FFFFFF"/>
            <w:vAlign w:val="bottom"/>
          </w:tcPr>
          <w:p w:rsidR="001B6381" w:rsidRDefault="001B6381">
            <w:pPr>
              <w:widowControl w:val="0"/>
              <w:spacing w:before="0" w:after="0"/>
              <w:jc w:val="left"/>
              <w:rPr>
                <w:rFonts w:eastAsia="Times New Roman"/>
                <w:noProof/>
                <w:color w:val="000000"/>
                <w:szCs w:val="24"/>
              </w:rPr>
            </w:pPr>
          </w:p>
        </w:tc>
        <w:tc>
          <w:tcPr>
            <w:tcW w:w="1138" w:type="dxa"/>
            <w:vMerge/>
            <w:tcBorders>
              <w:left w:val="single" w:sz="4" w:space="0" w:color="auto"/>
            </w:tcBorders>
            <w:shd w:val="clear" w:color="auto" w:fill="FFFFFF"/>
            <w:vAlign w:val="bottom"/>
          </w:tcPr>
          <w:p w:rsidR="001B6381" w:rsidRDefault="001B6381">
            <w:pPr>
              <w:widowControl w:val="0"/>
              <w:spacing w:before="0" w:after="0"/>
              <w:jc w:val="left"/>
              <w:rPr>
                <w:rFonts w:eastAsia="Times New Roman"/>
                <w:noProof/>
                <w:color w:val="000000"/>
                <w:szCs w:val="24"/>
              </w:rPr>
            </w:pPr>
          </w:p>
        </w:tc>
        <w:tc>
          <w:tcPr>
            <w:tcW w:w="1166" w:type="dxa"/>
            <w:vMerge/>
            <w:tcBorders>
              <w:left w:val="single" w:sz="4" w:space="0" w:color="auto"/>
            </w:tcBorders>
            <w:shd w:val="clear" w:color="auto" w:fill="FFFFFF"/>
          </w:tcPr>
          <w:p w:rsidR="001B6381" w:rsidRDefault="001B6381">
            <w:pPr>
              <w:widowControl w:val="0"/>
              <w:spacing w:before="0" w:after="0"/>
              <w:jc w:val="left"/>
              <w:rPr>
                <w:rFonts w:eastAsia="Times New Roman"/>
                <w:noProof/>
                <w:color w:val="000000"/>
                <w:szCs w:val="24"/>
              </w:rPr>
            </w:pPr>
          </w:p>
        </w:tc>
        <w:tc>
          <w:tcPr>
            <w:tcW w:w="1166" w:type="dxa"/>
            <w:vMerge/>
            <w:tcBorders>
              <w:left w:val="single" w:sz="4" w:space="0" w:color="auto"/>
            </w:tcBorders>
            <w:shd w:val="clear" w:color="auto" w:fill="FFFFFF"/>
            <w:vAlign w:val="center"/>
          </w:tcPr>
          <w:p w:rsidR="001B6381" w:rsidRDefault="001B6381">
            <w:pPr>
              <w:widowControl w:val="0"/>
              <w:spacing w:before="0" w:after="0"/>
              <w:jc w:val="left"/>
              <w:rPr>
                <w:rFonts w:eastAsia="Times New Roman"/>
                <w:noProof/>
                <w:color w:val="000000"/>
                <w:szCs w:val="24"/>
              </w:rPr>
            </w:pPr>
          </w:p>
        </w:tc>
        <w:tc>
          <w:tcPr>
            <w:tcW w:w="1162" w:type="dxa"/>
            <w:vMerge/>
            <w:tcBorders>
              <w:left w:val="single" w:sz="4" w:space="0" w:color="auto"/>
            </w:tcBorders>
            <w:shd w:val="clear" w:color="auto" w:fill="FFFFFF"/>
            <w:vAlign w:val="center"/>
          </w:tcPr>
          <w:p w:rsidR="001B6381" w:rsidRDefault="001B6381">
            <w:pPr>
              <w:widowControl w:val="0"/>
              <w:spacing w:before="0" w:after="0"/>
              <w:jc w:val="left"/>
              <w:rPr>
                <w:rFonts w:eastAsia="Times New Roman"/>
                <w:noProof/>
                <w:color w:val="000000"/>
                <w:szCs w:val="24"/>
              </w:rPr>
            </w:pPr>
          </w:p>
        </w:tc>
        <w:tc>
          <w:tcPr>
            <w:tcW w:w="1608" w:type="dxa"/>
            <w:vMerge/>
            <w:tcBorders>
              <w:left w:val="single" w:sz="4" w:space="0" w:color="auto"/>
              <w:right w:val="single" w:sz="4" w:space="0" w:color="auto"/>
            </w:tcBorders>
            <w:shd w:val="clear" w:color="auto" w:fill="FFFFFF"/>
            <w:vAlign w:val="bottom"/>
          </w:tcPr>
          <w:p w:rsidR="001B6381" w:rsidRDefault="001B6381">
            <w:pPr>
              <w:widowControl w:val="0"/>
              <w:spacing w:before="0" w:after="0"/>
              <w:jc w:val="left"/>
              <w:rPr>
                <w:rFonts w:eastAsia="Times New Roman"/>
                <w:noProof/>
                <w:color w:val="000000"/>
                <w:szCs w:val="24"/>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8"/>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71"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93"/>
        </w:trPr>
        <w:tc>
          <w:tcPr>
            <w:tcW w:w="1171"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802"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42"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6"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162"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bl>
    <w:p w:rsidR="001B6381" w:rsidRDefault="00D30841">
      <w:pPr>
        <w:widowControl w:val="0"/>
        <w:spacing w:before="0" w:after="0" w:line="160" w:lineRule="exact"/>
        <w:jc w:val="left"/>
        <w:rPr>
          <w:rFonts w:ascii="Calibri" w:eastAsia="Times New Roman" w:hAnsi="Calibri"/>
          <w:noProof/>
          <w:sz w:val="16"/>
          <w:szCs w:val="16"/>
        </w:rPr>
      </w:pPr>
      <w:r>
        <w:rPr>
          <w:noProof/>
        </w:rPr>
        <w:br w:type="page"/>
      </w:r>
      <w:r>
        <w:rPr>
          <w:b/>
          <w:noProof/>
          <w:color w:val="000000"/>
          <w:sz w:val="16"/>
          <w:shd w:val="clear" w:color="auto" w:fill="FFFFFF"/>
        </w:rPr>
        <w:t>Таблица 2</w:t>
      </w:r>
      <w:r>
        <w:rPr>
          <w:noProof/>
        </w:rPr>
        <w:t xml:space="preserve"> </w:t>
      </w:r>
      <w:r>
        <w:rPr>
          <w:noProof/>
          <w:color w:val="000000"/>
          <w:sz w:val="16"/>
          <w:shd w:val="clear" w:color="auto" w:fill="FFFFFF"/>
        </w:rPr>
        <w:t xml:space="preserve">Списък на всички „съставни единици“ на МГП, включени във всяко от обобщенията по </w:t>
      </w:r>
      <w:r>
        <w:rPr>
          <w:noProof/>
          <w:color w:val="000000"/>
          <w:sz w:val="16"/>
          <w:shd w:val="clear" w:color="auto" w:fill="FFFFFF"/>
        </w:rPr>
        <w:t>данъчни юрисдикции</w:t>
      </w:r>
      <w:r>
        <w:rPr>
          <w:rFonts w:eastAsia="Times New Roman"/>
          <w:noProof/>
          <w:color w:val="000000"/>
          <w:sz w:val="16"/>
          <w:szCs w:val="16"/>
          <w:shd w:val="clear" w:color="auto" w:fill="FFFFFF"/>
        </w:rPr>
        <w:br/>
      </w:r>
    </w:p>
    <w:tbl>
      <w:tblPr>
        <w:tblW w:w="0" w:type="auto"/>
        <w:tblLayout w:type="fixed"/>
        <w:tblCellMar>
          <w:left w:w="10" w:type="dxa"/>
          <w:right w:w="10" w:type="dxa"/>
        </w:tblCellMar>
        <w:tblLook w:val="04A0" w:firstRow="1" w:lastRow="0" w:firstColumn="1" w:lastColumn="0" w:noHBand="0" w:noVBand="1"/>
      </w:tblPr>
      <w:tblGrid>
        <w:gridCol w:w="1186"/>
        <w:gridCol w:w="1541"/>
        <w:gridCol w:w="1757"/>
        <w:gridCol w:w="643"/>
        <w:gridCol w:w="638"/>
        <w:gridCol w:w="638"/>
        <w:gridCol w:w="643"/>
        <w:gridCol w:w="638"/>
        <w:gridCol w:w="638"/>
        <w:gridCol w:w="643"/>
        <w:gridCol w:w="638"/>
        <w:gridCol w:w="638"/>
        <w:gridCol w:w="643"/>
        <w:gridCol w:w="638"/>
        <w:gridCol w:w="638"/>
        <w:gridCol w:w="653"/>
      </w:tblGrid>
      <w:tr w:rsidR="001B6381">
        <w:trPr>
          <w:trHeight w:hRule="exact" w:val="590"/>
        </w:trPr>
        <w:tc>
          <w:tcPr>
            <w:tcW w:w="12813" w:type="dxa"/>
            <w:gridSpan w:val="16"/>
            <w:tcBorders>
              <w:top w:val="single" w:sz="4" w:space="0" w:color="auto"/>
              <w:left w:val="single" w:sz="4" w:space="0" w:color="auto"/>
              <w:right w:val="single" w:sz="4" w:space="0" w:color="auto"/>
            </w:tcBorders>
            <w:shd w:val="clear" w:color="auto" w:fill="FFFFFF"/>
            <w:vAlign w:val="center"/>
          </w:tcPr>
          <w:p w:rsidR="001B6381" w:rsidRDefault="00D30841">
            <w:pPr>
              <w:widowControl w:val="0"/>
              <w:spacing w:before="0" w:after="0" w:line="197" w:lineRule="exact"/>
              <w:jc w:val="center"/>
              <w:rPr>
                <w:rFonts w:ascii="Arial" w:eastAsia="Arial" w:hAnsi="Arial" w:cs="Arial"/>
                <w:noProof/>
                <w:color w:val="000000"/>
                <w:sz w:val="13"/>
                <w:szCs w:val="13"/>
              </w:rPr>
            </w:pPr>
            <w:r>
              <w:rPr>
                <w:rFonts w:ascii="Arial" w:hAnsi="Arial"/>
                <w:noProof/>
                <w:color w:val="000000"/>
                <w:sz w:val="13"/>
              </w:rPr>
              <w:t xml:space="preserve">Наименование на МГП: </w:t>
            </w:r>
            <w:r>
              <w:rPr>
                <w:rFonts w:ascii="Arial" w:eastAsia="Arial" w:hAnsi="Arial" w:cs="Arial"/>
                <w:noProof/>
                <w:color w:val="000000"/>
                <w:sz w:val="13"/>
                <w:szCs w:val="13"/>
              </w:rPr>
              <w:br/>
            </w:r>
            <w:r>
              <w:rPr>
                <w:rFonts w:ascii="Arial" w:hAnsi="Arial"/>
                <w:noProof/>
                <w:color w:val="000000"/>
                <w:sz w:val="13"/>
              </w:rPr>
              <w:t>Финансова година, за която се отнася списъкът:</w:t>
            </w:r>
          </w:p>
        </w:tc>
      </w:tr>
      <w:tr w:rsidR="001B6381">
        <w:trPr>
          <w:trHeight w:hRule="exact" w:val="283"/>
        </w:trPr>
        <w:tc>
          <w:tcPr>
            <w:tcW w:w="1186"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30" w:lineRule="exact"/>
              <w:ind w:left="100"/>
              <w:jc w:val="left"/>
              <w:rPr>
                <w:rFonts w:ascii="Arial" w:eastAsia="Arial" w:hAnsi="Arial" w:cs="Arial"/>
                <w:noProof/>
                <w:color w:val="000000"/>
                <w:sz w:val="13"/>
                <w:szCs w:val="13"/>
              </w:rPr>
            </w:pPr>
            <w:r>
              <w:rPr>
                <w:rFonts w:ascii="Arial" w:hAnsi="Arial"/>
                <w:noProof/>
                <w:color w:val="000000"/>
                <w:sz w:val="13"/>
              </w:rPr>
              <w:t>Данъчна юрисдикция</w:t>
            </w:r>
          </w:p>
        </w:tc>
        <w:tc>
          <w:tcPr>
            <w:tcW w:w="1541"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97" w:lineRule="exact"/>
              <w:jc w:val="center"/>
              <w:rPr>
                <w:rFonts w:ascii="Arial" w:eastAsia="Arial" w:hAnsi="Arial" w:cs="Arial"/>
                <w:noProof/>
                <w:color w:val="000000"/>
                <w:sz w:val="13"/>
                <w:szCs w:val="13"/>
              </w:rPr>
            </w:pPr>
            <w:r>
              <w:rPr>
                <w:rFonts w:ascii="Arial" w:hAnsi="Arial"/>
                <w:noProof/>
                <w:color w:val="000000"/>
                <w:sz w:val="13"/>
              </w:rPr>
              <w:t>Съставни единици, които са местни лица на  данъчната юрисдикция</w:t>
            </w:r>
          </w:p>
        </w:tc>
        <w:tc>
          <w:tcPr>
            <w:tcW w:w="1757" w:type="dxa"/>
            <w:vMerge w:val="restart"/>
            <w:tcBorders>
              <w:top w:val="single" w:sz="4" w:space="0" w:color="auto"/>
              <w:left w:val="single" w:sz="4" w:space="0" w:color="auto"/>
            </w:tcBorders>
            <w:shd w:val="clear" w:color="auto" w:fill="FFFFFF"/>
            <w:vAlign w:val="center"/>
          </w:tcPr>
          <w:p w:rsidR="001B6381" w:rsidRDefault="00D30841">
            <w:pPr>
              <w:widowControl w:val="0"/>
              <w:spacing w:before="0" w:after="0" w:line="192" w:lineRule="exact"/>
              <w:jc w:val="center"/>
              <w:rPr>
                <w:rFonts w:ascii="Arial" w:eastAsia="Arial" w:hAnsi="Arial" w:cs="Arial"/>
                <w:noProof/>
                <w:color w:val="000000"/>
                <w:sz w:val="13"/>
                <w:szCs w:val="13"/>
              </w:rPr>
            </w:pPr>
            <w:r>
              <w:rPr>
                <w:rFonts w:ascii="Arial" w:hAnsi="Arial"/>
                <w:noProof/>
                <w:color w:val="000000"/>
                <w:sz w:val="13"/>
              </w:rPr>
              <w:t xml:space="preserve">Данъчна юрисдикция на организация или учредяване, ако е различна от данъчната </w:t>
            </w:r>
            <w:r>
              <w:rPr>
                <w:rFonts w:ascii="Arial" w:hAnsi="Arial"/>
                <w:noProof/>
                <w:color w:val="000000"/>
                <w:sz w:val="13"/>
              </w:rPr>
              <w:t>юрисдикция, на  която са местни лица за данъчни цели</w:t>
            </w:r>
          </w:p>
        </w:tc>
        <w:tc>
          <w:tcPr>
            <w:tcW w:w="8329" w:type="dxa"/>
            <w:gridSpan w:val="13"/>
            <w:tcBorders>
              <w:top w:val="single" w:sz="4" w:space="0" w:color="auto"/>
              <w:left w:val="single" w:sz="4" w:space="0" w:color="auto"/>
              <w:right w:val="single" w:sz="4" w:space="0" w:color="auto"/>
            </w:tcBorders>
            <w:shd w:val="clear" w:color="auto" w:fill="FFFFFF"/>
            <w:vAlign w:val="bottom"/>
          </w:tcPr>
          <w:p w:rsidR="001B6381" w:rsidRDefault="00D30841">
            <w:pPr>
              <w:widowControl w:val="0"/>
              <w:spacing w:before="0" w:after="0" w:line="130" w:lineRule="exact"/>
              <w:jc w:val="center"/>
              <w:rPr>
                <w:rFonts w:ascii="Arial" w:eastAsia="Arial" w:hAnsi="Arial" w:cs="Arial"/>
                <w:noProof/>
                <w:color w:val="000000"/>
                <w:sz w:val="13"/>
                <w:szCs w:val="13"/>
              </w:rPr>
            </w:pPr>
            <w:r>
              <w:rPr>
                <w:rFonts w:ascii="Arial" w:hAnsi="Arial"/>
                <w:noProof/>
                <w:color w:val="000000"/>
                <w:sz w:val="13"/>
              </w:rPr>
              <w:t>Основна стопанска дейност/дейности</w:t>
            </w:r>
          </w:p>
        </w:tc>
      </w:tr>
      <w:tr w:rsidR="001B6381">
        <w:trPr>
          <w:trHeight w:hRule="exact" w:val="1963"/>
        </w:trPr>
        <w:tc>
          <w:tcPr>
            <w:tcW w:w="1186" w:type="dxa"/>
            <w:vMerge/>
            <w:tcBorders>
              <w:left w:val="single" w:sz="4" w:space="0" w:color="auto"/>
            </w:tcBorders>
            <w:shd w:val="clear" w:color="auto" w:fill="FFFFFF"/>
            <w:vAlign w:val="center"/>
          </w:tcPr>
          <w:p w:rsidR="001B6381" w:rsidRDefault="001B6381">
            <w:pPr>
              <w:widowControl w:val="0"/>
              <w:spacing w:before="0" w:after="0"/>
              <w:jc w:val="left"/>
              <w:rPr>
                <w:rFonts w:eastAsia="Times New Roman"/>
                <w:noProof/>
                <w:color w:val="000000"/>
                <w:szCs w:val="24"/>
              </w:rPr>
            </w:pPr>
          </w:p>
        </w:tc>
        <w:tc>
          <w:tcPr>
            <w:tcW w:w="1541" w:type="dxa"/>
            <w:vMerge/>
            <w:tcBorders>
              <w:left w:val="single" w:sz="4" w:space="0" w:color="auto"/>
            </w:tcBorders>
            <w:shd w:val="clear" w:color="auto" w:fill="FFFFFF"/>
            <w:vAlign w:val="center"/>
          </w:tcPr>
          <w:p w:rsidR="001B6381" w:rsidRDefault="001B6381">
            <w:pPr>
              <w:widowControl w:val="0"/>
              <w:spacing w:before="0" w:after="0"/>
              <w:jc w:val="left"/>
              <w:rPr>
                <w:rFonts w:eastAsia="Times New Roman"/>
                <w:noProof/>
                <w:color w:val="000000"/>
                <w:szCs w:val="24"/>
              </w:rPr>
            </w:pPr>
          </w:p>
        </w:tc>
        <w:tc>
          <w:tcPr>
            <w:tcW w:w="1757" w:type="dxa"/>
            <w:vMerge/>
            <w:tcBorders>
              <w:left w:val="single" w:sz="4" w:space="0" w:color="auto"/>
            </w:tcBorders>
            <w:shd w:val="clear" w:color="auto" w:fill="FFFFFF"/>
            <w:vAlign w:val="center"/>
          </w:tcPr>
          <w:p w:rsidR="001B6381" w:rsidRDefault="001B6381">
            <w:pPr>
              <w:widowControl w:val="0"/>
              <w:spacing w:before="0" w:after="0"/>
              <w:jc w:val="left"/>
              <w:rPr>
                <w:rFonts w:eastAsia="Times New Roman"/>
                <w:noProof/>
                <w:color w:val="000000"/>
                <w:szCs w:val="24"/>
              </w:rPr>
            </w:pPr>
          </w:p>
        </w:tc>
        <w:tc>
          <w:tcPr>
            <w:tcW w:w="643" w:type="dxa"/>
            <w:tcBorders>
              <w:top w:val="single" w:sz="4" w:space="0" w:color="auto"/>
              <w:left w:val="single" w:sz="4" w:space="0" w:color="auto"/>
            </w:tcBorders>
            <w:shd w:val="clear" w:color="auto" w:fill="FFFFFF"/>
            <w:textDirection w:val="btLr"/>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Научноизследователска и развойна дейност</w:t>
            </w:r>
          </w:p>
        </w:tc>
        <w:tc>
          <w:tcPr>
            <w:tcW w:w="638" w:type="dxa"/>
            <w:tcBorders>
              <w:top w:val="single" w:sz="4" w:space="0" w:color="auto"/>
              <w:left w:val="single" w:sz="4" w:space="0" w:color="auto"/>
            </w:tcBorders>
            <w:shd w:val="clear" w:color="auto" w:fill="FFFFFF"/>
            <w:textDirection w:val="btLr"/>
          </w:tcPr>
          <w:p w:rsidR="001B6381" w:rsidRDefault="00D30841">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Стопанисване или управление </w:t>
            </w:r>
            <w:r>
              <w:rPr>
                <w:rFonts w:ascii="Arial" w:eastAsia="Arial" w:hAnsi="Arial" w:cs="Arial"/>
                <w:noProof/>
                <w:color w:val="000000"/>
                <w:sz w:val="13"/>
                <w:szCs w:val="13"/>
              </w:rPr>
              <w:br/>
            </w:r>
            <w:r>
              <w:rPr>
                <w:rFonts w:ascii="Arial" w:hAnsi="Arial"/>
                <w:noProof/>
                <w:color w:val="000000"/>
                <w:sz w:val="13"/>
              </w:rPr>
              <w:t>Интелектуална собственост</w:t>
            </w:r>
          </w:p>
        </w:tc>
        <w:tc>
          <w:tcPr>
            <w:tcW w:w="638" w:type="dxa"/>
            <w:tcBorders>
              <w:top w:val="single" w:sz="4" w:space="0" w:color="auto"/>
              <w:left w:val="single" w:sz="4" w:space="0" w:color="auto"/>
            </w:tcBorders>
            <w:shd w:val="clear" w:color="auto" w:fill="FFFFFF"/>
            <w:textDirection w:val="btLr"/>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Закупуване или обществени поръчки</w:t>
            </w:r>
          </w:p>
        </w:tc>
        <w:tc>
          <w:tcPr>
            <w:tcW w:w="643" w:type="dxa"/>
            <w:tcBorders>
              <w:top w:val="single" w:sz="4" w:space="0" w:color="auto"/>
              <w:left w:val="single" w:sz="4" w:space="0" w:color="auto"/>
            </w:tcBorders>
            <w:shd w:val="clear" w:color="auto" w:fill="FFFFFF"/>
            <w:textDirection w:val="btLr"/>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 xml:space="preserve">Производство </w:t>
            </w:r>
          </w:p>
        </w:tc>
        <w:tc>
          <w:tcPr>
            <w:tcW w:w="638" w:type="dxa"/>
            <w:tcBorders>
              <w:top w:val="single" w:sz="4" w:space="0" w:color="auto"/>
              <w:left w:val="single" w:sz="4" w:space="0" w:color="auto"/>
            </w:tcBorders>
            <w:shd w:val="clear" w:color="auto" w:fill="FFFFFF"/>
            <w:textDirection w:val="btLr"/>
          </w:tcPr>
          <w:p w:rsidR="001B6381" w:rsidRDefault="00D30841">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Продажби, маркетинг </w:t>
            </w:r>
            <w:r>
              <w:rPr>
                <w:rFonts w:ascii="Arial" w:eastAsia="Arial" w:hAnsi="Arial" w:cs="Arial"/>
                <w:noProof/>
                <w:color w:val="000000"/>
                <w:sz w:val="13"/>
                <w:szCs w:val="13"/>
              </w:rPr>
              <w:br/>
            </w:r>
            <w:r>
              <w:rPr>
                <w:rFonts w:ascii="Arial" w:hAnsi="Arial"/>
                <w:noProof/>
                <w:color w:val="000000"/>
                <w:sz w:val="13"/>
              </w:rPr>
              <w:t>или  дистрибуция</w:t>
            </w:r>
          </w:p>
        </w:tc>
        <w:tc>
          <w:tcPr>
            <w:tcW w:w="638" w:type="dxa"/>
            <w:tcBorders>
              <w:top w:val="single" w:sz="4" w:space="0" w:color="auto"/>
              <w:left w:val="single" w:sz="4" w:space="0" w:color="auto"/>
            </w:tcBorders>
            <w:shd w:val="clear" w:color="auto" w:fill="FFFFFF"/>
            <w:textDirection w:val="btLr"/>
          </w:tcPr>
          <w:p w:rsidR="001B6381" w:rsidRDefault="00D30841">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Административни услуги, управленчески услуги </w:t>
            </w:r>
            <w:r>
              <w:rPr>
                <w:rFonts w:ascii="Arial" w:eastAsia="Arial" w:hAnsi="Arial" w:cs="Arial"/>
                <w:noProof/>
                <w:color w:val="000000"/>
                <w:sz w:val="13"/>
                <w:szCs w:val="13"/>
              </w:rPr>
              <w:br/>
            </w:r>
            <w:r>
              <w:rPr>
                <w:rFonts w:ascii="Arial" w:hAnsi="Arial"/>
                <w:noProof/>
                <w:color w:val="000000"/>
                <w:sz w:val="13"/>
              </w:rPr>
              <w:t>или  услуги по поддръжка</w:t>
            </w:r>
          </w:p>
        </w:tc>
        <w:tc>
          <w:tcPr>
            <w:tcW w:w="643" w:type="dxa"/>
            <w:tcBorders>
              <w:top w:val="single" w:sz="4" w:space="0" w:color="auto"/>
              <w:left w:val="single" w:sz="4" w:space="0" w:color="auto"/>
            </w:tcBorders>
            <w:shd w:val="clear" w:color="auto" w:fill="FFFFFF"/>
            <w:textDirection w:val="btLr"/>
          </w:tcPr>
          <w:p w:rsidR="001B6381" w:rsidRDefault="00D30841">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Предоставяне на услуги на несвързани страни</w:t>
            </w:r>
          </w:p>
        </w:tc>
        <w:tc>
          <w:tcPr>
            <w:tcW w:w="638" w:type="dxa"/>
            <w:tcBorders>
              <w:top w:val="single" w:sz="4" w:space="0" w:color="auto"/>
              <w:left w:val="single" w:sz="4" w:space="0" w:color="auto"/>
            </w:tcBorders>
            <w:shd w:val="clear" w:color="auto" w:fill="FFFFFF"/>
            <w:textDirection w:val="btLr"/>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Финансиране в рамките на групата</w:t>
            </w:r>
          </w:p>
        </w:tc>
        <w:tc>
          <w:tcPr>
            <w:tcW w:w="638" w:type="dxa"/>
            <w:tcBorders>
              <w:top w:val="single" w:sz="4" w:space="0" w:color="auto"/>
              <w:left w:val="single" w:sz="4" w:space="0" w:color="auto"/>
            </w:tcBorders>
            <w:shd w:val="clear" w:color="auto" w:fill="FFFFFF"/>
            <w:textDirection w:val="btLr"/>
          </w:tcPr>
          <w:p w:rsidR="001B6381" w:rsidRDefault="00D30841">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Регулирани финансови услуги</w:t>
            </w:r>
          </w:p>
        </w:tc>
        <w:tc>
          <w:tcPr>
            <w:tcW w:w="643" w:type="dxa"/>
            <w:tcBorders>
              <w:top w:val="single" w:sz="4" w:space="0" w:color="auto"/>
              <w:left w:val="single" w:sz="4" w:space="0" w:color="auto"/>
            </w:tcBorders>
            <w:shd w:val="clear" w:color="auto" w:fill="FFFFFF"/>
            <w:textDirection w:val="btLr"/>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Застраховане</w:t>
            </w:r>
          </w:p>
        </w:tc>
        <w:tc>
          <w:tcPr>
            <w:tcW w:w="638" w:type="dxa"/>
            <w:tcBorders>
              <w:top w:val="single" w:sz="4" w:space="0" w:color="auto"/>
              <w:left w:val="single" w:sz="4" w:space="0" w:color="auto"/>
            </w:tcBorders>
            <w:shd w:val="clear" w:color="auto" w:fill="FFFFFF"/>
            <w:textDirection w:val="btLr"/>
          </w:tcPr>
          <w:p w:rsidR="001B6381" w:rsidRDefault="00D30841">
            <w:pPr>
              <w:widowControl w:val="0"/>
              <w:spacing w:before="0" w:after="0" w:line="197" w:lineRule="exact"/>
              <w:ind w:left="80"/>
              <w:jc w:val="left"/>
              <w:rPr>
                <w:rFonts w:ascii="Arial" w:eastAsia="Arial" w:hAnsi="Arial" w:cs="Arial"/>
                <w:noProof/>
                <w:color w:val="000000"/>
                <w:sz w:val="13"/>
                <w:szCs w:val="13"/>
              </w:rPr>
            </w:pPr>
            <w:r>
              <w:rPr>
                <w:rFonts w:ascii="Arial" w:hAnsi="Arial"/>
                <w:noProof/>
                <w:color w:val="000000"/>
                <w:sz w:val="13"/>
              </w:rPr>
              <w:t xml:space="preserve">Притежание на акции или други </w:t>
            </w:r>
            <w:r>
              <w:rPr>
                <w:rFonts w:ascii="Arial" w:eastAsia="Arial" w:hAnsi="Arial" w:cs="Arial"/>
                <w:noProof/>
                <w:color w:val="000000"/>
                <w:sz w:val="13"/>
                <w:szCs w:val="13"/>
              </w:rPr>
              <w:br/>
            </w:r>
            <w:r>
              <w:rPr>
                <w:rFonts w:ascii="Arial" w:hAnsi="Arial"/>
                <w:noProof/>
                <w:color w:val="000000"/>
                <w:sz w:val="13"/>
              </w:rPr>
              <w:t>Капиталови инструм</w:t>
            </w:r>
            <w:r>
              <w:rPr>
                <w:rFonts w:ascii="Arial" w:hAnsi="Arial"/>
                <w:noProof/>
                <w:color w:val="000000"/>
                <w:sz w:val="13"/>
              </w:rPr>
              <w:t>енти</w:t>
            </w:r>
          </w:p>
        </w:tc>
        <w:tc>
          <w:tcPr>
            <w:tcW w:w="638" w:type="dxa"/>
            <w:tcBorders>
              <w:top w:val="single" w:sz="4" w:space="0" w:color="auto"/>
              <w:left w:val="single" w:sz="4" w:space="0" w:color="auto"/>
            </w:tcBorders>
            <w:shd w:val="clear" w:color="auto" w:fill="FFFFFF"/>
            <w:textDirection w:val="btLr"/>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Латентни дейности</w:t>
            </w:r>
          </w:p>
        </w:tc>
        <w:tc>
          <w:tcPr>
            <w:tcW w:w="653" w:type="dxa"/>
            <w:tcBorders>
              <w:top w:val="single" w:sz="4" w:space="0" w:color="auto"/>
              <w:left w:val="single" w:sz="4" w:space="0" w:color="auto"/>
              <w:right w:val="single" w:sz="4" w:space="0" w:color="auto"/>
            </w:tcBorders>
            <w:shd w:val="clear" w:color="auto" w:fill="FFFFFF"/>
            <w:textDirection w:val="btLr"/>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Други</w:t>
            </w:r>
            <w:r>
              <w:rPr>
                <w:rFonts w:ascii="Arial" w:hAnsi="Arial"/>
                <w:noProof/>
                <w:color w:val="000000"/>
                <w:sz w:val="13"/>
                <w:vertAlign w:val="superscript"/>
              </w:rPr>
              <w:t>1</w:t>
            </w:r>
          </w:p>
        </w:tc>
      </w:tr>
      <w:tr w:rsidR="001B6381">
        <w:trPr>
          <w:trHeight w:hRule="exact" w:val="283"/>
        </w:trPr>
        <w:tc>
          <w:tcPr>
            <w:tcW w:w="1186" w:type="dxa"/>
            <w:vMerge w:val="restart"/>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541" w:type="dxa"/>
            <w:tcBorders>
              <w:top w:val="single" w:sz="4" w:space="0" w:color="auto"/>
              <w:left w:val="single" w:sz="4" w:space="0" w:color="auto"/>
            </w:tcBorders>
            <w:shd w:val="clear" w:color="auto" w:fill="FFFFFF"/>
            <w:vAlign w:val="bottom"/>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1.</w:t>
            </w:r>
          </w:p>
        </w:tc>
        <w:tc>
          <w:tcPr>
            <w:tcW w:w="1757"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86" w:type="dxa"/>
            <w:vMerge/>
            <w:tcBorders>
              <w:left w:val="single" w:sz="4" w:space="0" w:color="auto"/>
            </w:tcBorders>
            <w:shd w:val="clear" w:color="auto" w:fill="FFFFFF"/>
          </w:tcPr>
          <w:p w:rsidR="001B6381" w:rsidRDefault="001B6381">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2.</w:t>
            </w:r>
          </w:p>
        </w:tc>
        <w:tc>
          <w:tcPr>
            <w:tcW w:w="1757"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86" w:type="dxa"/>
            <w:vMerge/>
            <w:tcBorders>
              <w:left w:val="single" w:sz="4" w:space="0" w:color="auto"/>
            </w:tcBorders>
            <w:shd w:val="clear" w:color="auto" w:fill="FFFFFF"/>
          </w:tcPr>
          <w:p w:rsidR="001B6381" w:rsidRDefault="001B6381">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3.</w:t>
            </w:r>
          </w:p>
        </w:tc>
        <w:tc>
          <w:tcPr>
            <w:tcW w:w="1757"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86" w:type="dxa"/>
            <w:vMerge w:val="restart"/>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1541" w:type="dxa"/>
            <w:tcBorders>
              <w:top w:val="single" w:sz="4" w:space="0" w:color="auto"/>
              <w:left w:val="single" w:sz="4" w:space="0" w:color="auto"/>
            </w:tcBorders>
            <w:shd w:val="clear" w:color="auto" w:fill="FFFFFF"/>
            <w:vAlign w:val="bottom"/>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1.</w:t>
            </w:r>
          </w:p>
        </w:tc>
        <w:tc>
          <w:tcPr>
            <w:tcW w:w="1757"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83"/>
        </w:trPr>
        <w:tc>
          <w:tcPr>
            <w:tcW w:w="1186" w:type="dxa"/>
            <w:vMerge/>
            <w:tcBorders>
              <w:left w:val="single" w:sz="4" w:space="0" w:color="auto"/>
            </w:tcBorders>
            <w:shd w:val="clear" w:color="auto" w:fill="FFFFFF"/>
          </w:tcPr>
          <w:p w:rsidR="001B6381" w:rsidRDefault="001B6381">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tcBorders>
            <w:shd w:val="clear" w:color="auto" w:fill="FFFFFF"/>
            <w:vAlign w:val="bottom"/>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2.</w:t>
            </w:r>
          </w:p>
        </w:tc>
        <w:tc>
          <w:tcPr>
            <w:tcW w:w="1757"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r w:rsidR="001B6381">
        <w:trPr>
          <w:trHeight w:hRule="exact" w:val="293"/>
        </w:trPr>
        <w:tc>
          <w:tcPr>
            <w:tcW w:w="1186" w:type="dxa"/>
            <w:vMerge/>
            <w:tcBorders>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Cs w:val="24"/>
              </w:rPr>
            </w:pPr>
          </w:p>
        </w:tc>
        <w:tc>
          <w:tcPr>
            <w:tcW w:w="1541" w:type="dxa"/>
            <w:tcBorders>
              <w:top w:val="single" w:sz="4" w:space="0" w:color="auto"/>
              <w:left w:val="single" w:sz="4" w:space="0" w:color="auto"/>
              <w:bottom w:val="single" w:sz="4" w:space="0" w:color="auto"/>
            </w:tcBorders>
            <w:shd w:val="clear" w:color="auto" w:fill="FFFFFF"/>
            <w:vAlign w:val="bottom"/>
          </w:tcPr>
          <w:p w:rsidR="001B6381" w:rsidRDefault="00D30841">
            <w:pPr>
              <w:widowControl w:val="0"/>
              <w:spacing w:before="0" w:after="0" w:line="130" w:lineRule="exact"/>
              <w:ind w:left="80"/>
              <w:jc w:val="left"/>
              <w:rPr>
                <w:rFonts w:ascii="Arial" w:eastAsia="Arial" w:hAnsi="Arial" w:cs="Arial"/>
                <w:noProof/>
                <w:color w:val="000000"/>
                <w:sz w:val="13"/>
                <w:szCs w:val="13"/>
              </w:rPr>
            </w:pPr>
            <w:r>
              <w:rPr>
                <w:rFonts w:ascii="Arial" w:hAnsi="Arial"/>
                <w:noProof/>
                <w:color w:val="000000"/>
                <w:sz w:val="13"/>
              </w:rPr>
              <w:t>3.</w:t>
            </w:r>
          </w:p>
        </w:tc>
        <w:tc>
          <w:tcPr>
            <w:tcW w:w="1757"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43"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38" w:type="dxa"/>
            <w:tcBorders>
              <w:top w:val="single" w:sz="4" w:space="0" w:color="auto"/>
              <w:left w:val="single" w:sz="4" w:space="0" w:color="auto"/>
              <w:bottom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1B6381" w:rsidRDefault="001B6381">
            <w:pPr>
              <w:widowControl w:val="0"/>
              <w:spacing w:before="0" w:after="0"/>
              <w:jc w:val="left"/>
              <w:rPr>
                <w:rFonts w:eastAsia="Times New Roman"/>
                <w:noProof/>
                <w:color w:val="000000"/>
                <w:sz w:val="10"/>
                <w:szCs w:val="10"/>
              </w:rPr>
            </w:pPr>
          </w:p>
        </w:tc>
      </w:tr>
    </w:tbl>
    <w:p w:rsidR="001B6381" w:rsidRDefault="001B6381">
      <w:pPr>
        <w:rPr>
          <w:rFonts w:eastAsia="Times New Roman"/>
          <w:noProof/>
        </w:rPr>
      </w:pPr>
    </w:p>
    <w:p w:rsidR="001B6381" w:rsidRDefault="00D30841">
      <w:pPr>
        <w:rPr>
          <w:rFonts w:eastAsia="Times New Roman"/>
          <w:noProof/>
          <w:sz w:val="16"/>
          <w:szCs w:val="16"/>
        </w:rPr>
      </w:pPr>
      <w:r>
        <w:rPr>
          <w:b/>
          <w:noProof/>
          <w:sz w:val="16"/>
        </w:rPr>
        <w:t>Tаблица 3</w:t>
      </w:r>
      <w:r>
        <w:rPr>
          <w:noProof/>
          <w:sz w:val="16"/>
        </w:rPr>
        <w:t>: Допълнителна информация</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4"/>
      </w:tblGrid>
      <w:tr w:rsidR="001B6381">
        <w:trPr>
          <w:trHeight w:val="507"/>
        </w:trPr>
        <w:tc>
          <w:tcPr>
            <w:tcW w:w="5000" w:type="pct"/>
            <w:shd w:val="clear" w:color="auto" w:fill="auto"/>
          </w:tcPr>
          <w:p w:rsidR="001B6381" w:rsidRDefault="00D30841">
            <w:pPr>
              <w:widowControl w:val="0"/>
              <w:spacing w:before="0" w:after="45" w:line="130" w:lineRule="exact"/>
              <w:ind w:left="160"/>
              <w:jc w:val="center"/>
              <w:rPr>
                <w:rFonts w:ascii="Arial" w:eastAsia="Arial" w:hAnsi="Arial" w:cs="Arial"/>
                <w:noProof/>
                <w:sz w:val="13"/>
                <w:szCs w:val="13"/>
              </w:rPr>
            </w:pPr>
            <w:r>
              <w:rPr>
                <w:rFonts w:ascii="Arial" w:eastAsia="Arial" w:hAnsi="Arial" w:cs="Arial"/>
                <w:noProof/>
                <w:color w:val="000000"/>
                <w:sz w:val="13"/>
                <w:szCs w:val="13"/>
                <w:shd w:val="clear" w:color="auto" w:fill="FFFFFF"/>
              </w:rPr>
              <w:br/>
            </w:r>
            <w:r>
              <w:rPr>
                <w:rFonts w:ascii="Arial" w:hAnsi="Arial"/>
                <w:noProof/>
                <w:color w:val="000000"/>
                <w:sz w:val="13"/>
                <w:shd w:val="clear" w:color="auto" w:fill="FFFFFF"/>
              </w:rPr>
              <w:t>Наименование на МГП:</w:t>
            </w:r>
          </w:p>
          <w:p w:rsidR="001B6381" w:rsidRDefault="00D30841">
            <w:pPr>
              <w:widowControl w:val="0"/>
              <w:spacing w:before="0" w:after="170" w:line="130" w:lineRule="exact"/>
              <w:ind w:left="160"/>
              <w:jc w:val="center"/>
              <w:rPr>
                <w:rFonts w:ascii="Arial" w:eastAsia="Arial" w:hAnsi="Arial" w:cs="Arial"/>
                <w:noProof/>
                <w:sz w:val="13"/>
                <w:szCs w:val="13"/>
              </w:rPr>
            </w:pPr>
            <w:r>
              <w:rPr>
                <w:rFonts w:ascii="Arial" w:hAnsi="Arial"/>
                <w:noProof/>
                <w:color w:val="000000"/>
                <w:sz w:val="13"/>
                <w:shd w:val="clear" w:color="auto" w:fill="FFFFFF"/>
              </w:rPr>
              <w:t>Финансова година, за която се отнася отчетът:</w:t>
            </w:r>
          </w:p>
        </w:tc>
      </w:tr>
      <w:tr w:rsidR="001B6381">
        <w:trPr>
          <w:trHeight w:val="1699"/>
        </w:trPr>
        <w:tc>
          <w:tcPr>
            <w:tcW w:w="5000" w:type="pct"/>
            <w:shd w:val="clear" w:color="auto" w:fill="auto"/>
          </w:tcPr>
          <w:p w:rsidR="001B6381" w:rsidRDefault="00D30841">
            <w:pPr>
              <w:rPr>
                <w:rFonts w:eastAsia="Times New Roman"/>
                <w:i/>
                <w:noProof/>
              </w:rPr>
            </w:pPr>
            <w:r>
              <w:rPr>
                <w:rFonts w:ascii="Arial" w:hAnsi="Arial"/>
                <w:i/>
                <w:noProof/>
                <w:color w:val="000000"/>
                <w:sz w:val="13"/>
                <w:shd w:val="clear" w:color="auto" w:fill="FFFFFF"/>
              </w:rPr>
              <w:t xml:space="preserve">Моля, включете всякаква допълнителна кратка информация или обяснения, които смятате за необходими или  улесняващи  разбирането на задължителната информация, предоставена в  отчета по държави </w:t>
            </w:r>
          </w:p>
          <w:p w:rsidR="001B6381" w:rsidRDefault="001B6381">
            <w:pPr>
              <w:rPr>
                <w:rFonts w:eastAsia="Times New Roman"/>
                <w:noProof/>
              </w:rPr>
            </w:pPr>
          </w:p>
          <w:p w:rsidR="001B6381" w:rsidRDefault="001B6381">
            <w:pPr>
              <w:rPr>
                <w:rFonts w:eastAsia="Times New Roman"/>
                <w:noProof/>
              </w:rPr>
            </w:pPr>
          </w:p>
        </w:tc>
      </w:tr>
    </w:tbl>
    <w:p w:rsidR="001B6381" w:rsidRDefault="001B6381">
      <w:pPr>
        <w:rPr>
          <w:rFonts w:eastAsia="Times New Roman"/>
          <w:noProof/>
        </w:rPr>
        <w:sectPr w:rsidR="001B6381" w:rsidSect="00D30841">
          <w:headerReference w:type="default" r:id="rId21"/>
          <w:footerReference w:type="default" r:id="rId22"/>
          <w:headerReference w:type="first" r:id="rId23"/>
          <w:footerReference w:type="first" r:id="rId24"/>
          <w:pgSz w:w="16839" w:h="11907" w:orient="landscape"/>
          <w:pgMar w:top="1418" w:right="1134" w:bottom="1417" w:left="1134" w:header="709" w:footer="709" w:gutter="0"/>
          <w:cols w:space="708"/>
          <w:docGrid w:linePitch="360"/>
        </w:sectPr>
      </w:pPr>
    </w:p>
    <w:p w:rsidR="001B6381" w:rsidRDefault="00D30841">
      <w:pPr>
        <w:rPr>
          <w:rFonts w:eastAsia="Calibri"/>
          <w:b/>
          <w:noProof/>
          <w:szCs w:val="24"/>
        </w:rPr>
      </w:pPr>
      <w:r>
        <w:rPr>
          <w:b/>
          <w:noProof/>
        </w:rPr>
        <w:t>Б. Общи указания за съставяне на отчета по държави</w:t>
      </w:r>
    </w:p>
    <w:p w:rsidR="001B6381" w:rsidRDefault="001B6381">
      <w:pPr>
        <w:spacing w:before="0" w:after="200" w:line="276" w:lineRule="auto"/>
        <w:rPr>
          <w:rFonts w:eastAsia="Calibri"/>
          <w:b/>
          <w:noProof/>
          <w:szCs w:val="24"/>
        </w:rPr>
      </w:pPr>
    </w:p>
    <w:p w:rsidR="001B6381" w:rsidRDefault="00D30841">
      <w:pPr>
        <w:rPr>
          <w:noProof/>
        </w:rPr>
      </w:pPr>
      <w:r>
        <w:rPr>
          <w:noProof/>
        </w:rPr>
        <w:t>1. Цел</w:t>
      </w:r>
    </w:p>
    <w:p w:rsidR="001B6381" w:rsidRDefault="00D30841">
      <w:pPr>
        <w:spacing w:before="0" w:after="200" w:line="276" w:lineRule="auto"/>
        <w:rPr>
          <w:rFonts w:eastAsia="Calibri"/>
          <w:noProof/>
          <w:szCs w:val="24"/>
        </w:rPr>
      </w:pPr>
      <w:r>
        <w:rPr>
          <w:noProof/>
        </w:rPr>
        <w:t>Образецът се използва за отчитане от страна на многонационалните групи от предприятия (МГП) на разпределението на доходит</w:t>
      </w:r>
      <w:r>
        <w:rPr>
          <w:noProof/>
        </w:rPr>
        <w:t>е, данъците и стопанските дейности по данъчни юрисдикции.</w:t>
      </w:r>
    </w:p>
    <w:p w:rsidR="001B6381" w:rsidRDefault="001B6381">
      <w:pPr>
        <w:rPr>
          <w:noProof/>
        </w:rPr>
      </w:pPr>
    </w:p>
    <w:p w:rsidR="001B6381" w:rsidRDefault="00D30841">
      <w:pPr>
        <w:rPr>
          <w:noProof/>
        </w:rPr>
      </w:pPr>
      <w:r>
        <w:rPr>
          <w:noProof/>
        </w:rPr>
        <w:t>2. Третиране на клонове и места на стопанска дейност</w:t>
      </w:r>
    </w:p>
    <w:p w:rsidR="001B6381" w:rsidRDefault="00D30841">
      <w:pPr>
        <w:spacing w:before="0" w:after="200" w:line="276" w:lineRule="auto"/>
        <w:rPr>
          <w:rFonts w:eastAsia="Calibri"/>
          <w:noProof/>
          <w:szCs w:val="24"/>
        </w:rPr>
      </w:pPr>
      <w:r>
        <w:rPr>
          <w:noProof/>
        </w:rPr>
        <w:t>Данните за местата на стопанска дейност се отчитат в зависимост от данъчната юрисдикция, в която те се намират, а не в зависимост от юрисдикцият</w:t>
      </w:r>
      <w:r>
        <w:rPr>
          <w:noProof/>
        </w:rPr>
        <w:t>а, на която е местно лице за данъчни цели стопанската единица, към която принадлежи мястото на стопанска дейност. При отчитането за юрисдикцията, на която стопанската единица, към която принадлежи мястото на стопанска дейност, е местно лице за данъчни цели</w:t>
      </w:r>
      <w:r>
        <w:rPr>
          <w:noProof/>
        </w:rPr>
        <w:t>, се изключват финансовите данни за мястото на стопанска дейност.</w:t>
      </w:r>
    </w:p>
    <w:p w:rsidR="001B6381" w:rsidRDefault="001B6381">
      <w:pPr>
        <w:spacing w:before="0" w:after="200" w:line="276" w:lineRule="auto"/>
        <w:rPr>
          <w:rFonts w:eastAsia="Calibri"/>
          <w:noProof/>
          <w:szCs w:val="24"/>
        </w:rPr>
      </w:pPr>
    </w:p>
    <w:p w:rsidR="001B6381" w:rsidRDefault="00D30841">
      <w:pPr>
        <w:rPr>
          <w:noProof/>
        </w:rPr>
      </w:pPr>
      <w:r>
        <w:rPr>
          <w:noProof/>
        </w:rPr>
        <w:t>3. Период, обхванат от годишния образец</w:t>
      </w:r>
    </w:p>
    <w:p w:rsidR="001B6381" w:rsidRDefault="00D30841">
      <w:pPr>
        <w:spacing w:before="0" w:after="200" w:line="276" w:lineRule="auto"/>
        <w:rPr>
          <w:rFonts w:eastAsia="Calibri"/>
          <w:noProof/>
          <w:szCs w:val="24"/>
        </w:rPr>
      </w:pPr>
      <w:r>
        <w:rPr>
          <w:noProof/>
        </w:rPr>
        <w:t>Образецът обхваща финансовата година на „отчитащата се МГП“. За „съставни единици“, по преценка на „отчитащата се МГП“, образецът отразява последоват</w:t>
      </w:r>
      <w:r>
        <w:rPr>
          <w:noProof/>
        </w:rPr>
        <w:t>елно едно от следните сведения:</w:t>
      </w:r>
    </w:p>
    <w:p w:rsidR="001B6381" w:rsidRDefault="00D30841">
      <w:pPr>
        <w:spacing w:before="0" w:after="200" w:line="276" w:lineRule="auto"/>
        <w:rPr>
          <w:rFonts w:eastAsia="Calibri"/>
          <w:noProof/>
          <w:szCs w:val="24"/>
        </w:rPr>
      </w:pPr>
      <w:r>
        <w:rPr>
          <w:noProof/>
        </w:rPr>
        <w:t>а) информация за финансовата година на съответните „съставни единици“, която изтича на същата дата както финансовата година на „отчитащата се МГП“ или която завършва в рамките на 12-месечния период, предхождащ тази дата;</w:t>
      </w:r>
    </w:p>
    <w:p w:rsidR="001B6381" w:rsidRDefault="00D30841">
      <w:pPr>
        <w:spacing w:before="0" w:after="200" w:line="276" w:lineRule="auto"/>
        <w:rPr>
          <w:rFonts w:eastAsia="Calibri"/>
          <w:noProof/>
          <w:szCs w:val="24"/>
        </w:rPr>
      </w:pPr>
      <w:r>
        <w:rPr>
          <w:noProof/>
        </w:rPr>
        <w:t xml:space="preserve">б) </w:t>
      </w:r>
      <w:r>
        <w:rPr>
          <w:noProof/>
        </w:rPr>
        <w:t>информация за всички съответни „съставни единици“, отчитана за финансовата година на „отчитащата се МГП“.</w:t>
      </w:r>
    </w:p>
    <w:p w:rsidR="001B6381" w:rsidRDefault="001B6381">
      <w:pPr>
        <w:spacing w:before="0" w:after="200" w:line="276" w:lineRule="auto"/>
        <w:rPr>
          <w:rFonts w:eastAsia="Calibri"/>
          <w:noProof/>
          <w:szCs w:val="24"/>
        </w:rPr>
      </w:pPr>
    </w:p>
    <w:p w:rsidR="001B6381" w:rsidRDefault="00D30841">
      <w:pPr>
        <w:rPr>
          <w:noProof/>
        </w:rPr>
      </w:pPr>
      <w:r>
        <w:rPr>
          <w:noProof/>
        </w:rPr>
        <w:t>4. Източник на данните</w:t>
      </w:r>
    </w:p>
    <w:p w:rsidR="001B6381" w:rsidRDefault="00D30841">
      <w:pPr>
        <w:spacing w:before="0" w:after="200" w:line="276" w:lineRule="auto"/>
        <w:rPr>
          <w:rFonts w:eastAsia="Calibri"/>
          <w:noProof/>
          <w:szCs w:val="24"/>
        </w:rPr>
      </w:pPr>
      <w:r>
        <w:rPr>
          <w:noProof/>
        </w:rPr>
        <w:t xml:space="preserve">При попълването на образеца „отчитащата се МГП“ използва последователно всяка година едни и същи източници на информация. </w:t>
      </w:r>
      <w:r>
        <w:rPr>
          <w:noProof/>
        </w:rPr>
        <w:t>„Отчитащата се МГП“ може да избере да използва данните от своите консолидирани отчети, от задължителните финансови отчети на отделните единици, от законоустановените финансови отчети или от вътрешното управленско счетоводство. Не е необходимо синхронизиран</w:t>
      </w:r>
      <w:r>
        <w:rPr>
          <w:noProof/>
        </w:rPr>
        <w:t>е на отчитането на доходи, печалба и данъци в образеца с консолидираните финансови отчети. Ако  като основа за отчитане се използват задължителните финансови отчети, всички суми се преизчисляват във функционалната валута на „отчитащата се МГП“ по средния г</w:t>
      </w:r>
      <w:r>
        <w:rPr>
          <w:noProof/>
        </w:rPr>
        <w:t>одишен курс за годината, посочена в раздела за допълнителна информация в образеца. Не са необходими обаче корекции на различията в счетоводните принципи, прилагани от различните данъчни юрисдикции.</w:t>
      </w:r>
    </w:p>
    <w:p w:rsidR="001B6381" w:rsidRDefault="00D30841">
      <w:pPr>
        <w:spacing w:before="0" w:after="200" w:line="276" w:lineRule="auto"/>
        <w:rPr>
          <w:rFonts w:eastAsia="Calibri"/>
          <w:noProof/>
          <w:szCs w:val="24"/>
        </w:rPr>
      </w:pPr>
      <w:r>
        <w:rPr>
          <w:noProof/>
        </w:rPr>
        <w:t>„Отчитащата се МГП“ предоставя кратко описание на източниц</w:t>
      </w:r>
      <w:r>
        <w:rPr>
          <w:noProof/>
        </w:rPr>
        <w:t xml:space="preserve">ите на данни, използвани при изготвянето на образеца в раздела за допълнителната информация в образеца. Ако е направено изменение в обичайно използвания всяка година източник на информация, „отчитащата се МГП“ обяснява причините за промяната и последиците </w:t>
      </w:r>
      <w:r>
        <w:rPr>
          <w:noProof/>
        </w:rPr>
        <w:t>от нея в раздела за допълнителната информация в образеца.</w:t>
      </w:r>
    </w:p>
    <w:p w:rsidR="001B6381" w:rsidRDefault="001B6381">
      <w:pPr>
        <w:spacing w:before="0" w:after="200" w:line="276" w:lineRule="auto"/>
        <w:rPr>
          <w:rFonts w:eastAsia="Calibri"/>
          <w:b/>
          <w:noProof/>
          <w:szCs w:val="24"/>
        </w:rPr>
      </w:pPr>
    </w:p>
    <w:p w:rsidR="001B6381" w:rsidRDefault="00D30841">
      <w:pPr>
        <w:spacing w:before="0" w:after="200" w:line="276" w:lineRule="auto"/>
        <w:rPr>
          <w:rFonts w:eastAsia="Calibri"/>
          <w:b/>
          <w:noProof/>
          <w:szCs w:val="24"/>
        </w:rPr>
      </w:pPr>
      <w:r>
        <w:rPr>
          <w:b/>
          <w:noProof/>
        </w:rPr>
        <w:t>В. Конкретни указания за попълване на отчета по държави</w:t>
      </w:r>
    </w:p>
    <w:p w:rsidR="001B6381" w:rsidRDefault="00D30841">
      <w:pPr>
        <w:spacing w:before="0" w:after="200" w:line="276" w:lineRule="auto"/>
        <w:rPr>
          <w:rFonts w:eastAsia="Calibri"/>
          <w:b/>
          <w:noProof/>
          <w:szCs w:val="24"/>
        </w:rPr>
      </w:pPr>
      <w:r>
        <w:rPr>
          <w:b/>
          <w:noProof/>
        </w:rPr>
        <w:t>1. Обобщение на разпределението на приходите, данъците и стопанските дейности по данъчни юрисдикции (Таблица 1)</w:t>
      </w:r>
    </w:p>
    <w:p w:rsidR="001B6381" w:rsidRDefault="00D30841">
      <w:pPr>
        <w:spacing w:before="0" w:after="200" w:line="276" w:lineRule="auto"/>
        <w:rPr>
          <w:rFonts w:eastAsia="Calibri"/>
          <w:noProof/>
          <w:szCs w:val="24"/>
        </w:rPr>
      </w:pPr>
      <w:r>
        <w:rPr>
          <w:noProof/>
        </w:rPr>
        <w:t>1.1. Данъчна юрисдикция</w:t>
      </w:r>
    </w:p>
    <w:p w:rsidR="001B6381" w:rsidRDefault="00D30841">
      <w:pPr>
        <w:spacing w:before="0" w:after="200" w:line="276" w:lineRule="auto"/>
        <w:rPr>
          <w:rFonts w:eastAsia="Calibri"/>
          <w:noProof/>
          <w:szCs w:val="24"/>
        </w:rPr>
      </w:pPr>
      <w:r>
        <w:rPr>
          <w:noProof/>
        </w:rPr>
        <w:t>В пър</w:t>
      </w:r>
      <w:r>
        <w:rPr>
          <w:noProof/>
        </w:rPr>
        <w:t>вата колона на образеца „отчитащата се МГП“ прави списък на всички данъчни юрисдикции, на които „съставните единици“ на „МГП“ са местни лица за данъчни цели. Данъчната юрисдикция представлява държавна, както и недържавна юрисдикция, която притежава данъчна</w:t>
      </w:r>
      <w:r>
        <w:rPr>
          <w:noProof/>
        </w:rPr>
        <w:t xml:space="preserve"> автономност. Въвежда се отделен ред за всички „съставни единици“ на „МГП“, които „отчитащата се МГП“ не смята за местни лица за данъчни цели, на която и да било данъчна юрисдикция. Когато „съставна единица“ е местно лице на повече от една данъчна юрисдикц</w:t>
      </w:r>
      <w:r>
        <w:rPr>
          <w:noProof/>
        </w:rPr>
        <w:t xml:space="preserve">ия, за определянето на данъчната юрисдикция, на която тя е местно лице, се прилага правилото за разграничаване, предвидено в приложимата данъчна спогодба.  Когато липсват приложими данъчни спогодби, „съставната единица“ се отчита в данъчната юрисдикция, в </w:t>
      </w:r>
      <w:r>
        <w:rPr>
          <w:noProof/>
        </w:rPr>
        <w:t>която е мястото на нейното действително управление. Мястото на действително управление се определя с международно приетите стандарти.</w:t>
      </w:r>
    </w:p>
    <w:p w:rsidR="001B6381" w:rsidRDefault="00D30841">
      <w:pPr>
        <w:spacing w:before="0" w:after="200" w:line="276" w:lineRule="auto"/>
        <w:rPr>
          <w:rFonts w:eastAsia="Calibri"/>
          <w:noProof/>
          <w:szCs w:val="24"/>
        </w:rPr>
      </w:pPr>
      <w:r>
        <w:rPr>
          <w:noProof/>
        </w:rPr>
        <w:t>1.2. Приходи</w:t>
      </w:r>
    </w:p>
    <w:p w:rsidR="001B6381" w:rsidRDefault="00D30841">
      <w:pPr>
        <w:spacing w:before="0" w:after="200" w:line="276" w:lineRule="auto"/>
        <w:rPr>
          <w:rFonts w:eastAsia="Calibri"/>
          <w:noProof/>
          <w:szCs w:val="24"/>
        </w:rPr>
      </w:pPr>
      <w:r>
        <w:rPr>
          <w:noProof/>
        </w:rPr>
        <w:t xml:space="preserve">В трите колони  в раздел „Приходи“ от образеца „отчитащата се МГП“ въвежда следната информация: </w:t>
      </w:r>
    </w:p>
    <w:p w:rsidR="001B6381" w:rsidRDefault="00D30841">
      <w:pPr>
        <w:spacing w:before="0" w:after="200" w:line="276" w:lineRule="auto"/>
        <w:rPr>
          <w:rFonts w:eastAsia="Calibri"/>
          <w:noProof/>
          <w:szCs w:val="24"/>
        </w:rPr>
      </w:pPr>
      <w:r>
        <w:rPr>
          <w:noProof/>
        </w:rPr>
        <w:t>а) сумата на</w:t>
      </w:r>
      <w:r>
        <w:rPr>
          <w:noProof/>
        </w:rPr>
        <w:t xml:space="preserve"> приходите на всички „съставни единици“ на „МГП“ в съответната данъчна юрисдикция, генерирани при трансакции със свързани предприятия; </w:t>
      </w:r>
    </w:p>
    <w:p w:rsidR="001B6381" w:rsidRDefault="00D30841">
      <w:pPr>
        <w:spacing w:before="0" w:after="200" w:line="276" w:lineRule="auto"/>
        <w:rPr>
          <w:rFonts w:eastAsia="Calibri"/>
          <w:noProof/>
          <w:szCs w:val="24"/>
        </w:rPr>
      </w:pPr>
      <w:r>
        <w:rPr>
          <w:noProof/>
        </w:rPr>
        <w:t>б) сумата на приходите на всички „съставни единици“  на „МГП“ в съответната данъчна юрисдикция, генерирани при трансакци</w:t>
      </w:r>
      <w:r>
        <w:rPr>
          <w:noProof/>
        </w:rPr>
        <w:t xml:space="preserve">и с независими страни; </w:t>
      </w:r>
    </w:p>
    <w:p w:rsidR="001B6381" w:rsidRDefault="00D30841">
      <w:pPr>
        <w:spacing w:before="0" w:after="200" w:line="276" w:lineRule="auto"/>
        <w:rPr>
          <w:rFonts w:eastAsia="Calibri"/>
          <w:noProof/>
          <w:szCs w:val="24"/>
        </w:rPr>
      </w:pPr>
      <w:r>
        <w:rPr>
          <w:noProof/>
        </w:rPr>
        <w:t xml:space="preserve">в) сборът на сумите, посочени в букви а) и б). </w:t>
      </w:r>
    </w:p>
    <w:p w:rsidR="001B6381" w:rsidRDefault="00D30841">
      <w:pPr>
        <w:spacing w:before="0" w:after="200" w:line="276" w:lineRule="auto"/>
        <w:rPr>
          <w:rFonts w:eastAsia="Calibri"/>
          <w:noProof/>
          <w:szCs w:val="24"/>
        </w:rPr>
      </w:pPr>
      <w:r>
        <w:rPr>
          <w:noProof/>
        </w:rPr>
        <w:t>Приходите включват приходи от продажби на стоково-материални запаси и имоти, услуги, авторски и лицензионни възнаграждения, лихви, премии и всякакви други суми. Приходите не включват п</w:t>
      </w:r>
      <w:r>
        <w:rPr>
          <w:noProof/>
        </w:rPr>
        <w:t>лащанията, получени от други „съставни единици“, които се третират като дивиденти в данъчната юрисдикция на платеца.</w:t>
      </w:r>
    </w:p>
    <w:p w:rsidR="001B6381" w:rsidRDefault="00D30841">
      <w:pPr>
        <w:spacing w:before="0" w:after="200" w:line="276" w:lineRule="auto"/>
        <w:rPr>
          <w:rFonts w:eastAsia="Calibri"/>
          <w:noProof/>
          <w:szCs w:val="24"/>
        </w:rPr>
      </w:pPr>
      <w:r>
        <w:rPr>
          <w:noProof/>
        </w:rPr>
        <w:t>1.3. Печалба (загуба) преди данъка върху доходите</w:t>
      </w:r>
    </w:p>
    <w:p w:rsidR="001B6381" w:rsidRDefault="00D30841">
      <w:pPr>
        <w:spacing w:before="0" w:after="840" w:line="276" w:lineRule="auto"/>
        <w:rPr>
          <w:rFonts w:eastAsia="Calibri"/>
          <w:noProof/>
          <w:szCs w:val="24"/>
        </w:rPr>
      </w:pPr>
      <w:r>
        <w:rPr>
          <w:noProof/>
        </w:rPr>
        <w:t>В петата колона от образеца „отчитащата се МГП“ посочва сумата на печалбата (загубата) пр</w:t>
      </w:r>
      <w:r>
        <w:rPr>
          <w:noProof/>
        </w:rPr>
        <w:t>еди данъка върху доходите за всички „съставни единици“, които са местни лица за данъчни цели на съответната данъчна юрисдикция. Печалбата (загубата) преди данъка върху доходите включва всички извънредни приходи и разходи.</w:t>
      </w:r>
    </w:p>
    <w:p w:rsidR="001B6381" w:rsidRDefault="00D30841">
      <w:pPr>
        <w:spacing w:before="0" w:after="200" w:line="276" w:lineRule="auto"/>
        <w:rPr>
          <w:rFonts w:eastAsia="Calibri"/>
          <w:noProof/>
          <w:szCs w:val="24"/>
        </w:rPr>
      </w:pPr>
      <w:r>
        <w:rPr>
          <w:noProof/>
        </w:rPr>
        <w:t>1.4. Платени данъци върху доходите</w:t>
      </w:r>
      <w:r>
        <w:rPr>
          <w:noProof/>
        </w:rPr>
        <w:t xml:space="preserve"> (на касова основа)</w:t>
      </w:r>
    </w:p>
    <w:p w:rsidR="001B6381" w:rsidRDefault="00D30841">
      <w:pPr>
        <w:spacing w:before="0" w:after="200" w:line="276" w:lineRule="auto"/>
        <w:rPr>
          <w:rFonts w:eastAsia="Calibri"/>
          <w:noProof/>
          <w:szCs w:val="24"/>
        </w:rPr>
      </w:pPr>
      <w:r>
        <w:rPr>
          <w:noProof/>
        </w:rPr>
        <w:t>В шестата колона от образеца „отчитащата се МГП“ посочва общия размер на данъка върху доходите, реално платен през съответната финансова година от всички „съставни единици“, които са местни лица за данъчни цели на съответната данъчна юр</w:t>
      </w:r>
      <w:r>
        <w:rPr>
          <w:noProof/>
        </w:rPr>
        <w:t>исдикция. Платените данъци включват платените в парично изражение данъци от „съставната единица“ към юрисдикцията, на която тя е местно лице за данъчни цели, и към всички останали данъчни юрисдикции. Платените данъци включват удържаните при източника данъц</w:t>
      </w:r>
      <w:r>
        <w:rPr>
          <w:noProof/>
        </w:rPr>
        <w:t>и, платени от други предприятия (асоциирани предприятия и независими предприятия) по отношение на плащанията към „съставната единица“. Така например, ако дружество А,  което е местно лице на данъчна юрисдикция А, получава лихви в данъчна юрисдикция Б, данъ</w:t>
      </w:r>
      <w:r>
        <w:rPr>
          <w:noProof/>
        </w:rPr>
        <w:t>кът, удържан в данъчна юрисдикция Б, се отчита от дружество A.</w:t>
      </w:r>
    </w:p>
    <w:p w:rsidR="001B6381" w:rsidRDefault="00D30841">
      <w:pPr>
        <w:spacing w:before="0" w:after="200" w:line="276" w:lineRule="auto"/>
        <w:rPr>
          <w:rFonts w:eastAsia="Calibri"/>
          <w:noProof/>
          <w:szCs w:val="24"/>
        </w:rPr>
      </w:pPr>
      <w:r>
        <w:rPr>
          <w:noProof/>
        </w:rPr>
        <w:t>1.5. Начислен данък върху дохода (текуща година)</w:t>
      </w:r>
    </w:p>
    <w:p w:rsidR="001B6381" w:rsidRDefault="00D30841">
      <w:pPr>
        <w:spacing w:before="0" w:after="200" w:line="276" w:lineRule="auto"/>
        <w:rPr>
          <w:rFonts w:eastAsia="Calibri"/>
          <w:noProof/>
          <w:szCs w:val="24"/>
        </w:rPr>
      </w:pPr>
      <w:r>
        <w:rPr>
          <w:noProof/>
        </w:rPr>
        <w:t>В седмата колона от образеца „отчитащата се МГП“ посочва сумата на разходите за текущо начисления данък  във връзка с облагаемата печалба или за</w:t>
      </w:r>
      <w:r>
        <w:rPr>
          <w:noProof/>
        </w:rPr>
        <w:t>губите за годината на отчитането на всички „съставни единици“, които са местни лица за данъчни цели в съответната данъчна юрисдикция. Текущите данъчни разходи отразяват само операции през текущата година и не включват разсрочени данъци или провизии за неоп</w:t>
      </w:r>
      <w:r>
        <w:rPr>
          <w:noProof/>
        </w:rPr>
        <w:t>ределени данъчни задължения.</w:t>
      </w:r>
    </w:p>
    <w:p w:rsidR="001B6381" w:rsidRDefault="00D30841">
      <w:pPr>
        <w:spacing w:before="0" w:after="200" w:line="276" w:lineRule="auto"/>
        <w:rPr>
          <w:rFonts w:eastAsia="Calibri"/>
          <w:noProof/>
          <w:szCs w:val="24"/>
        </w:rPr>
      </w:pPr>
      <w:r>
        <w:rPr>
          <w:noProof/>
        </w:rPr>
        <w:t>1.6. Обявен капитал</w:t>
      </w:r>
    </w:p>
    <w:p w:rsidR="001B6381" w:rsidRDefault="00D30841">
      <w:pPr>
        <w:spacing w:before="0" w:after="200" w:line="276" w:lineRule="auto"/>
        <w:rPr>
          <w:rFonts w:eastAsia="Calibri"/>
          <w:noProof/>
          <w:szCs w:val="24"/>
        </w:rPr>
      </w:pPr>
      <w:r>
        <w:rPr>
          <w:noProof/>
        </w:rPr>
        <w:t>В осмата колона от образеца „отчитащата се МГП“ посочва сумата на обявения капитал на всички „съставни единици“, които са местни лица за данъчни цели на съответната данъчна юрисдикция. Що се отнася до местат</w:t>
      </w:r>
      <w:r>
        <w:rPr>
          <w:noProof/>
        </w:rPr>
        <w:t>а на стопанска дейност, обявеният капитал се отчита от юридическото лице, на което принадлежи мястото на стопанска дейност, освен ако съществува изрично капиталово изискване в данъчната юрисдикция на мястото на стопанска дейност за регулаторни цели.</w:t>
      </w:r>
    </w:p>
    <w:p w:rsidR="001B6381" w:rsidRDefault="00D30841">
      <w:pPr>
        <w:spacing w:before="0" w:after="200" w:line="276" w:lineRule="auto"/>
        <w:rPr>
          <w:rFonts w:eastAsia="Calibri"/>
          <w:noProof/>
          <w:szCs w:val="24"/>
        </w:rPr>
      </w:pPr>
      <w:r>
        <w:rPr>
          <w:noProof/>
        </w:rPr>
        <w:t>1.7. Н</w:t>
      </w:r>
      <w:r>
        <w:rPr>
          <w:noProof/>
        </w:rPr>
        <w:t>атрупана печалба</w:t>
      </w:r>
    </w:p>
    <w:p w:rsidR="001B6381" w:rsidRDefault="00D30841">
      <w:pPr>
        <w:spacing w:before="0" w:after="200" w:line="276" w:lineRule="auto"/>
        <w:rPr>
          <w:rFonts w:eastAsia="Calibri"/>
          <w:noProof/>
          <w:szCs w:val="24"/>
        </w:rPr>
      </w:pPr>
      <w:r>
        <w:rPr>
          <w:noProof/>
        </w:rPr>
        <w:t>В деветата колона от образеца „отчитащата се МГП“ посочва сумата на натрупаната печалба общо на всички „съставни единици“, които са местни лица за данъчни цели на съответната данъчна юрисдикция към края на годината. Що се отнася до местата</w:t>
      </w:r>
      <w:r>
        <w:rPr>
          <w:noProof/>
        </w:rPr>
        <w:t xml:space="preserve"> на стопанска дейност, натрупаната печалба се отчита от юридическото лице, на което принадлежи мястото на стопанска дейност.</w:t>
      </w:r>
    </w:p>
    <w:p w:rsidR="001B6381" w:rsidRDefault="00D30841">
      <w:pPr>
        <w:spacing w:before="0" w:after="200" w:line="276" w:lineRule="auto"/>
        <w:rPr>
          <w:rFonts w:eastAsia="Calibri"/>
          <w:noProof/>
          <w:szCs w:val="24"/>
        </w:rPr>
      </w:pPr>
      <w:r>
        <w:rPr>
          <w:noProof/>
        </w:rPr>
        <w:t>1.8. Брой на наетите лица</w:t>
      </w:r>
    </w:p>
    <w:p w:rsidR="001B6381" w:rsidRDefault="00D30841">
      <w:pPr>
        <w:spacing w:before="0" w:after="480" w:line="276" w:lineRule="auto"/>
        <w:rPr>
          <w:rFonts w:eastAsia="Calibri"/>
          <w:noProof/>
          <w:szCs w:val="24"/>
        </w:rPr>
      </w:pPr>
      <w:r>
        <w:rPr>
          <w:noProof/>
        </w:rPr>
        <w:t>В десетата колона от образеца „отчитащата се МГП“ посочва общия брой на наетите лица в еквивалент на пълн</w:t>
      </w:r>
      <w:r>
        <w:rPr>
          <w:noProof/>
        </w:rPr>
        <w:t xml:space="preserve">о работно време (ЕПРВ) във всички „съставни единици“, които са местни лица за данъчни цели на съответната данъчна юрисдикция. Броят на служителите може да бъде отчетен към края на годината въз основа на средните равнища на заетост за годината или на друга </w:t>
      </w:r>
      <w:r>
        <w:rPr>
          <w:noProof/>
        </w:rPr>
        <w:t>последователно прилагана през годините база за различните данъчни юрисдикции. За тази цел независимите изпълнители, участващи в обичайната оперативна дейност на „съставната единица“, могат да бъдат отчетени като наети лица. Закръгляване или представяне с р</w:t>
      </w:r>
      <w:r>
        <w:rPr>
          <w:noProof/>
        </w:rPr>
        <w:t xml:space="preserve">азумно приближение на броя на наетите лица е допустимо, при условие че такова закръгляване или приближение не нарушава съществено относителното разпределение на наетите лица в различните данъчни юрисдикции. През годините и спрямо различните предприятия се </w:t>
      </w:r>
      <w:r>
        <w:rPr>
          <w:noProof/>
        </w:rPr>
        <w:t>прилагат последователни подходи.</w:t>
      </w:r>
    </w:p>
    <w:p w:rsidR="001B6381" w:rsidRDefault="00D30841">
      <w:pPr>
        <w:spacing w:before="0" w:after="200" w:line="276" w:lineRule="auto"/>
        <w:rPr>
          <w:rFonts w:eastAsia="Calibri"/>
          <w:noProof/>
          <w:szCs w:val="24"/>
        </w:rPr>
      </w:pPr>
      <w:r>
        <w:rPr>
          <w:noProof/>
        </w:rPr>
        <w:t>1.9. Материални активи, различни от парични средства и парични еквиваленти</w:t>
      </w:r>
    </w:p>
    <w:p w:rsidR="001B6381" w:rsidRDefault="00D30841">
      <w:pPr>
        <w:spacing w:before="0" w:after="200" w:line="276" w:lineRule="auto"/>
        <w:rPr>
          <w:rFonts w:eastAsia="Calibri"/>
          <w:noProof/>
          <w:szCs w:val="24"/>
        </w:rPr>
      </w:pPr>
      <w:r>
        <w:rPr>
          <w:noProof/>
        </w:rPr>
        <w:t xml:space="preserve">В единадесетата колона от образеца „отчитащата се МГП“ посочва нетните балансови стойности на материалните активи на всички „съставни единици“, </w:t>
      </w:r>
      <w:r>
        <w:rPr>
          <w:noProof/>
        </w:rPr>
        <w:t>които са местни лица за данъчни цели в съответната данъчна юрисдикция. Що се отнася до местата на стопанска дейност, активите се отчитат на база на данъчната юрисдикция, в която е разположено мястото на стопанска дейност. За тази цел материалните активи не</w:t>
      </w:r>
      <w:r>
        <w:rPr>
          <w:noProof/>
        </w:rPr>
        <w:t xml:space="preserve"> включват парични средства или парични еквиваленти, нематериални или финансови активи.</w:t>
      </w:r>
    </w:p>
    <w:p w:rsidR="001B6381" w:rsidRDefault="00D30841">
      <w:pPr>
        <w:spacing w:before="0" w:after="200" w:line="276" w:lineRule="auto"/>
        <w:rPr>
          <w:rFonts w:eastAsia="Calibri"/>
          <w:b/>
          <w:noProof/>
          <w:szCs w:val="24"/>
        </w:rPr>
      </w:pPr>
      <w:r>
        <w:rPr>
          <w:b/>
          <w:noProof/>
        </w:rPr>
        <w:t>2. Списък на всички „съставни единици“ на МГП, включени във всяко от обобщенията по данъчни юрисдикции (Таблица 2)</w:t>
      </w:r>
    </w:p>
    <w:p w:rsidR="001B6381" w:rsidRDefault="00D30841">
      <w:pPr>
        <w:spacing w:before="0" w:after="200" w:line="276" w:lineRule="auto"/>
        <w:rPr>
          <w:rFonts w:eastAsia="Calibri"/>
          <w:noProof/>
          <w:szCs w:val="24"/>
        </w:rPr>
      </w:pPr>
      <w:r>
        <w:rPr>
          <w:noProof/>
        </w:rPr>
        <w:t>2.1. Съставни единици, които са местни лица на  данъчн</w:t>
      </w:r>
      <w:r>
        <w:rPr>
          <w:noProof/>
        </w:rPr>
        <w:t>ата юрисдикция</w:t>
      </w:r>
    </w:p>
    <w:p w:rsidR="001B6381" w:rsidRDefault="00D30841">
      <w:pPr>
        <w:spacing w:before="0" w:after="200" w:line="276" w:lineRule="auto"/>
        <w:rPr>
          <w:rFonts w:eastAsia="Calibri"/>
          <w:noProof/>
          <w:szCs w:val="24"/>
        </w:rPr>
      </w:pPr>
      <w:r>
        <w:rPr>
          <w:noProof/>
        </w:rPr>
        <w:t xml:space="preserve">„Отчитащата се МГП“ изброява по данъчни юрисдикции и наименование на юридическите лица всички „съставни единици“ на МГП, които са местни лица за данъчни цели на съответната данъчна юрисдикция. Както е посочено в точка 2 от общите инструкции </w:t>
      </w:r>
      <w:r>
        <w:rPr>
          <w:noProof/>
        </w:rPr>
        <w:t>по отношение на местата на стопанска дейност обаче, мястото на стопанска дейност се вписва във връзка с данъчната юрисдикция, в която се намира. Отбелязва се юридическото лице, към което принадлежи мястото на стопанска дейност.</w:t>
      </w:r>
    </w:p>
    <w:p w:rsidR="001B6381" w:rsidRDefault="00D30841">
      <w:pPr>
        <w:spacing w:before="0" w:after="200" w:line="276" w:lineRule="auto"/>
        <w:rPr>
          <w:rFonts w:eastAsia="Calibri"/>
          <w:noProof/>
          <w:szCs w:val="24"/>
        </w:rPr>
      </w:pPr>
      <w:r>
        <w:rPr>
          <w:noProof/>
        </w:rPr>
        <w:t>2.2. Данъчна юрисдикция на о</w:t>
      </w:r>
      <w:r>
        <w:rPr>
          <w:noProof/>
        </w:rPr>
        <w:t>рганизация или учредяване, ако е различна от данъчната юрисдикция, на  която са местни лица за данъчни цели</w:t>
      </w:r>
    </w:p>
    <w:p w:rsidR="001B6381" w:rsidRDefault="00D30841">
      <w:pPr>
        <w:spacing w:before="0" w:after="200" w:line="276" w:lineRule="auto"/>
        <w:rPr>
          <w:rFonts w:eastAsia="Calibri"/>
          <w:noProof/>
          <w:szCs w:val="24"/>
        </w:rPr>
      </w:pPr>
      <w:r>
        <w:rPr>
          <w:noProof/>
        </w:rPr>
        <w:t>„Отчитащата се МГП“ посочва наименованието на данъчната юрисдикция, съгласно чиито закони е организирана или учредена „съставната единица на МГП“, а</w:t>
      </w:r>
      <w:r>
        <w:rPr>
          <w:noProof/>
        </w:rPr>
        <w:t>ко тя е различна от юрисдикцията, на която „съставната единица на МГП“ е местно лице за данъчни цели.</w:t>
      </w:r>
    </w:p>
    <w:p w:rsidR="001B6381" w:rsidRDefault="00D30841">
      <w:pPr>
        <w:spacing w:before="0" w:after="200" w:line="276" w:lineRule="auto"/>
        <w:rPr>
          <w:rFonts w:eastAsia="Calibri"/>
          <w:noProof/>
          <w:szCs w:val="24"/>
        </w:rPr>
      </w:pPr>
      <w:r>
        <w:rPr>
          <w:noProof/>
        </w:rPr>
        <w:t>2.3. Основна стопанска дейност/дейности</w:t>
      </w:r>
    </w:p>
    <w:p w:rsidR="001B6381" w:rsidRDefault="00D30841">
      <w:pPr>
        <w:spacing w:before="0" w:after="200" w:line="276" w:lineRule="auto"/>
        <w:rPr>
          <w:rFonts w:eastAsia="Calibri"/>
          <w:noProof/>
          <w:szCs w:val="24"/>
        </w:rPr>
      </w:pPr>
      <w:r>
        <w:rPr>
          <w:noProof/>
        </w:rPr>
        <w:t>„Отчитащата се МГП“ определя естеството на основната стопанска дейност, извършвана от съставната единица в съответ</w:t>
      </w:r>
      <w:r>
        <w:rPr>
          <w:noProof/>
        </w:rPr>
        <w:t>ната данъчна юрисдикция, като за целта отбелязва една или няколко клетки.“</w:t>
      </w:r>
    </w:p>
    <w:p w:rsidR="001B6381" w:rsidRDefault="001B6381">
      <w:pPr>
        <w:rPr>
          <w:rFonts w:eastAsia="Times New Roman"/>
          <w:noProof/>
        </w:rPr>
      </w:pPr>
    </w:p>
    <w:p w:rsidR="001B6381" w:rsidRDefault="001B6381">
      <w:pPr>
        <w:rPr>
          <w:noProof/>
        </w:rPr>
      </w:pPr>
    </w:p>
    <w:sectPr w:rsidR="001B6381" w:rsidSect="00D30841">
      <w:headerReference w:type="default" r:id="rId25"/>
      <w:footerReference w:type="default" r:id="rId26"/>
      <w:headerReference w:type="first" r:id="rId27"/>
      <w:footerReference w:type="first" r:id="rId2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81" w:rsidRDefault="00D30841">
      <w:pPr>
        <w:spacing w:before="0" w:after="0"/>
      </w:pPr>
      <w:r>
        <w:separator/>
      </w:r>
    </w:p>
  </w:endnote>
  <w:endnote w:type="continuationSeparator" w:id="0">
    <w:p w:rsidR="001B6381" w:rsidRDefault="00D308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
      <w:rPr>
        <w:rFonts w:ascii="Arial" w:hAnsi="Arial" w:cs="Arial"/>
        <w:b/>
        <w:sz w:val="48"/>
      </w:rPr>
    </w:pPr>
    <w:r w:rsidRPr="00D30841">
      <w:rPr>
        <w:rFonts w:ascii="Arial" w:hAnsi="Arial" w:cs="Arial"/>
        <w:b/>
        <w:sz w:val="48"/>
      </w:rPr>
      <w:t>BG</w:t>
    </w:r>
    <w:r w:rsidRPr="00D30841">
      <w:rPr>
        <w:rFonts w:ascii="Arial" w:hAnsi="Arial" w:cs="Arial"/>
        <w:b/>
        <w:sz w:val="48"/>
      </w:rPr>
      <w:tab/>
    </w:r>
    <w:r w:rsidRPr="00D30841">
      <w:rPr>
        <w:rFonts w:ascii="Arial" w:hAnsi="Arial" w:cs="Arial"/>
        <w:b/>
        <w:sz w:val="48"/>
      </w:rPr>
      <w:tab/>
    </w:r>
    <w:fldSimple w:instr=" DOCVARIABLE &quot;LW_Confidence&quot; \* MERGEFORMAT ">
      <w:r>
        <w:t xml:space="preserve"> </w:t>
      </w:r>
    </w:fldSimple>
    <w:r w:rsidRPr="00D30841">
      <w:tab/>
    </w:r>
    <w:proofErr w:type="spellStart"/>
    <w:r w:rsidRPr="00D3084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
      <w:rPr>
        <w:rFonts w:ascii="Arial" w:hAnsi="Arial" w:cs="Arial"/>
        <w:b/>
        <w:sz w:val="48"/>
      </w:rPr>
    </w:pPr>
    <w:r w:rsidRPr="00D30841">
      <w:rPr>
        <w:rFonts w:ascii="Arial" w:hAnsi="Arial" w:cs="Arial"/>
        <w:b/>
        <w:sz w:val="48"/>
      </w:rPr>
      <w:t>BG</w:t>
    </w:r>
    <w:r w:rsidRPr="00D30841">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D30841">
      <w:tab/>
    </w:r>
    <w:r w:rsidRPr="00D3084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Landscape"/>
      <w:rPr>
        <w:rFonts w:ascii="Arial" w:hAnsi="Arial" w:cs="Arial"/>
        <w:b/>
        <w:sz w:val="48"/>
      </w:rPr>
    </w:pPr>
    <w:r w:rsidRPr="00D30841">
      <w:rPr>
        <w:rFonts w:ascii="Arial" w:hAnsi="Arial" w:cs="Arial"/>
        <w:b/>
        <w:sz w:val="48"/>
      </w:rPr>
      <w:t>BG</w:t>
    </w:r>
    <w:r w:rsidRPr="00D30841">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D30841">
      <w:tab/>
    </w:r>
    <w:r w:rsidRPr="00D30841">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
      <w:rPr>
        <w:rFonts w:ascii="Arial" w:hAnsi="Arial" w:cs="Arial"/>
        <w:b/>
        <w:sz w:val="48"/>
      </w:rPr>
    </w:pPr>
    <w:r w:rsidRPr="00D30841">
      <w:rPr>
        <w:rFonts w:ascii="Arial" w:hAnsi="Arial" w:cs="Arial"/>
        <w:b/>
        <w:sz w:val="48"/>
      </w:rPr>
      <w:t>BG</w:t>
    </w:r>
    <w:r w:rsidRPr="00D30841">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D30841">
      <w:tab/>
    </w:r>
    <w:r w:rsidRPr="00D30841">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81" w:rsidRDefault="00D30841">
      <w:pPr>
        <w:spacing w:before="0" w:after="0"/>
      </w:pPr>
      <w:r>
        <w:separator/>
      </w:r>
    </w:p>
  </w:footnote>
  <w:footnote w:type="continuationSeparator" w:id="0">
    <w:p w:rsidR="001B6381" w:rsidRDefault="00D3084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41" w:rsidRPr="00D30841" w:rsidRDefault="00D30841" w:rsidP="00D30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26F6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7C7C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9C84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AB065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AA7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AC7F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5E6DB4"/>
    <w:lvl w:ilvl="0">
      <w:start w:val="1"/>
      <w:numFmt w:val="decimal"/>
      <w:pStyle w:val="ListNumber"/>
      <w:lvlText w:val="%1."/>
      <w:lvlJc w:val="left"/>
      <w:pPr>
        <w:tabs>
          <w:tab w:val="num" w:pos="360"/>
        </w:tabs>
        <w:ind w:left="360" w:hanging="360"/>
      </w:pPr>
    </w:lvl>
  </w:abstractNum>
  <w:abstractNum w:abstractNumId="7">
    <w:nsid w:val="FFFFFF89"/>
    <w:multiLevelType w:val="singleLevel"/>
    <w:tmpl w:val="EF040C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8B82B26"/>
    <w:multiLevelType w:val="multilevel"/>
    <w:tmpl w:val="0809001F"/>
    <w:styleLink w:val="Style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E92B97"/>
    <w:multiLevelType w:val="multilevel"/>
    <w:tmpl w:val="0809001D"/>
    <w:name w:val="Point3"/>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7E1619A"/>
    <w:multiLevelType w:val="multilevel"/>
    <w:tmpl w:val="08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4"/>
  </w:num>
  <w:num w:numId="6">
    <w:abstractNumId w:val="8"/>
  </w:num>
  <w:num w:numId="7">
    <w:abstractNumId w:val="6"/>
  </w:num>
  <w:num w:numId="8">
    <w:abstractNumId w:val="2"/>
  </w:num>
  <w:num w:numId="9">
    <w:abstractNumId w:val="1"/>
  </w:num>
  <w:num w:numId="10">
    <w:abstractNumId w:val="0"/>
  </w:num>
  <w:num w:numId="11">
    <w:abstractNumId w:val="11"/>
  </w:num>
  <w:num w:numId="12">
    <w:abstractNumId w:val="17"/>
  </w:num>
  <w:num w:numId="13">
    <w:abstractNumId w:val="21"/>
  </w:num>
  <w:num w:numId="14">
    <w:abstractNumId w:val="14"/>
  </w:num>
  <w:num w:numId="15">
    <w:abstractNumId w:val="23"/>
  </w:num>
  <w:num w:numId="16">
    <w:abstractNumId w:val="13"/>
  </w:num>
  <w:num w:numId="17">
    <w:abstractNumId w:val="15"/>
  </w:num>
  <w:num w:numId="18">
    <w:abstractNumId w:val="10"/>
  </w:num>
  <w:num w:numId="19">
    <w:abstractNumId w:val="22"/>
  </w:num>
  <w:num w:numId="20">
    <w:abstractNumId w:val="9"/>
  </w:num>
  <w:num w:numId="21">
    <w:abstractNumId w:val="16"/>
  </w:num>
  <w:num w:numId="22">
    <w:abstractNumId w:val="19"/>
  </w:num>
  <w:num w:numId="23">
    <w:abstractNumId w:val="20"/>
  </w:num>
  <w:num w:numId="24">
    <w:abstractNumId w:val="12"/>
  </w:num>
  <w:num w:numId="25">
    <w:abstractNumId w:val="18"/>
  </w:num>
  <w:num w:numId="26">
    <w:abstractNumId w:val="25"/>
  </w:num>
  <w:num w:numId="27">
    <w:abstractNumId w:val="21"/>
  </w:num>
  <w:num w:numId="28">
    <w:abstractNumId w:val="14"/>
  </w:num>
  <w:num w:numId="29">
    <w:abstractNumId w:val="23"/>
  </w:num>
  <w:num w:numId="30">
    <w:abstractNumId w:val="13"/>
  </w:num>
  <w:num w:numId="31">
    <w:abstractNumId w:val="15"/>
  </w:num>
  <w:num w:numId="32">
    <w:abstractNumId w:val="10"/>
  </w:num>
  <w:num w:numId="33">
    <w:abstractNumId w:val="22"/>
  </w:num>
  <w:num w:numId="34">
    <w:abstractNumId w:val="9"/>
  </w:num>
  <w:num w:numId="35">
    <w:abstractNumId w:val="16"/>
  </w:num>
  <w:num w:numId="36">
    <w:abstractNumId w:val="19"/>
  </w:num>
  <w:num w:numId="37">
    <w:abstractNumId w:val="20"/>
  </w:num>
  <w:num w:numId="38">
    <w:abstractNumId w:val="12"/>
  </w:num>
  <w:num w:numId="39">
    <w:abstractNumId w:val="18"/>
  </w:num>
  <w:num w:numId="4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2 15:43: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Yellow"/>
    <w:docVar w:name="DQCVersion" w:val="3"/>
    <w:docVar w:name="DQCWithWarnings" w:val="0"/>
    <w:docVar w:name="LW_ACCOMPAGNANT.CP" w:val="\u1082?\u1098?\u1084?"/>
    <w:docVar w:name="LW_ANNEX_NBR_FIRST" w:val="1"/>
    <w:docVar w:name="LW_ANNEX_NBR_LAST" w:val="1"/>
    <w:docVar w:name="LW_CONFIDENCE" w:val=" "/>
    <w:docVar w:name="LW_CONST_RESTREINT_UE" w:val="RESTREINT UE/EU RESTRICTED"/>
    <w:docVar w:name="LW_CORRIGENDUM" w:val="&lt;UNUSED&gt;"/>
    <w:docVar w:name="LW_COVERPAGE_GUID" w:val="82C28AF3231E4FFBBA249E7D30857AAF"/>
    <w:docVar w:name="LW_CROSSREFERENCE" w:val="&lt;UNUSED&gt;"/>
    <w:docVar w:name="LW_DocType" w:val="ANNEX"/>
    <w:docVar w:name="LW_EMISSION" w:val="28.1.2016"/>
    <w:docVar w:name="LW_EMISSION_ISODATE" w:val="2016-01-2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2011/16/\u1045?\u1057? \u1087?\u1086? \u1086?\u1090?\u1085?\u1086?\u1096?\u1077?\u1085?\u1080?\u1077? \u1085?\u1072? \u1079?\u1072?\u1076?\u1098?\u1083?\u1078?\u1080?\u1090?\u1077?\u1083?\u1085?\u1080?\u1103? \u1072?\u1074?\u1090?\u1086?\u1084?\u1072?\u1090?\u1080?\u1095?\u1077?\u1085? \u1086?\u1073?\u1084?\u1077?\u1085? \u1085?\u1072? \u1080?\u1085?\u1092?\u1086?\u1088?\u1084?\u1072?\u1094?\u1080?\u1103? \u1074? \u1086?\u1073?\u1083?\u1072?\u1089?\u1090?\u1090?\u1072? \u1085?\u1072? \u1076?\u1072?\u1085?\u1098?\u1095?\u1085?\u1086?\u1090?\u1086? \u1086?\u1073?\u1083?\u1072?\u1075?\u1072?\u1085?\u1077?_x000b_"/>
    <w:docVar w:name="LW_PART_NBR" w:val="1"/>
    <w:docVar w:name="LW_PART_NBR_TOTAL" w:val="1"/>
    <w:docVar w:name="LW_REF.INST.NEW" w:val="COM"/>
    <w:docVar w:name="LW_REF.INST.NEW_ADOPTED" w:val="final"/>
    <w:docVar w:name="LW_REF.INST.NEW_TEXT" w:val="(2016) 25"/>
    <w:docVar w:name="LW_REF.INTERNE" w:val="&lt;UNUSED&gt;"/>
    <w:docVar w:name="LW_SUPERTITRE" w:val="&lt;UNUSED&gt;"/>
    <w:docVar w:name="LW_TITRE.OBJ.CP" w:val="&lt;UNUSED&gt;"/>
    <w:docVar w:name="LW_TYPE.DOC.CP" w:val="\u1055?\u1056?\u1048?\u1051?\u1054?\u1046?\u1045?\u1053?\u1048?\u1071?"/>
    <w:docVar w:name="LW_TYPEACTEPRINCIPAL.CP" w:val="\u1055?\u1088?\u1077?\u1076?\u1083?\u1086?\u1078?\u1077?\u1085?\u1080?\u1077? \u1079?\u1072? \u1044?\u1080?\u1088?\u1077?\u1082?\u1090?\u1080?\u1074?\u1072? \u1085?\u1072? \u1057?\u1098?\u1074?\u1077?\u1090?\u1072?"/>
  </w:docVars>
  <w:rsids>
    <w:rsidRoot w:val="001B6381"/>
    <w:rsid w:val="001B6381"/>
    <w:rsid w:val="00D3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numbering" w:customStyle="1" w:styleId="Style2">
    <w:name w:val="Style2"/>
    <w:pPr>
      <w:numPr>
        <w:numId w:val="6"/>
      </w:numPr>
    </w:pPr>
  </w:style>
  <w:style w:type="numbering" w:customStyle="1" w:styleId="Style1">
    <w:name w:val="Style1"/>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IVX">
    <w:name w:val="Heading IVX"/>
    <w:basedOn w:val="Normal"/>
    <w:next w:val="Normal"/>
    <w:pPr>
      <w:numPr>
        <w:numId w:val="11"/>
      </w:numPr>
      <w:spacing w:before="360" w:line="360" w:lineRule="auto"/>
      <w:jc w:val="left"/>
      <w:outlineLvl w:val="0"/>
    </w:pPr>
    <w:rPr>
      <w:rFonts w:eastAsia="Times New Roman"/>
      <w:b/>
      <w:caps/>
      <w:szCs w:val="24"/>
      <w:u w:val="single"/>
    </w:rPr>
  </w:style>
  <w:style w:type="paragraph" w:styleId="ListParagraph">
    <w:name w:val="List Paragraph"/>
    <w:basedOn w:val="Normal"/>
    <w:uiPriority w:val="34"/>
    <w:qFormat/>
    <w:pPr>
      <w:ind w:left="720"/>
      <w:contextualSpacing/>
    </w:pPr>
  </w:style>
  <w:style w:type="numbering" w:customStyle="1" w:styleId="Style3">
    <w:name w:val="Style3"/>
    <w:uiPriority w:val="99"/>
    <w:pPr>
      <w:numPr>
        <w:numId w:val="1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30841"/>
    <w:pPr>
      <w:tabs>
        <w:tab w:val="center" w:pos="4535"/>
        <w:tab w:val="right" w:pos="9071"/>
      </w:tabs>
      <w:spacing w:before="0"/>
    </w:pPr>
  </w:style>
  <w:style w:type="character" w:customStyle="1" w:styleId="HeaderChar">
    <w:name w:val="Header Char"/>
    <w:basedOn w:val="DefaultParagraphFont"/>
    <w:link w:val="Header"/>
    <w:uiPriority w:val="99"/>
    <w:rsid w:val="00D30841"/>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3084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numbering" w:customStyle="1" w:styleId="Style2">
    <w:name w:val="Style2"/>
    <w:pPr>
      <w:numPr>
        <w:numId w:val="6"/>
      </w:numPr>
    </w:pPr>
  </w:style>
  <w:style w:type="numbering" w:customStyle="1" w:styleId="Style1">
    <w:name w:val="Style1"/>
    <w:pPr>
      <w:numPr>
        <w:numId w:val="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HeadingIVX">
    <w:name w:val="Heading IVX"/>
    <w:basedOn w:val="Normal"/>
    <w:next w:val="Normal"/>
    <w:pPr>
      <w:numPr>
        <w:numId w:val="11"/>
      </w:numPr>
      <w:spacing w:before="360" w:line="360" w:lineRule="auto"/>
      <w:jc w:val="left"/>
      <w:outlineLvl w:val="0"/>
    </w:pPr>
    <w:rPr>
      <w:rFonts w:eastAsia="Times New Roman"/>
      <w:b/>
      <w:caps/>
      <w:szCs w:val="24"/>
      <w:u w:val="single"/>
    </w:rPr>
  </w:style>
  <w:style w:type="paragraph" w:styleId="ListParagraph">
    <w:name w:val="List Paragraph"/>
    <w:basedOn w:val="Normal"/>
    <w:uiPriority w:val="34"/>
    <w:qFormat/>
    <w:pPr>
      <w:ind w:left="720"/>
      <w:contextualSpacing/>
    </w:pPr>
  </w:style>
  <w:style w:type="numbering" w:customStyle="1" w:styleId="Style3">
    <w:name w:val="Style3"/>
    <w:uiPriority w:val="99"/>
    <w:pPr>
      <w:numPr>
        <w:numId w:val="12"/>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30841"/>
    <w:pPr>
      <w:tabs>
        <w:tab w:val="center" w:pos="4535"/>
        <w:tab w:val="right" w:pos="9071"/>
      </w:tabs>
      <w:spacing w:before="0"/>
    </w:pPr>
  </w:style>
  <w:style w:type="character" w:customStyle="1" w:styleId="HeaderChar">
    <w:name w:val="Header Char"/>
    <w:basedOn w:val="DefaultParagraphFont"/>
    <w:link w:val="Header"/>
    <w:uiPriority w:val="99"/>
    <w:rsid w:val="00D30841"/>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3084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59B8-685B-4432-88B7-A76CA62B5F41}">
  <ds:schemaRefs>
    <ds:schemaRef ds:uri="http://schemas.microsoft.com/sharepoint/v3/contenttype/forms"/>
  </ds:schemaRefs>
</ds:datastoreItem>
</file>

<file path=customXml/itemProps2.xml><?xml version="1.0" encoding="utf-8"?>
<ds:datastoreItem xmlns:ds="http://schemas.openxmlformats.org/officeDocument/2006/customXml" ds:itemID="{A6C78C6F-5239-4C28-8865-1163B7BF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D50A7-66DB-47E0-ABDC-763EA761D384}">
  <ds:schemaRefs>
    <ds:schemaRef ds:uri="http://schemas.microsoft.com/office/2006/metadata/properties"/>
    <ds:schemaRef ds:uri="http://schemas.microsoft.com/office/infopath/2007/PartnerControls"/>
    <ds:schemaRef ds:uri="6e69f030-f312-477b-8d05-3155ad93c246"/>
  </ds:schemaRefs>
</ds:datastoreItem>
</file>

<file path=customXml/itemProps4.xml><?xml version="1.0" encoding="utf-8"?>
<ds:datastoreItem xmlns:ds="http://schemas.openxmlformats.org/officeDocument/2006/customXml" ds:itemID="{A38957D2-3F52-4F90-A220-5C749CCE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13</Pages>
  <Words>3230</Words>
  <Characters>18759</Characters>
  <Application>Microsoft Office Word</Application>
  <DocSecurity>0</DocSecurity>
  <Lines>639</Lines>
  <Paragraphs>135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BOTTE Sophia (TAXUD)</dc:creator>
  <cp:lastModifiedBy>KUDRYK Katarzyna (SG)</cp:lastModifiedBy>
  <cp:revision>12</cp:revision>
  <cp:lastPrinted>2016-01-19T10:37:00Z</cp:lastPrinted>
  <dcterms:created xsi:type="dcterms:W3CDTF">2016-01-29T09:08:00Z</dcterms:created>
  <dcterms:modified xsi:type="dcterms:W3CDTF">2016-02-02T15:08:00Z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ContentTypeId">
    <vt:lpwstr>0x010100258AA79CEB83498886A3A0868112325000DDB8881E4CA0324BAC53BF18E75DA682</vt:lpwstr>
  </property>
  <property fmtid="{D5CDD505-2E9C-101B-9397-08002B2CF9AE}" pid="13" name="DQCStatus">
    <vt:lpwstr>Yellow (DQC version 03)</vt:lpwstr>
  </property>
</Properties>
</file>