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95192D728D64F418228C16C80CE5801" style="width:450.8pt;height:365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6"/>
        </w:numPr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Приложеното предложение за решение на Съвета представлява съответният правен инструмент за сключване на Споразумението за икономическо партньорство между Европейския съюз и неговите държави членки, от една страна, и държавите по СИП ЮАОР, от друга страна (СИП ЮАОР). Държави по СИП ЮАОР са Ботсуана, Лесото, Мозамбик, Намибия, Свазиленд (БЛМНС) и Южна Африка.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Преговорите на ниво главни преговарящи приключиха на 15 юли 2014 г. в Претория. Споразумението беше парафирано на 15 юли 2014 г. в Претория.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Ботсуана, Намибия и Свазиленд понастоящем се ползват с преференциален достъп до пазара на ЕС при условията, предвидени в Регламента относно достъпа до пазара (MAR). Поради причисляването им към групата на най-слабо развитите държави (НСРД) Лесото и Мозамбик от своя страна се ползват от предвидения режим в рамките на инициативата „Всичко освен оръжие“. Търговията между ЕС и Южна Африка понастоящем е уредена със Споразумението за търговия, развитие и сътрудничество (СТРС).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Държавите по СИП ЮАОР ще осигурят единен режим на достъп за държавите БЛМНС. Що се отнася до Южна Африка, СИП ЮАОР ще замени относимите разпоредби на дялове II и III от СТРС, уреждащи съответно търговията и свързаните с търговията въпроси. 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>Съгласуваност със съществуващите разпоредби в тази област на политиката</w:t>
      </w:r>
    </w:p>
    <w:p>
      <w:pPr>
        <w:rPr>
          <w:noProof/>
          <w:szCs w:val="20"/>
        </w:rPr>
      </w:pPr>
      <w:r>
        <w:rPr>
          <w:noProof/>
          <w:color w:val="000000"/>
        </w:rPr>
        <w:t>Настоящото предложение касае прилагането на Споразумението за партньорство между членовете на Групата страни от Африка, Карибите и Тихоокеанския басейн, от една страна, и Европейската общност и нейните държави членки, от друга страна, подписано в Котону на 23 юни 2000 г. („Споразумението за партньорство АКТБ—ЕО“), в което се призовава за сключването на споразумения за икономическо партньорство, съвместими с правилата на СТО.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 xml:space="preserve">Съгласуваност </w:t>
      </w:r>
      <w:r>
        <w:rPr>
          <w:b/>
          <w:noProof/>
          <w:u w:color="000000"/>
          <w:bdr w:val="nil"/>
        </w:rPr>
        <w:t>с</w:t>
      </w:r>
      <w:r>
        <w:rPr>
          <w:b/>
          <w:noProof/>
          <w:color w:val="000000"/>
        </w:rPr>
        <w:t xml:space="preserve"> другите политики на Съюза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СИП ЮАОР е търговско споразумение за подкрепа на развитието. То предлага на държавите по СИП ЮАОР асиметричен достъп до пазара, което им дава възможност да защитят чувствителните сектори от либерализацията; предвижда голям брой защитни мерки и клауза за закрила на зараждащите се промишлени сектори; съдържа разпоредби относно правилата за произход, които улесняват износа, и премахва използването на субсидиите за износ в търговията между страните по него. Тези разпоредби допринасят за целта за съгласуваност на политиките, насочени към развитието, и са в съответствие с член 208, параграф 2 от ДФЕС. СИП ЮАОР също така съдържа отделна глава, посветена на търговията и устойчивото развитие, в която търговското споразумение се обвързва с целите на ЕС в областта на труда, околната среда и изменението на климата. </w:t>
      </w:r>
    </w:p>
    <w:p>
      <w:pPr>
        <w:pStyle w:val="ManualHeading1"/>
        <w:rPr>
          <w:smallCaps w:val="0"/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>Правно основание</w:t>
      </w:r>
    </w:p>
    <w:p>
      <w:pPr>
        <w:autoSpaceDE w:val="0"/>
        <w:autoSpaceDN w:val="0"/>
        <w:adjustRightInd w:val="0"/>
        <w:rPr>
          <w:noProof/>
          <w:color w:val="000000"/>
          <w:szCs w:val="20"/>
        </w:rPr>
      </w:pPr>
      <w:r>
        <w:rPr>
          <w:noProof/>
        </w:rPr>
        <w:t>Настоящото решение на Съвета черпи правното си основание от Договора за функционирането на Европейския съюз, и по-специално от разпоредбите на член 207, параграфи 3 и 4 и член 209, параграф 2, във връзка с член 218, параграф 6, буква а) от него.</w:t>
      </w:r>
      <w:r>
        <w:rPr>
          <w:noProof/>
          <w:color w:val="000000"/>
        </w:rPr>
        <w:t xml:space="preserve"> </w:t>
      </w:r>
    </w:p>
    <w:p>
      <w:pPr>
        <w:pStyle w:val="Bullet0"/>
        <w:rPr>
          <w:b/>
          <w:noProof/>
        </w:rPr>
      </w:pPr>
      <w:r>
        <w:rPr>
          <w:b/>
          <w:noProof/>
        </w:rPr>
        <w:t>Субсидиарност (при условията на неизключителна компетентност)</w:t>
      </w:r>
    </w:p>
    <w:p>
      <w:pPr>
        <w:rPr>
          <w:noProof/>
        </w:rPr>
      </w:pPr>
      <w:r>
        <w:rPr>
          <w:noProof/>
        </w:rPr>
        <w:t>По силата на член 3 от ДФЕС общата търговска политика е от изключителната компетентност на Съюза.</w:t>
      </w:r>
    </w:p>
    <w:p>
      <w:pPr>
        <w:pStyle w:val="Bullet0"/>
        <w:rPr>
          <w:noProof/>
        </w:rPr>
      </w:pPr>
      <w:r>
        <w:rPr>
          <w:b/>
          <w:noProof/>
          <w:color w:val="000000"/>
        </w:rPr>
        <w:t>Пропорционалност</w:t>
      </w:r>
    </w:p>
    <w:p>
      <w:pPr>
        <w:rPr>
          <w:noProof/>
        </w:rPr>
      </w:pPr>
      <w:r>
        <w:rPr>
          <w:noProof/>
        </w:rPr>
        <w:t xml:space="preserve">Настоящото предложение е необходимо за изпълнение на поетите от Съюза международни ангажименти, залегнали в Споразумението за партньорство АКТБ—ЕО, и в достатъчна степен допринася за целите на Съюза в областта на търговията и развитието. </w:t>
      </w:r>
    </w:p>
    <w:p>
      <w:pPr>
        <w:pStyle w:val="Bullet0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Настоящото предложение е в съответствие с разпоредбата на член 218, параграф 6 от ДФЕС, съгласно която Съветът приема решения, отнасящи се до международни споразумения. Не съществува друг правен инструмент, който може да бъде използван за постигане на целта, описана в настоящото предложение.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Bullet0"/>
        <w:rPr>
          <w:b/>
          <w:noProof/>
          <w:u w:color="000000"/>
          <w:bdr w:val="nil"/>
        </w:rPr>
      </w:pPr>
      <w:r>
        <w:rPr>
          <w:b/>
          <w:noProof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Консултации със заинтересованите страни</w:t>
      </w:r>
    </w:p>
    <w:p>
      <w:pPr>
        <w:keepNext/>
        <w:tabs>
          <w:tab w:val="left" w:pos="850"/>
        </w:tabs>
        <w:outlineLvl w:val="1"/>
        <w:rPr>
          <w:noProof/>
          <w:color w:val="000000"/>
          <w:szCs w:val="20"/>
        </w:rPr>
      </w:pPr>
      <w:r>
        <w:rPr>
          <w:noProof/>
          <w:color w:val="000000"/>
        </w:rPr>
        <w:t>Не е приложимо.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е приложимо.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периода 2003—2007 г. бе извършена оценка на въздействието на споразуменията за икономическо партньорство ЕС-АКТБ върху устойчивото развитие. Заданието за проекта бе публикувано от Европейската комисия през 2002 г. в рамките на обявление за обществена поръчка, проведена чрез състезателна процедура. В резултат на гореспоменатата обществена поръчка през август 2002 г. на PwC — Франция бе възложено изпълнението на петгодишен рамков договор. Проектът на окончателния доклад за оценка на въздействието върху устойчивото развитие бе представен на заинтересованите страни в Европа по време на срещата за диалог с гражданското общество, организирана от Европейската комисия на 23 март 2007 г. в Брюксел, Белгия.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lastRenderedPageBreak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СИП ЮАОР не е предмет на процедури по програмата REFIT, не предполага никакви разходи за МСП в Съюза и не поражда проблеми от гледна точка на цифровата среда.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Основни права</w:t>
      </w:r>
    </w:p>
    <w:p>
      <w:pPr>
        <w:keepNext/>
        <w:tabs>
          <w:tab w:val="left" w:pos="850"/>
        </w:tabs>
        <w:outlineLvl w:val="1"/>
        <w:rPr>
          <w:rFonts w:eastAsia="Arial Unicode MS"/>
          <w:noProof/>
          <w:u w:color="000000"/>
          <w:bdr w:val="nil"/>
        </w:rPr>
      </w:pPr>
      <w:r>
        <w:rPr>
          <w:noProof/>
        </w:rPr>
        <w:t xml:space="preserve">Предложението не оказва въздействие върху защитата на основните права в Съюза. </w:t>
      </w:r>
    </w:p>
    <w:p>
      <w:pPr>
        <w:pStyle w:val="ManualHeading1"/>
        <w:rPr>
          <w:smallCaps w:val="0"/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Пропуснатите приходи от мита се оценяват на 33,3 млн. евро към момента на прилагане на споразумението в пълния му обхват след десет години. </w:t>
      </w:r>
    </w:p>
    <w:p>
      <w:pPr>
        <w:pStyle w:val="ManualHeading1"/>
        <w:rPr>
          <w:smallCaps w:val="0"/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Планове за изпълнение и уредба за мониторинг, оценка и докладване</w:t>
      </w:r>
    </w:p>
    <w:p>
      <w:pPr>
        <w:keepNext/>
        <w:tabs>
          <w:tab w:val="left" w:pos="850"/>
        </w:tabs>
        <w:outlineLvl w:val="1"/>
        <w:rPr>
          <w:noProof/>
        </w:rPr>
      </w:pPr>
      <w:r>
        <w:rPr>
          <w:noProof/>
        </w:rPr>
        <w:t xml:space="preserve">Съгласно общите разпоредби на споразумението страните по него поемат ангажимента текущо да следят неговото функциониране и въздействие. По силата на институционалните разпоредби се учредява Съвместен съвет на ниво министри, който отговаря за действието и прилагането на споразумението и наблюдава постигането на неговите цели. Предвижда се Съвместният съвет да бъде подпомаган от Комитет по търговия и развитие. По силата на споразумението също така </w:t>
      </w:r>
    </w:p>
    <w:p>
      <w:pPr>
        <w:pStyle w:val="Bullet0"/>
        <w:rPr>
          <w:noProof/>
        </w:rPr>
      </w:pPr>
      <w:r>
        <w:rPr>
          <w:noProof/>
        </w:rPr>
        <w:t xml:space="preserve">се създава </w:t>
      </w:r>
      <w:r>
        <w:rPr>
          <w:i/>
          <w:noProof/>
        </w:rPr>
        <w:t>Специален комитет по географските означения и търговията с вина и спиртни напитки</w:t>
      </w:r>
      <w:r>
        <w:rPr>
          <w:noProof/>
        </w:rPr>
        <w:t xml:space="preserve"> със задача да следи развитието на Протокола относно географските означения и търговията с вина и спиртни напитки; </w:t>
      </w:r>
    </w:p>
    <w:p>
      <w:pPr>
        <w:pStyle w:val="Bullet0"/>
        <w:rPr>
          <w:noProof/>
        </w:rPr>
      </w:pPr>
      <w:r>
        <w:rPr>
          <w:noProof/>
        </w:rPr>
        <w:t xml:space="preserve">се създава </w:t>
      </w:r>
      <w:r>
        <w:rPr>
          <w:i/>
          <w:noProof/>
        </w:rPr>
        <w:t>Специален комитет по митниците и улесняването на търговията</w:t>
      </w:r>
      <w:r>
        <w:rPr>
          <w:noProof/>
        </w:rPr>
        <w:t xml:space="preserve">, който ще следи прилагането и действието на главата относно митниците и улесняването на търговията, както и на Протокола относно правилата за произход; </w:t>
      </w:r>
    </w:p>
    <w:p>
      <w:pPr>
        <w:pStyle w:val="Bullet0"/>
        <w:rPr>
          <w:noProof/>
        </w:rPr>
      </w:pPr>
      <w:r>
        <w:rPr>
          <w:noProof/>
        </w:rPr>
        <w:t xml:space="preserve">е предвидена разпоредба, която позволява на всяка от страните да поиска консултации по въпроси, свързани с главата „Търговия и устойчиво развитие“. В диалога и сътрудничеството могат да бъдат включени и други компетентни органи и заинтересовани страни.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Не е приложимо.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0"/>
        </w:rPr>
      </w:pPr>
      <w:r>
        <w:rPr>
          <w:noProof/>
          <w:color w:val="000000"/>
        </w:rPr>
        <w:t>Споразумението съдържа разпоредби относно сътрудничеството, търговията със стоки, търговията и устойчивото развитие, митниците и улесняването на търговията, техническите пречки пред търговията, санитарните и фитосанитарните мерки, уреждането на спорове, географските означения и правилата за произход. Споразумението съдържа също така клаузи за ново разглеждане на въпроси, свързани с търговията с услуги и инвестициите, политиката в областта на конкуренцията, правата върху интелектуална собственост и обществените поръчки.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0"/>
        </w:rPr>
      </w:pPr>
      <w:r>
        <w:rPr>
          <w:noProof/>
          <w:color w:val="000000"/>
        </w:rPr>
        <w:lastRenderedPageBreak/>
        <w:t xml:space="preserve">СИП гарантира на Ботсуана, Лесото, Мозамбик, Намибия и Свазиленд безмитен и безквотен достъп до пазара на ЕС, с изключение на оръжие и боеприпаси. Южна Африка ще се ползва от достъп до пазара в нови области в допълнение към предвидения по силата на СТРС, което понастоящем регламентира търговските ѝ връзки с ЕС. ЕС ще получи значително разширен достъп до пазара на Южноафриканския митнически съюз и ще се ползва от гаранциите, които предоставя двустранно споразумение с Мозамбик — една от най-слабо развитите държави в региона.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0"/>
        </w:rPr>
      </w:pPr>
      <w:r>
        <w:rPr>
          <w:noProof/>
          <w:color w:val="000000"/>
        </w:rPr>
        <w:t xml:space="preserve">СИП е замислено така, че да бъде съвместимо с функционирането на Южноафриканския митнически съюз, по-специално посредством пълното хармонизиране на търговския режим на Южноафриканския митнически съюз по отношение на вноса. Южноафриканският митнически съюз представя единна външна тарифа с приложимите мита и квоти за вноса с произход от ЕС.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color w:val="000000"/>
          <w:szCs w:val="20"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2016/0005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Споразумението за икономическо партньорство между Европейския съюз и неговите държави членки, от една страна, и държавите по СИП ЮАОР, от друга страна</w:t>
      </w:r>
    </w:p>
    <w:p>
      <w:pPr>
        <w:pStyle w:val="Institutionquiagit"/>
        <w:outlineLvl w:val="0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параграфи 3 и 4 и член 209, параграф 2,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На 12 юни 2002 г. Съветът упълномощи Комисията да започне преговори по споразумения за икономическо партньорство с групата държави от Африка, Карибите и Тихоокеанския басейн.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Преговорите приключиха и на 15 юли 2014 г. бе парафирано Споразумението за икономическо партньорство между Европейския съюз и неговите държави членки, от една страна, и държавите по СИП ЮАОР (а именно Ботсуана, Лесото, Мозамбик, Намибия, Свазиленд и Южна Африка), от друга страна (наричано по-долу „споразумението“).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съответствие с Решение № [..] на Съвета от [..]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споразумението бе подписано на [..] г., при условие че бъде сключено на по-късна дата.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Споразумението се прилага временно от [..] г. до влизането му в сила.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В Споразумението за партньорство между членовете на Групата страни от Африка, Карибите и Тихоокеанския басейн, от една страна, и Европейската общност и нейните държави членки, от друга страна, подписано в Котону на 23 юни 2000 г., се призовава за сключването на споразумения за икономическо партньорство, съвместими с правилата на СТО. 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1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С настоящото се сключва Споразумението за икономическо партньорство между Европейския съюз и неговите държави членки, от една страна, и държавите по СИП ЮАОР, от друга страна.</w:t>
      </w:r>
    </w:p>
    <w:p>
      <w:pPr>
        <w:rPr>
          <w:noProof/>
        </w:rPr>
      </w:pPr>
      <w:r>
        <w:rPr>
          <w:noProof/>
        </w:rPr>
        <w:lastRenderedPageBreak/>
        <w:t>Текстът на споразумението е приложен към настоящото решение.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2</w:t>
      </w:r>
    </w:p>
    <w:p>
      <w:pPr>
        <w:spacing w:before="0" w:after="0"/>
        <w:rPr>
          <w:noProof/>
        </w:rPr>
      </w:pPr>
      <w:r>
        <w:rPr>
          <w:noProof/>
        </w:rPr>
        <w:t>Председателят на Съвета посочва лицето, упълномощено да депозира от името на Съюза предвидения в член 113, параграф 2 от споразумението инструмент за одобрение, за да изрази съгласието на Европейския съюз за обвързване със споразумението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3</w:t>
      </w:r>
    </w:p>
    <w:p>
      <w:pPr>
        <w:pStyle w:val="Titrearticle"/>
        <w:spacing w:before="0" w:after="0"/>
        <w:jc w:val="both"/>
        <w:outlineLvl w:val="0"/>
        <w:rPr>
          <w:i w:val="0"/>
          <w:noProof/>
        </w:rPr>
      </w:pPr>
      <w:r>
        <w:rPr>
          <w:i w:val="0"/>
          <w:noProof/>
        </w:rPr>
        <w:t>Споразумението не може да се тълкува като предоставящо права или налагащо задължения, на които може да бъде направено пряко позоваване пред съдилищата на Съюза или на държавите членки.</w:t>
      </w:r>
    </w:p>
    <w:p>
      <w:pPr>
        <w:pStyle w:val="Titrearticle"/>
        <w:outlineLvl w:val="0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outlineLvl w:val="0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lastRenderedPageBreak/>
        <w:t>ЗАКОНОДАТЕЛНА ФИНАНСОВА ОБОСНОВКА ЗА ПРЕДЛОЖЕНИЯ С ОТРАЖЕНИЕ ВЪРХУ БЮДЖЕТА, СТРОГО ОГРАНИЧЕНО ДО ПРИХОДНАТА ЧАСТ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НАИМЕНОВАНИЕ НА ПРЕДЛОЖЕНИЕТО:</w:t>
      </w:r>
    </w:p>
    <w:p>
      <w:pPr>
        <w:pStyle w:val="Text1"/>
        <w:rPr>
          <w:noProof/>
        </w:rPr>
      </w:pPr>
      <w:r>
        <w:rPr>
          <w:noProof/>
        </w:rPr>
        <w:t>РЕШЕНИЕ НА СЪВЕТА за сключване на Споразумението за икономическо партньорство между Европейския съюз и неговите държави членки, от една страна, и държавите по СИП ЮАОР, от друга страна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БЮДЖЕТНИ РЕДОВЕ</w:t>
      </w:r>
    </w:p>
    <w:p>
      <w:pPr>
        <w:pStyle w:val="Text1"/>
        <w:rPr>
          <w:noProof/>
        </w:rPr>
      </w:pPr>
      <w:r>
        <w:rPr>
          <w:noProof/>
        </w:rPr>
        <w:t>Глава и статия: глава 12, статия 120</w:t>
      </w:r>
    </w:p>
    <w:p>
      <w:pPr>
        <w:pStyle w:val="Text1"/>
        <w:rPr>
          <w:noProof/>
        </w:rPr>
      </w:pPr>
      <w:r>
        <w:rPr>
          <w:noProof/>
        </w:rPr>
        <w:t>Сума, предвидена в бюджета за 2016 г.: 18 465 300 000 евро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ФИНАНСОВО ОТРАЖЕНИЕ</w:t>
      </w:r>
    </w:p>
    <w:p>
      <w:pPr>
        <w:pStyle w:val="Poin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</w:r>
      <w:r>
        <w:rPr>
          <w:noProof/>
        </w:rPr>
        <w:sym w:font="Wingdings" w:char="F0A8"/>
      </w:r>
      <w:r>
        <w:rPr>
          <w:noProof/>
        </w:rPr>
        <w:t>Предложението няма финансово отражение</w:t>
      </w:r>
    </w:p>
    <w:p>
      <w:pPr>
        <w:pStyle w:val="Point1"/>
        <w:rPr>
          <w:noProof/>
        </w:rPr>
      </w:pPr>
      <w:r>
        <w:rPr>
          <w:noProof/>
        </w:rPr>
        <w:sym w:font="Wingdings" w:char="F078"/>
      </w:r>
      <w:r>
        <w:rPr>
          <w:noProof/>
        </w:rPr>
        <w:tab/>
      </w:r>
      <w:r>
        <w:rPr>
          <w:noProof/>
        </w:rPr>
        <w:sym w:font="Wingdings" w:char="F078"/>
      </w:r>
      <w:r>
        <w:rPr>
          <w:noProof/>
        </w:rPr>
        <w:t>Предложението няма финансово отражение върху разходите, но има финансово отражение върху приходите, както следва:</w:t>
      </w:r>
    </w:p>
    <w:p>
      <w:pPr>
        <w:pStyle w:val="NormalRight"/>
        <w:rPr>
          <w:noProof/>
          <w:sz w:val="18"/>
        </w:rPr>
      </w:pPr>
      <w:r>
        <w:rPr>
          <w:noProof/>
        </w:rPr>
        <w:t>(в милиони евро до един знак след десетичната запетая)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2160"/>
        <w:gridCol w:w="1980"/>
      </w:tblGrid>
      <w:tr>
        <w:trPr>
          <w:gridAfter w:val="2"/>
          <w:wAfter w:w="4140" w:type="dxa"/>
          <w:cantSplit/>
        </w:trPr>
        <w:tc>
          <w:tcPr>
            <w:tcW w:w="1920" w:type="dxa"/>
          </w:tcPr>
          <w:p>
            <w:pPr>
              <w:rPr>
                <w:noProof/>
                <w:sz w:val="22"/>
              </w:rPr>
            </w:pPr>
          </w:p>
        </w:tc>
        <w:tc>
          <w:tcPr>
            <w:tcW w:w="2880" w:type="dxa"/>
          </w:tcPr>
          <w:p>
            <w:pPr>
              <w:rPr>
                <w:noProof/>
                <w:sz w:val="22"/>
              </w:rPr>
            </w:pPr>
          </w:p>
        </w:tc>
      </w:tr>
      <w:tr>
        <w:trPr>
          <w:cantSplit/>
        </w:trPr>
        <w:tc>
          <w:tcPr>
            <w:tcW w:w="1920" w:type="dxa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Бюджетен ред</w:t>
            </w:r>
          </w:p>
        </w:tc>
        <w:tc>
          <w:tcPr>
            <w:tcW w:w="288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Приходи</w:t>
            </w:r>
            <w:r>
              <w:rPr>
                <w:rStyle w:val="FootnoteReference"/>
                <w:noProof/>
                <w:sz w:val="22"/>
              </w:rPr>
              <w:footnoteReference w:id="4"/>
            </w:r>
          </w:p>
          <w:p>
            <w:pPr>
              <w:spacing w:before="0" w:after="0"/>
              <w:jc w:val="center"/>
              <w:rPr>
                <w:noProof/>
                <w:sz w:val="22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Период от 12 месеца, считано от дд/мм/гггг</w:t>
            </w:r>
          </w:p>
        </w:tc>
        <w:tc>
          <w:tcPr>
            <w:tcW w:w="198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[Година n]</w:t>
            </w:r>
          </w:p>
        </w:tc>
      </w:tr>
      <w:tr>
        <w:trPr>
          <w:cantSplit/>
        </w:trPr>
        <w:tc>
          <w:tcPr>
            <w:tcW w:w="1920" w:type="dxa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Статия 120</w:t>
            </w:r>
          </w:p>
          <w:p>
            <w:pPr>
              <w:rPr>
                <w:noProof/>
                <w:sz w:val="22"/>
              </w:rPr>
            </w:pPr>
          </w:p>
        </w:tc>
        <w:tc>
          <w:tcPr>
            <w:tcW w:w="2880" w:type="dxa"/>
          </w:tcPr>
          <w:p>
            <w:pPr>
              <w:rPr>
                <w:noProof/>
                <w:sz w:val="22"/>
              </w:rPr>
            </w:pPr>
            <w:r>
              <w:rPr>
                <w:i/>
                <w:noProof/>
                <w:sz w:val="22"/>
              </w:rPr>
              <w:t>Отражение върху собствените ресурси</w:t>
            </w:r>
          </w:p>
        </w:tc>
        <w:tc>
          <w:tcPr>
            <w:tcW w:w="216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Дата на временното прилагане</w:t>
            </w:r>
          </w:p>
        </w:tc>
        <w:tc>
          <w:tcPr>
            <w:tcW w:w="198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23,7 млн. евро</w:t>
            </w:r>
          </w:p>
        </w:tc>
      </w:tr>
    </w:tbl>
    <w:p>
      <w:pPr>
        <w:pStyle w:val="Text2"/>
        <w:rPr>
          <w:b/>
          <w:i/>
          <w:noProof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440"/>
        <w:gridCol w:w="1260"/>
        <w:gridCol w:w="1440"/>
        <w:gridCol w:w="1440"/>
      </w:tblGrid>
      <w:tr>
        <w:trPr>
          <w:cantSplit/>
        </w:trPr>
        <w:tc>
          <w:tcPr>
            <w:tcW w:w="8940" w:type="dxa"/>
            <w:gridSpan w:val="6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Положение след действието</w:t>
            </w:r>
          </w:p>
        </w:tc>
      </w:tr>
      <w:tr>
        <w:trPr>
          <w:cantSplit/>
        </w:trPr>
        <w:tc>
          <w:tcPr>
            <w:tcW w:w="1920" w:type="dxa"/>
          </w:tcPr>
          <w:p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[n + 1]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[n + 2]</w:t>
            </w:r>
          </w:p>
        </w:tc>
        <w:tc>
          <w:tcPr>
            <w:tcW w:w="126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[n + 3]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[n + 4]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[n + 5]</w:t>
            </w:r>
          </w:p>
        </w:tc>
      </w:tr>
      <w:tr>
        <w:trPr>
          <w:cantSplit/>
        </w:trPr>
        <w:tc>
          <w:tcPr>
            <w:tcW w:w="1920" w:type="dxa"/>
          </w:tcPr>
          <w:p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Статия 120</w:t>
            </w:r>
          </w:p>
          <w:p>
            <w:pPr>
              <w:rPr>
                <w:noProof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24,8 млн. евро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25,9 млн. евро</w:t>
            </w:r>
          </w:p>
        </w:tc>
        <w:tc>
          <w:tcPr>
            <w:tcW w:w="126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27,2 млн. евро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28,3 млн. евро</w:t>
            </w:r>
          </w:p>
        </w:tc>
        <w:tc>
          <w:tcPr>
            <w:tcW w:w="1440" w:type="dxa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29,5 млн. евро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МЕРКИ ЗА БОРБА С ИЗМАМИТЕ</w:t>
      </w:r>
    </w:p>
    <w:p>
      <w:pPr>
        <w:rPr>
          <w:noProof/>
        </w:rPr>
      </w:pPr>
      <w:r>
        <w:rPr>
          <w:noProof/>
        </w:rPr>
        <w:t xml:space="preserve">С цел защита на собствените ресурси на Европейския съюз споразумението съдържа разпоредби за гарантиране на правилното прилагане от държавата партньор на определените условия за прилагане на търговските отстъпки в съответствие с точка 3 </w:t>
      </w:r>
      <w:r>
        <w:rPr>
          <w:noProof/>
        </w:rPr>
        <w:lastRenderedPageBreak/>
        <w:t>(„Финансово отражение“), по-специално в член 30, отнасящ се до особените разпоредби във връзка с административното сътрудничество, и в Протокола относно правилата за произход (протокол 1 към споразумението) и Протокола относно административната взаимопомощ по митнически въпроси (протокол 2 към споразумението). Посочените разпоредби допълват приложимото за всички внасяни стоки митническо законодателство на Европейския съюз (по-специално Митническия кодекс на Европейския съюз и мерките за прилагането му), както и разпоредбите относно отговорностите на държавите членки по отношение на контрола на собствените ресурси (по-специално Регламент (ЕО) № 1150/2000 на Съвета).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ЗАБЕЛЕЖКИ</w:t>
      </w:r>
    </w:p>
    <w:p>
      <w:pPr>
        <w:rPr>
          <w:noProof/>
        </w:rPr>
      </w:pPr>
      <w:r>
        <w:rPr>
          <w:noProof/>
        </w:rPr>
        <w:t>Настоящата оценка се основава на средния обем на вноса в периода 2012—2014 г. С изключение на определен брой продукти, внасяни от Южна Африка, вносът с произход от групата държави по СИП ЮАОР в Европейския съюз вече се осъществява безмитно.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ОВ C […], […] г., стр. […].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C […], […] г., стр. […].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Датата на влизане в сила на споразумението ще бъде публикувана в </w:t>
      </w:r>
      <w:r>
        <w:rPr>
          <w:i/>
        </w:rPr>
        <w:t>Официален вестник на Европейския съюз</w:t>
      </w:r>
      <w:r>
        <w:t xml:space="preserve"> от Генералния секретариат на Съвета.</w:t>
      </w:r>
    </w:p>
  </w:footnote>
  <w:footnote w:id="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 отношение на традиционните собствени ресурси (селскостопански мита, налози върху захарта, мита) посочените суми следва да бъдат в нетен размер, т.е. брутните суми след приспадане на 25 % за разходите по събирането.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881F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CCCD8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A16C7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7AC5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5A216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79A3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77EFC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DE22C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4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3 15:36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895192D728D64F418228C16C80CE5801"/>
    <w:docVar w:name="LW_CROSSREFERENCE" w:val="&lt;UNUSED&gt;"/>
    <w:docVar w:name="LW_DocType" w:val="COM"/>
    <w:docVar w:name="LW_EMISSION" w:val="22.1.2016"/>
    <w:docVar w:name="LW_EMISSION_ISODATE" w:val="2016-01-2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5"/>
    <w:docVar w:name="LW_REF.II.NEW.CP_YEAR" w:val="2016"/>
    <w:docVar w:name="LW_REF.INST.NEW" w:val="COM"/>
    <w:docVar w:name="LW_REF.INST.NEW_ADOPTED" w:val="final"/>
    <w:docVar w:name="LW_REF.INST.NEW_TEXT" w:val="(2016) 18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 \u1095?\u1083?\u1077?\u1085?\u1082?\u1080?, \u1086?\u1090? \u1077?\u1076?\u1085?\u1072? \u1089?\u1090?\u1088?\u1072?\u1085?\u1072?, \u1080? \u1076?\u1098?\u1088?\u1078?\u1072?\u1074?\u1080?\u1090?\u1077? \u1087?\u1086? \u1057?\u1048?\u1055? \u1070?\u1040?\u1054?\u1056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80C4-B8F0-47D2-9621-E5C151C2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9</Pages>
  <Words>1857</Words>
  <Characters>10847</Characters>
  <Application>Microsoft Office Word</Application>
  <DocSecurity>0</DocSecurity>
  <Lines>252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2015-11-17T15:25:00Z</cp:lastPrinted>
  <dcterms:created xsi:type="dcterms:W3CDTF">2016-01-12T15:59:00Z</dcterms:created>
  <dcterms:modified xsi:type="dcterms:W3CDTF">2016-01-13T14:36:00Z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