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DCA120F45E24302BDE349679F37B4D3"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ANNEXE</w:t>
      </w:r>
    </w:p>
    <w:p>
      <w:pPr>
        <w:jc w:val="center"/>
        <w:rPr>
          <w:b/>
          <w:noProof/>
        </w:rPr>
      </w:pPr>
      <w:r>
        <w:rPr>
          <w:b/>
          <w:noProof/>
        </w:rPr>
        <w:t>ANNEXES IV à VI:</w:t>
      </w:r>
    </w:p>
    <w:p>
      <w:pPr>
        <w:spacing w:before="0" w:after="240"/>
        <w:jc w:val="center"/>
        <w:rPr>
          <w:rFonts w:eastAsia="Times New Roman"/>
          <w:b/>
          <w:noProof/>
          <w:szCs w:val="24"/>
          <w:u w:val="single"/>
        </w:rPr>
      </w:pPr>
      <w:r>
        <w:rPr>
          <w:b/>
          <w:noProof/>
          <w:u w:val="single"/>
        </w:rPr>
        <w:t>ANNEXE IV</w:t>
      </w:r>
    </w:p>
    <w:p>
      <w:pPr>
        <w:spacing w:before="0" w:after="240"/>
        <w:jc w:val="center"/>
        <w:rPr>
          <w:rFonts w:eastAsia="Times New Roman"/>
          <w:b/>
          <w:noProof/>
          <w:szCs w:val="24"/>
          <w:u w:val="single"/>
        </w:rPr>
      </w:pPr>
      <w:r>
        <w:rPr>
          <w:b/>
          <w:noProof/>
          <w:u w:val="single"/>
        </w:rPr>
        <w:t>SAUVEGARDES AGRICOLES</w:t>
      </w:r>
    </w:p>
    <w:p>
      <w:pPr>
        <w:autoSpaceDE w:val="0"/>
        <w:autoSpaceDN w:val="0"/>
        <w:adjustRightInd w:val="0"/>
        <w:spacing w:before="0" w:after="360"/>
        <w:rPr>
          <w:rFonts w:eastAsia="Times New Roman"/>
          <w:noProof/>
          <w:szCs w:val="24"/>
        </w:rPr>
      </w:pPr>
      <w:r>
        <w:rPr>
          <w:noProof/>
        </w:rPr>
        <w:t>Les produits agricoles et les quantités de référence correspondantes visés à l’article 35 sont énumérés dans le tableau ci-après.</w:t>
      </w:r>
    </w:p>
    <w:tbl>
      <w:tblPr>
        <w:tblW w:w="15078" w:type="dxa"/>
        <w:tblInd w:w="93" w:type="dxa"/>
        <w:tblLook w:val="04A0" w:firstRow="1" w:lastRow="0" w:firstColumn="1" w:lastColumn="0" w:noHBand="0" w:noVBand="1"/>
      </w:tblPr>
      <w:tblGrid>
        <w:gridCol w:w="724"/>
        <w:gridCol w:w="1430"/>
        <w:gridCol w:w="1077"/>
        <w:gridCol w:w="1077"/>
        <w:gridCol w:w="1077"/>
        <w:gridCol w:w="1077"/>
        <w:gridCol w:w="1077"/>
        <w:gridCol w:w="1077"/>
        <w:gridCol w:w="1077"/>
        <w:gridCol w:w="1077"/>
        <w:gridCol w:w="1077"/>
        <w:gridCol w:w="1170"/>
        <w:gridCol w:w="1170"/>
        <w:gridCol w:w="1170"/>
      </w:tblGrid>
      <w:tr>
        <w:trPr>
          <w:trHeight w:val="300"/>
        </w:trPr>
        <w:tc>
          <w:tcPr>
            <w:tcW w:w="150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eastAsia="Times New Roman"/>
                <w:b/>
                <w:bCs/>
                <w:noProof/>
                <w:color w:val="000000"/>
                <w:szCs w:val="24"/>
              </w:rPr>
            </w:pPr>
            <w:r>
              <w:rPr>
                <w:b/>
                <w:noProof/>
                <w:color w:val="000000"/>
              </w:rPr>
              <w:t>Quantités de référence (tonnes métriques)</w:t>
            </w:r>
            <w:r>
              <w:rPr>
                <w:rStyle w:val="FootnoteReference"/>
                <w:noProof/>
              </w:rPr>
              <w:footnoteReference w:id="1"/>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pPr>
              <w:autoSpaceDE w:val="0"/>
              <w:autoSpaceDN w:val="0"/>
              <w:adjustRightInd w:val="0"/>
              <w:spacing w:before="0" w:after="0"/>
              <w:jc w:val="center"/>
              <w:rPr>
                <w:rFonts w:eastAsia="Times New Roman"/>
                <w:b/>
                <w:bCs/>
                <w:noProof/>
                <w:color w:val="000000"/>
                <w:szCs w:val="24"/>
              </w:rPr>
            </w:pPr>
            <w:r>
              <w:rPr>
                <w:b/>
                <w:noProof/>
              </w:rPr>
              <w:t>Lignes tarifaires</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1</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2</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3</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4</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5</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6</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7</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8</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b/>
                <w:noProof/>
                <w:color w:val="000000"/>
              </w:rPr>
              <w:t>Année 9</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Année 10</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Année 11</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b/>
                <w:noProof/>
                <w:color w:val="000000"/>
              </w:rPr>
              <w:t>Année 12</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Abats comestibles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02061090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770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1050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1260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1330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1470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02062900*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15400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18700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tabs>
                <w:tab w:val="left" w:pos="845"/>
              </w:tabs>
              <w:spacing w:before="0" w:after="0"/>
              <w:jc w:val="center"/>
              <w:rPr>
                <w:rFonts w:eastAsia="Times New Roman"/>
                <w:noProof/>
                <w:color w:val="000000"/>
                <w:szCs w:val="24"/>
              </w:rPr>
            </w:pPr>
            <w:r>
              <w:rPr>
                <w:noProof/>
                <w:color w:val="000000"/>
              </w:rPr>
              <w:t>19800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20900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22000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noProof/>
                <w:color w:val="000000"/>
              </w:rPr>
              <w:t>23100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5</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02064900*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12600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Céréales travaillées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6</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11041910*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475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574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841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925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1018</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1232</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1355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7</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11042910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8</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11071010*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464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562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618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748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822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905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995</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1094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1324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9</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11072010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11081110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i/>
                <w:noProof/>
                <w:color w:val="000000"/>
                <w:u w:val="single"/>
              </w:rPr>
              <w:t>Préparations de viande</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16025030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16025040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i/>
                <w:noProof/>
                <w:color w:val="000000"/>
              </w:rPr>
              <w:t>16029020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Lait UHT (ultra haute température) ou de longue conservation</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15</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04011007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16</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04012007*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342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414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501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551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606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667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733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807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887</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17</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04014007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18</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rPr>
            </w:pPr>
            <w:r>
              <w:rPr>
                <w:i/>
                <w:noProof/>
              </w:rPr>
              <w:t>04015007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Cornichons et olives en conserve</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19</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rPr>
            </w:pPr>
            <w:r>
              <w:rPr>
                <w:i/>
                <w:noProof/>
              </w:rPr>
              <w:t>20011000*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1124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1237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1496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1646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1810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1991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2191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2410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2651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2916</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b/>
                <w:noProof/>
                <w:color w:val="000000"/>
              </w:rPr>
              <w:t>20</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rPr>
            </w:pPr>
            <w:r>
              <w:rPr>
                <w:i/>
                <w:noProof/>
              </w:rPr>
              <w:t>20019010*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359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435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478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526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579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770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847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931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1024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i/>
                <w:noProof/>
                <w:color w:val="000000"/>
                <w:u w:val="single"/>
              </w:rPr>
              <w:t>Chocolat</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21</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180631*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3900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4800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5400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5700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6300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22</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rFonts w:eastAsia="Times New Roman"/>
                <w:bCs/>
                <w:i/>
                <w:noProof/>
                <w:color w:val="000000"/>
                <w:szCs w:val="24"/>
              </w:rPr>
            </w:pPr>
            <w:r>
              <w:rPr>
                <w:i/>
                <w:noProof/>
                <w:color w:val="000000"/>
              </w:rPr>
              <w:t>180632*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880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960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1280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noProof/>
                <w:color w:val="000000"/>
              </w:rPr>
              <w:t>1440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1520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1600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1680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b/>
                <w:noProof/>
                <w:color w:val="000000"/>
              </w:rPr>
              <w:t>23</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i/>
                <w:noProof/>
              </w:rPr>
              <w:t>180690*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noProof/>
                <w:color w:val="000000"/>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noProof/>
                <w:color w:val="000000"/>
              </w:rPr>
              <w:t>12600</w:t>
            </w:r>
          </w:p>
        </w:tc>
      </w:tr>
    </w:tbl>
    <w:p>
      <w:pPr>
        <w:widowControl w:val="0"/>
        <w:spacing w:before="0" w:after="0"/>
        <w:jc w:val="center"/>
        <w:rPr>
          <w:rFonts w:eastAsia="Times New Roman"/>
          <w:b/>
          <w:noProof/>
          <w:szCs w:val="24"/>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widowControl w:val="0"/>
        <w:spacing w:before="0" w:after="240"/>
        <w:jc w:val="center"/>
        <w:rPr>
          <w:rFonts w:eastAsia="Times New Roman"/>
          <w:b/>
          <w:noProof/>
          <w:szCs w:val="24"/>
          <w:u w:val="single"/>
        </w:rPr>
      </w:pPr>
      <w:r>
        <w:rPr>
          <w:b/>
          <w:noProof/>
          <w:u w:val="single"/>
        </w:rPr>
        <w:t>ANNEXE V</w:t>
      </w:r>
    </w:p>
    <w:p>
      <w:pPr>
        <w:widowControl w:val="0"/>
        <w:spacing w:before="0" w:after="240"/>
        <w:jc w:val="center"/>
        <w:rPr>
          <w:rFonts w:eastAsia="Times New Roman"/>
          <w:b/>
          <w:noProof/>
          <w:szCs w:val="24"/>
        </w:rPr>
      </w:pPr>
      <w:r>
        <w:rPr>
          <w:b/>
          <w:noProof/>
        </w:rPr>
        <w:t>SAUVEGARDES TRANSITOIRES BLNS</w:t>
      </w:r>
    </w:p>
    <w:p>
      <w:pPr>
        <w:widowControl w:val="0"/>
        <w:spacing w:before="0" w:after="240"/>
        <w:jc w:val="left"/>
        <w:rPr>
          <w:rFonts w:eastAsia="Times New Roman"/>
          <w:noProof/>
          <w:szCs w:val="24"/>
        </w:rPr>
      </w:pPr>
      <w:r>
        <w:rPr>
          <w:noProof/>
        </w:rPr>
        <w:t>Les produits libéralisés visés à l’article 37 sont énumérés dans le tableau ci-après.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78"/>
        <w:gridCol w:w="7240"/>
      </w:tblGrid>
      <w:tr>
        <w:trPr>
          <w:trHeight w:val="509"/>
        </w:trPr>
        <w:tc>
          <w:tcPr>
            <w:tcW w:w="9366" w:type="dxa"/>
            <w:gridSpan w:val="3"/>
            <w:shd w:val="clear" w:color="auto" w:fill="auto"/>
            <w:hideMark/>
          </w:tcPr>
          <w:p>
            <w:pPr>
              <w:widowControl w:val="0"/>
              <w:spacing w:before="0" w:after="0" w:line="360" w:lineRule="auto"/>
              <w:jc w:val="left"/>
              <w:rPr>
                <w:rFonts w:eastAsia="Times New Roman"/>
                <w:b/>
                <w:bCs/>
                <w:noProof/>
                <w:szCs w:val="24"/>
              </w:rPr>
            </w:pPr>
          </w:p>
        </w:tc>
      </w:tr>
      <w:tr>
        <w:trPr>
          <w:trHeight w:val="315"/>
        </w:trPr>
        <w:tc>
          <w:tcPr>
            <w:tcW w:w="748" w:type="dxa"/>
            <w:shd w:val="clear" w:color="auto" w:fill="auto"/>
            <w:hideMark/>
          </w:tcPr>
          <w:p>
            <w:pPr>
              <w:widowControl w:val="0"/>
              <w:spacing w:before="0" w:after="0" w:line="360" w:lineRule="auto"/>
              <w:jc w:val="left"/>
              <w:rPr>
                <w:rFonts w:eastAsia="Times New Roman"/>
                <w:b/>
                <w:bCs/>
                <w:noProof/>
                <w:szCs w:val="24"/>
              </w:rPr>
            </w:pPr>
          </w:p>
        </w:tc>
        <w:tc>
          <w:tcPr>
            <w:tcW w:w="1378" w:type="dxa"/>
            <w:shd w:val="clear" w:color="auto" w:fill="auto"/>
            <w:hideMark/>
          </w:tcPr>
          <w:p>
            <w:pPr>
              <w:widowControl w:val="0"/>
              <w:spacing w:before="0" w:after="0" w:line="360" w:lineRule="auto"/>
              <w:jc w:val="left"/>
              <w:rPr>
                <w:rFonts w:eastAsia="Times New Roman"/>
                <w:b/>
                <w:bCs/>
                <w:noProof/>
                <w:szCs w:val="24"/>
              </w:rPr>
            </w:pPr>
            <w:r>
              <w:rPr>
                <w:b/>
                <w:noProof/>
              </w:rPr>
              <w:t>Code SH</w:t>
            </w:r>
          </w:p>
        </w:tc>
        <w:tc>
          <w:tcPr>
            <w:tcW w:w="7240" w:type="dxa"/>
            <w:shd w:val="clear" w:color="auto" w:fill="auto"/>
            <w:hideMark/>
          </w:tcPr>
          <w:p>
            <w:pPr>
              <w:widowControl w:val="0"/>
              <w:spacing w:before="0" w:after="0" w:line="360" w:lineRule="auto"/>
              <w:jc w:val="left"/>
              <w:rPr>
                <w:rFonts w:eastAsia="Times New Roman"/>
                <w:b/>
                <w:bCs/>
                <w:noProof/>
                <w:szCs w:val="24"/>
              </w:rPr>
            </w:pPr>
            <w:r>
              <w:rPr>
                <w:b/>
                <w:noProof/>
              </w:rPr>
              <w:t>Désignation des marchandises</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1</w:t>
            </w:r>
          </w:p>
        </w:tc>
        <w:tc>
          <w:tcPr>
            <w:tcW w:w="1378" w:type="dxa"/>
            <w:shd w:val="clear" w:color="auto" w:fill="auto"/>
          </w:tcPr>
          <w:p>
            <w:pPr>
              <w:widowControl w:val="0"/>
              <w:spacing w:before="0" w:after="0" w:line="360" w:lineRule="auto"/>
              <w:jc w:val="left"/>
              <w:rPr>
                <w:rFonts w:eastAsia="Times New Roman"/>
                <w:noProof/>
                <w:szCs w:val="24"/>
              </w:rPr>
            </w:pPr>
            <w:r>
              <w:rPr>
                <w:noProof/>
              </w:rPr>
              <w:t>0207.12.10</w:t>
            </w:r>
          </w:p>
        </w:tc>
        <w:tc>
          <w:tcPr>
            <w:tcW w:w="7240" w:type="dxa"/>
            <w:shd w:val="clear" w:color="auto" w:fill="auto"/>
          </w:tcPr>
          <w:p>
            <w:pPr>
              <w:widowControl w:val="0"/>
              <w:spacing w:before="0" w:after="0" w:line="360" w:lineRule="auto"/>
              <w:jc w:val="left"/>
              <w:rPr>
                <w:rFonts w:eastAsia="Times New Roman"/>
                <w:noProof/>
                <w:szCs w:val="24"/>
              </w:rPr>
            </w:pPr>
            <w:r>
              <w:rPr>
                <w:noProof/>
              </w:rPr>
              <w:t>Viandes de coqs et de poules (des espèces domestiques) désossées mécaniquement, non découpées en morceaux, congelées</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2</w:t>
            </w:r>
          </w:p>
        </w:tc>
        <w:tc>
          <w:tcPr>
            <w:tcW w:w="1378" w:type="dxa"/>
            <w:shd w:val="clear" w:color="auto" w:fill="auto"/>
          </w:tcPr>
          <w:p>
            <w:pPr>
              <w:widowControl w:val="0"/>
              <w:spacing w:before="0" w:after="0" w:line="360" w:lineRule="auto"/>
              <w:jc w:val="left"/>
              <w:rPr>
                <w:rFonts w:eastAsia="Times New Roman"/>
                <w:noProof/>
                <w:szCs w:val="24"/>
              </w:rPr>
            </w:pPr>
            <w:r>
              <w:rPr>
                <w:noProof/>
              </w:rPr>
              <w:t>0207.12.20</w:t>
            </w:r>
          </w:p>
        </w:tc>
        <w:tc>
          <w:tcPr>
            <w:tcW w:w="7240" w:type="dxa"/>
            <w:shd w:val="clear" w:color="auto" w:fill="auto"/>
          </w:tcPr>
          <w:p>
            <w:pPr>
              <w:widowControl w:val="0"/>
              <w:spacing w:before="0" w:after="0" w:line="360" w:lineRule="auto"/>
              <w:jc w:val="left"/>
              <w:rPr>
                <w:rFonts w:eastAsia="Times New Roman"/>
                <w:noProof/>
                <w:szCs w:val="24"/>
              </w:rPr>
            </w:pPr>
            <w:r>
              <w:rPr>
                <w:noProof/>
              </w:rPr>
              <w:t>Carcasses (à l’exclusion des cous et des abats) de coqs et de poules (des espèces domestiques) débarrassées de tous les morceaux, non découpées en morceaux, congelées</w:t>
            </w:r>
          </w:p>
        </w:tc>
      </w:tr>
      <w:tr>
        <w:trPr>
          <w:trHeight w:val="600"/>
        </w:trPr>
        <w:tc>
          <w:tcPr>
            <w:tcW w:w="748" w:type="dxa"/>
            <w:shd w:val="clear" w:color="auto" w:fill="auto"/>
          </w:tcPr>
          <w:p>
            <w:pPr>
              <w:widowControl w:val="0"/>
              <w:spacing w:before="0" w:after="0" w:line="360" w:lineRule="auto"/>
              <w:jc w:val="left"/>
              <w:rPr>
                <w:rFonts w:eastAsia="Times New Roman"/>
                <w:noProof/>
                <w:szCs w:val="24"/>
              </w:rPr>
            </w:pPr>
            <w:r>
              <w:rPr>
                <w:noProof/>
              </w:rPr>
              <w:t>3</w:t>
            </w:r>
          </w:p>
        </w:tc>
        <w:tc>
          <w:tcPr>
            <w:tcW w:w="1378" w:type="dxa"/>
            <w:shd w:val="clear" w:color="auto" w:fill="auto"/>
          </w:tcPr>
          <w:p>
            <w:pPr>
              <w:widowControl w:val="0"/>
              <w:spacing w:before="0" w:after="0" w:line="360" w:lineRule="auto"/>
              <w:jc w:val="left"/>
              <w:rPr>
                <w:rFonts w:eastAsia="Times New Roman"/>
                <w:noProof/>
                <w:szCs w:val="24"/>
              </w:rPr>
            </w:pPr>
            <w:r>
              <w:rPr>
                <w:noProof/>
              </w:rPr>
              <w:t>0207.12.90</w:t>
            </w:r>
          </w:p>
        </w:tc>
        <w:tc>
          <w:tcPr>
            <w:tcW w:w="7240" w:type="dxa"/>
            <w:shd w:val="clear" w:color="auto" w:fill="auto"/>
          </w:tcPr>
          <w:p>
            <w:pPr>
              <w:widowControl w:val="0"/>
              <w:spacing w:before="0" w:after="0" w:line="360" w:lineRule="auto"/>
              <w:jc w:val="left"/>
              <w:rPr>
                <w:rFonts w:eastAsia="Times New Roman"/>
                <w:noProof/>
                <w:szCs w:val="24"/>
              </w:rPr>
            </w:pPr>
            <w:r>
              <w:rPr>
                <w:noProof/>
              </w:rPr>
              <w:t>Coqs et poules (des espèces domestiques) non découpés en morceaux, congelés [à l’exclusion des viandes désossées mécaniquement, congelées, et des carcasses (à l’exclusion des cous et des abats) débarrassées de tous les morceaux, congelées]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0207.14.20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Abats comestibles de coqs et de poules (des espèces domestiques), congelés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0207.14.90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Morceaux de coqs et de poules (des espèces domestiques), congelés (à l’exclusion des morceaux désossés)</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0401.10.07</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Lait et crème de lait, non concentrés ni additionnés de sucre ou d’autres édulcorants d’une teneur en poids de matières grasses n’excédant pas 1 %: lait UHT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0409.00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Miel naturel</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0708.10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Pois (</w:t>
            </w:r>
            <w:r>
              <w:rPr>
                <w:i/>
                <w:noProof/>
              </w:rPr>
              <w:t>Pisum sativum</w:t>
            </w:r>
            <w:r>
              <w:rPr>
                <w:noProof/>
              </w:rPr>
              <w:t>), écossés ou non, à l’état frais ou réfrigéré</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0710.29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Légumes à cosse, écossés ou non, non cuits ou cuits à l’eau ou à la vapeur, congelés (à l’exclusion des pois et des haricots)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Épinards, tétragones (épinards de Nouvelle-Zélande) et arroches (épinards géants), congelés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Maïs doux, non cuit ou cuit à l’eau ou à la vapeur, congelé</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Mélanges de légumes, non cuits ou cuits à l’eau ou à la vapeur, congelés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Olives, conservées provisoirement (au moyen de gaz sulfureux ou dans de l’eau salée, soufrée ou additionnée d’autres substances servant à assurer provisoirement leur conservation, par exemple), mais impropres à l’alimentation en l’état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Concombres et cornichons, conservés provisoirement (au moyen de gaz sulfureux ou dans de l’eau salée, soufrée ou additionnée d’autres substances servant à assurer provisoirement leur conservation, par exemple), mais impropres à l’alimentation en l’état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0711.51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 xml:space="preserve">Champignons du genre </w:t>
            </w:r>
            <w:r>
              <w:rPr>
                <w:i/>
                <w:noProof/>
              </w:rPr>
              <w:t>Agaricus</w:t>
            </w:r>
            <w:r>
              <w:rPr>
                <w:noProof/>
              </w:rPr>
              <w:t>, conservés provisoirement (au moyen de gaz sulfureux ou dans de l’eau salée, soufrée ou additionnée d’autres substances servant à assurer provisoirement leur conservation, par exemple), mais impropres à l’alimentation en l’état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0712.20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Oignons, séchés, même coupés en morceaux ou en tranches ou bien broyés ou pulvérisés, mais non autrement préparés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1102.90.90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Farines de céréales [à l’exclusion des farines de froment (blé), de méteil, de seigle, de maïs, de riz, de sorgho et d’avoine]</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18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1105.10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Farine, semoule et poudre de pommes de terre</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19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1517.10.10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Margarine contenant en poids plus de 10 % mais pas plus de 15 % de matières grasses provenant du lait (à l’exclusion de la margarine liquide)</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1517.10.90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Margarine (à l’exclusion de la margarine liquide), autres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21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1517.90.10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Mélanges ou préparations alimentaires de graisses ou d’huiles animales ou végétales ou de fractions de différentes graisses ou huiles, contenant en poids plus de 10 % mais pas plus de 15 % de matières grasses provenant du lait, autres que les graisses et huiles alimentaires et leurs fractions, partiellement ou totalement hydrogénées, interestérifiées, réestérifiées ou élaïdinisées, même raffinées, mais non autrement préparées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1517.90.20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Mélanges ou préparations culinaires utilisés pour le démoulage</w:t>
            </w:r>
          </w:p>
        </w:tc>
      </w:tr>
      <w:tr>
        <w:trPr>
          <w:trHeight w:val="1200"/>
        </w:trPr>
        <w:tc>
          <w:tcPr>
            <w:tcW w:w="748" w:type="dxa"/>
            <w:shd w:val="clear" w:color="auto" w:fill="auto"/>
            <w:hideMark/>
          </w:tcPr>
          <w:p>
            <w:pPr>
              <w:widowControl w:val="0"/>
              <w:spacing w:before="0" w:after="0" w:line="360" w:lineRule="auto"/>
              <w:jc w:val="left"/>
              <w:rPr>
                <w:rFonts w:eastAsia="Times New Roman"/>
                <w:noProof/>
                <w:szCs w:val="24"/>
              </w:rPr>
            </w:pPr>
            <w:r>
              <w:rPr>
                <w:noProof/>
              </w:rPr>
              <w:t>23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1602.32.10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Pâtés de coqs et de poules (des espèces domestiques), préparés ou conservés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1602.32.90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Viande, abats ou sang de coqs et de poules (des espèces domestiques), préparés ou conservés, autres que les pâtés (à l’exclusion des saucisses, saucissons et produits similaires, des préparations homogénéisées et des préparations de foies)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25</w:t>
            </w:r>
          </w:p>
        </w:tc>
        <w:tc>
          <w:tcPr>
            <w:tcW w:w="1378" w:type="dxa"/>
            <w:shd w:val="clear" w:color="auto" w:fill="auto"/>
            <w:noWrap/>
            <w:hideMark/>
          </w:tcPr>
          <w:p>
            <w:pPr>
              <w:widowControl w:val="0"/>
              <w:spacing w:before="0" w:after="0" w:line="360" w:lineRule="auto"/>
              <w:jc w:val="left"/>
              <w:rPr>
                <w:rFonts w:eastAsia="Times New Roman"/>
                <w:noProof/>
                <w:szCs w:val="24"/>
              </w:rPr>
            </w:pPr>
            <w:r>
              <w:rPr>
                <w:noProof/>
              </w:rPr>
              <w:t>1602.39.10</w:t>
            </w:r>
          </w:p>
        </w:tc>
        <w:tc>
          <w:tcPr>
            <w:tcW w:w="7240" w:type="dxa"/>
            <w:shd w:val="clear" w:color="auto" w:fill="auto"/>
            <w:noWrap/>
            <w:hideMark/>
          </w:tcPr>
          <w:p>
            <w:pPr>
              <w:widowControl w:val="0"/>
              <w:spacing w:before="0" w:after="0" w:line="360" w:lineRule="auto"/>
              <w:jc w:val="left"/>
              <w:rPr>
                <w:rFonts w:eastAsia="Times New Roman"/>
                <w:noProof/>
                <w:szCs w:val="24"/>
              </w:rPr>
            </w:pPr>
            <w:r>
              <w:rPr>
                <w:noProof/>
              </w:rPr>
              <w:t>Pâtés de volailles du nº 0105, autres que de coqs et de poules (des espèces domestiques) ou de dindes, préparés ou conservés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1603.00.10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Extraits de viande (à l’exclusion de la viande de baleines)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27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Poudre de cacao avec addition de sucre ou d’autres édulcorants</w:t>
            </w:r>
          </w:p>
        </w:tc>
      </w:tr>
      <w:tr>
        <w:trPr>
          <w:trHeight w:val="1500"/>
        </w:trPr>
        <w:tc>
          <w:tcPr>
            <w:tcW w:w="748" w:type="dxa"/>
            <w:shd w:val="clear" w:color="auto" w:fill="auto"/>
            <w:hideMark/>
          </w:tcPr>
          <w:p>
            <w:pPr>
              <w:widowControl w:val="0"/>
              <w:spacing w:before="0" w:after="0" w:line="360" w:lineRule="auto"/>
              <w:jc w:val="left"/>
              <w:rPr>
                <w:rFonts w:eastAsia="Times New Roman"/>
                <w:noProof/>
                <w:szCs w:val="24"/>
              </w:rPr>
            </w:pPr>
            <w:r>
              <w:rPr>
                <w:noProof/>
              </w:rPr>
              <w:t>28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1806.20.10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Chocolat et autres préparations alimentaires contenant du cacao, présentés soit en blocs ou en barres d’un poids excédant 2 kg, soit à l’état liquide ou pâteux ou en poudres, granulés ou formes similaires, en récipients ou en emballages immédiats, d’un contenu excédant 2 kg, chocolat et sucreries contenant du cacao</w:t>
            </w:r>
          </w:p>
        </w:tc>
      </w:tr>
      <w:tr>
        <w:trPr>
          <w:trHeight w:val="1245"/>
        </w:trPr>
        <w:tc>
          <w:tcPr>
            <w:tcW w:w="748" w:type="dxa"/>
            <w:shd w:val="clear" w:color="auto" w:fill="auto"/>
            <w:hideMark/>
          </w:tcPr>
          <w:p>
            <w:pPr>
              <w:widowControl w:val="0"/>
              <w:spacing w:before="0" w:after="0" w:line="360" w:lineRule="auto"/>
              <w:jc w:val="left"/>
              <w:rPr>
                <w:rFonts w:eastAsia="Times New Roman"/>
                <w:noProof/>
                <w:szCs w:val="24"/>
              </w:rPr>
            </w:pPr>
            <w:r>
              <w:rPr>
                <w:noProof/>
              </w:rPr>
              <w:t>29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1806.20.90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Chocolat et autres préparations alimentaires contenant du cacao, présentés soit en blocs ou en barres d’un poids excédant 2 kg, soit à l’état liquide ou pâteux ou en poudres, granulés ou formes similaires, en récipients ou en emballages immédiats, d’un contenu excédant 2 kg, autres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1806.31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Chocolat et autres préparations contenant du cacao, présentés en tablettes, barres ou bâtons d’un poids inférieur ou égal à 2 kg, fourrés</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31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1806.32</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Chocolat et autres préparations contenant du cacao, présentés en tablettes, barres ou bâtons d’un poids inférieur ou égal à 2 kg, non fourrés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1902.11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Pâtes alimentaires non cuites ni farcies ni autrement préparées, contenant des œufs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33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1902.19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Pâtes alimentaires non cuites ni farcies ni autrement préparées, ne contenant pas d’œufs</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34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Pain d’épices, même additionné de cacao</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35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1905.32</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Gaufres et gaufrettes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1905.40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Biscottes, pain grillé et produits similaires grillés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2003.10.10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 xml:space="preserve">Champignons du genre </w:t>
            </w:r>
            <w:r>
              <w:rPr>
                <w:i/>
                <w:noProof/>
              </w:rPr>
              <w:t>Agaricus</w:t>
            </w:r>
            <w:r>
              <w:rPr>
                <w:noProof/>
              </w:rPr>
              <w:t>, préparés ou conservés autrement qu’au vinaigre ou à l’acide acétique, congelés (à l’exclusion des plats préparés)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2003.90.90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 xml:space="preserve">Champignons, préparés ou conservés autrement qu’au vinaigre ou à l’acide acétique [à l’exclusion des champignons du genre </w:t>
            </w:r>
            <w:r>
              <w:rPr>
                <w:i/>
                <w:noProof/>
              </w:rPr>
              <w:t>Agaricus</w:t>
            </w:r>
            <w:r>
              <w:rPr>
                <w:noProof/>
              </w:rPr>
              <w:t xml:space="preserve"> et des champignons congelés (à l’exclusion des plats préparés)]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39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2004.90.30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Olives préparées ou conservées autrement qu’au vinaigre ou à l’acide acétique, congelées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2004.90.40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Maïs doux (</w:t>
            </w:r>
            <w:r>
              <w:rPr>
                <w:i/>
                <w:noProof/>
              </w:rPr>
              <w:t>Zea mays</w:t>
            </w:r>
            <w:r>
              <w:rPr>
                <w:noProof/>
              </w:rPr>
              <w:t xml:space="preserve"> var. </w:t>
            </w:r>
            <w:r>
              <w:rPr>
                <w:i/>
                <w:noProof/>
              </w:rPr>
              <w:t>saccharata</w:t>
            </w:r>
            <w:r>
              <w:rPr>
                <w:noProof/>
              </w:rPr>
              <w:t>), préparé ou conservé autrement qu’au vinaigre ou à l’acide acétique, congelé</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2005.51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Haricots (</w:t>
            </w:r>
            <w:r>
              <w:rPr>
                <w:i/>
                <w:noProof/>
              </w:rPr>
              <w:t>Vigna</w:t>
            </w:r>
            <w:r>
              <w:rPr>
                <w:noProof/>
              </w:rPr>
              <w:t xml:space="preserve"> spp., </w:t>
            </w:r>
            <w:r>
              <w:rPr>
                <w:i/>
                <w:noProof/>
              </w:rPr>
              <w:t>Phaseolus</w:t>
            </w:r>
            <w:r>
              <w:rPr>
                <w:noProof/>
              </w:rPr>
              <w:t xml:space="preserve"> spp.), en grains, préparés ou conservés autrement qu’au vinaigre ou à l’acide acétique, non congelés</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rPr>
            </w:pPr>
            <w:r>
              <w:rPr>
                <w:noProof/>
              </w:rPr>
              <w:t>42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2005.59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Haricots (</w:t>
            </w:r>
            <w:r>
              <w:rPr>
                <w:i/>
                <w:noProof/>
              </w:rPr>
              <w:t>Vigna</w:t>
            </w:r>
            <w:r>
              <w:rPr>
                <w:noProof/>
              </w:rPr>
              <w:t xml:space="preserve"> spp., </w:t>
            </w:r>
            <w:r>
              <w:rPr>
                <w:i/>
                <w:noProof/>
              </w:rPr>
              <w:t>Phaseolus</w:t>
            </w:r>
            <w:r>
              <w:rPr>
                <w:noProof/>
              </w:rPr>
              <w:t xml:space="preserve"> spp.), non écossés, préparés ou conservés autrement qu’au vinaigre ou à l’acide acétique, non congelés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2005.60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Asperges, préparées ou conservées autrement qu’au vinaigre ou à l’acide acétique, non congelées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44</w:t>
            </w:r>
          </w:p>
        </w:tc>
        <w:tc>
          <w:tcPr>
            <w:tcW w:w="1378" w:type="dxa"/>
            <w:shd w:val="clear" w:color="auto" w:fill="auto"/>
            <w:noWrap/>
            <w:hideMark/>
          </w:tcPr>
          <w:p>
            <w:pPr>
              <w:widowControl w:val="0"/>
              <w:spacing w:before="0" w:after="0" w:line="360" w:lineRule="auto"/>
              <w:jc w:val="left"/>
              <w:rPr>
                <w:rFonts w:eastAsia="Times New Roman"/>
                <w:noProof/>
                <w:szCs w:val="24"/>
              </w:rPr>
            </w:pPr>
            <w:r>
              <w:rPr>
                <w:noProof/>
              </w:rPr>
              <w:t>2005.80</w:t>
            </w:r>
          </w:p>
        </w:tc>
        <w:tc>
          <w:tcPr>
            <w:tcW w:w="7240" w:type="dxa"/>
            <w:shd w:val="clear" w:color="auto" w:fill="auto"/>
            <w:noWrap/>
            <w:hideMark/>
          </w:tcPr>
          <w:p>
            <w:pPr>
              <w:widowControl w:val="0"/>
              <w:spacing w:before="0" w:after="0" w:line="360" w:lineRule="auto"/>
              <w:jc w:val="left"/>
              <w:rPr>
                <w:rFonts w:eastAsia="Times New Roman"/>
                <w:noProof/>
                <w:szCs w:val="24"/>
              </w:rPr>
            </w:pPr>
            <w:r>
              <w:rPr>
                <w:noProof/>
              </w:rPr>
              <w:t>Maïs doux (</w:t>
            </w:r>
            <w:r>
              <w:rPr>
                <w:i/>
                <w:noProof/>
              </w:rPr>
              <w:t>Zea mays</w:t>
            </w:r>
            <w:r>
              <w:rPr>
                <w:noProof/>
              </w:rPr>
              <w:t xml:space="preserve"> var. </w:t>
            </w:r>
            <w:r>
              <w:rPr>
                <w:i/>
                <w:noProof/>
              </w:rPr>
              <w:t>saccharata</w:t>
            </w:r>
            <w:r>
              <w:rPr>
                <w:noProof/>
              </w:rPr>
              <w:t>), préparé ou conservé autrement qu’au vinaigre ou à l’acide acétique, non congelé</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45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2007.10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Préparations homogénéisées de confitures, gelées, marmelades, purées et pâtes de fruits, obtenues par cuisson, avec ou sans addition de sucre ou d’autres édulcorants</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46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2007.91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Confitures, gelées, marmelades, purées et pâtes de fruits d’agrumes, obtenues par cuisson, avec ou sans addition de sucre ou d’autres édulcorants (à l’exclusion des préparations homogénéisées du nº 2007.10)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2009.69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Jus de raisin (y compris les moûts de raisin), d’une valeur Brix excédant 30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2009.79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Jus de pomme, d’une valeur Brix excédant 20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49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2009.89.50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Jus de fruits, non fermentés, avec ou sans addition de sucre ou d’autres édulcorants [à l’exclusion des jus avec addition d’alcool, des mélanges et des jus d’agrumes, d’ananas, de tomate, de raisin (y compris les moûts de raisin), de pomme, d’airelle rouge, de kiwi, de grenade, de cerise et de fruit de la passion]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2009.90.10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Mélanges de jus de fruits (y compris les moûts de raisin), non fermentés, avec ou sans addition de sucre ou d’autres édulcorants (à l’exclusion des jus avec addition d’alcool)</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51</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2203.00.90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Bières de malt, autres que la bière africaine traditionnelle au sens de la note complémentaire 1 du chapitre 22</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52</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3401.20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Savons sous des formes autres qu’en barres, pains, morceaux ou sujets frappés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53</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3406.00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Bougies, chandelles, cierges et articles similaires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54</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4818.10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Papier hygiénique, en rouleaux d’une largeur ≤ 36 cm</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55</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4818.20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Mouchoirs, serviettes à démaquiller et essuie-mains en pâte à papier, papier, ouate de cellulose ou nappes de fibres de cellulose</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rPr>
            </w:pPr>
            <w:r>
              <w:rPr>
                <w:noProof/>
              </w:rPr>
              <w:t>56</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4818.30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Nappes et serviettes de table, en pâte à papier, papier, ouate de cellulose ou nappes de fibres de cellulose</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57</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4818.90</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Papiers, ouate de cellulose ou nappes de fibres de cellulose, des types utilisés à des fins domestiques ou sanitaires, en rouleaux d’une largeur ≤ 36 cm, ou coupés à format; articles à usages domestiques, de toilette, hygiéniques ou hospitaliers, en pâte à papier, papier, ouate de cellulose ou nappes de fibres de cellulose (à l’exclusion du papier hygiénique, des mouchoirs, des serviettes à démaquiller, des essuie-mains, des nappes, des serviettes de table, des serviettes et tampons hygiéniques, des couches pour bébés et des articles hygiéniques similaires)</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rPr>
            </w:pPr>
            <w:r>
              <w:rPr>
                <w:noProof/>
              </w:rPr>
              <w:t>58</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6601.99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Parapluies, ombrelles et parasols, y compris les parapluies-cannes (à l’exclusion des parasols de jardin et articles similaires, des articles ayant le caractère de jouets d’enfants et des articles à mât ou manche télescopique)</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59</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9607.11</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Fermetures à glissière avec agrafes en métaux communs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rPr>
            </w:pPr>
            <w:r>
              <w:rPr>
                <w:noProof/>
              </w:rPr>
              <w:t>60</w:t>
            </w:r>
          </w:p>
        </w:tc>
        <w:tc>
          <w:tcPr>
            <w:tcW w:w="1378" w:type="dxa"/>
            <w:shd w:val="clear" w:color="auto" w:fill="auto"/>
            <w:hideMark/>
          </w:tcPr>
          <w:p>
            <w:pPr>
              <w:widowControl w:val="0"/>
              <w:spacing w:before="0" w:after="0" w:line="360" w:lineRule="auto"/>
              <w:jc w:val="left"/>
              <w:rPr>
                <w:rFonts w:eastAsia="Times New Roman"/>
                <w:noProof/>
                <w:szCs w:val="24"/>
              </w:rPr>
            </w:pPr>
            <w:r>
              <w:rPr>
                <w:noProof/>
              </w:rPr>
              <w:t>9607.19</w:t>
            </w:r>
          </w:p>
        </w:tc>
        <w:tc>
          <w:tcPr>
            <w:tcW w:w="7240" w:type="dxa"/>
            <w:shd w:val="clear" w:color="auto" w:fill="auto"/>
            <w:hideMark/>
          </w:tcPr>
          <w:p>
            <w:pPr>
              <w:widowControl w:val="0"/>
              <w:spacing w:before="0" w:after="0" w:line="360" w:lineRule="auto"/>
              <w:jc w:val="left"/>
              <w:rPr>
                <w:rFonts w:eastAsia="Times New Roman"/>
                <w:noProof/>
                <w:szCs w:val="24"/>
              </w:rPr>
            </w:pPr>
            <w:r>
              <w:rPr>
                <w:noProof/>
              </w:rPr>
              <w:t>Fermetures à glissière sans agrafes et autres qu’en métaux communs</w:t>
            </w:r>
          </w:p>
        </w:tc>
      </w:tr>
    </w:tbl>
    <w:p>
      <w:pPr>
        <w:widowControl w:val="0"/>
        <w:spacing w:before="0" w:after="0"/>
        <w:jc w:val="center"/>
        <w:rPr>
          <w:rFonts w:eastAsia="Times New Roman"/>
          <w:noProof/>
          <w:szCs w:val="24"/>
        </w:rPr>
      </w:pPr>
    </w:p>
    <w:p>
      <w:pPr>
        <w:widowControl w:val="0"/>
        <w:spacing w:before="0" w:after="0"/>
        <w:jc w:val="left"/>
        <w:rPr>
          <w:rFonts w:eastAsia="Times New Roman"/>
          <w:b/>
          <w:noProof/>
          <w:szCs w:val="24"/>
        </w:rPr>
      </w:pPr>
      <w:r>
        <w:rPr>
          <w:noProof/>
        </w:rPr>
        <w:br w:type="page"/>
      </w:r>
    </w:p>
    <w:p>
      <w:pPr>
        <w:widowControl w:val="0"/>
        <w:spacing w:before="0" w:after="240"/>
        <w:jc w:val="center"/>
        <w:rPr>
          <w:rFonts w:eastAsia="Times New Roman"/>
          <w:b/>
          <w:noProof/>
          <w:szCs w:val="24"/>
          <w:u w:val="single"/>
        </w:rPr>
      </w:pPr>
      <w:r>
        <w:rPr>
          <w:b/>
          <w:noProof/>
          <w:u w:val="single"/>
        </w:rPr>
        <w:t>ANNEXE VI</w:t>
      </w:r>
    </w:p>
    <w:p>
      <w:pPr>
        <w:widowControl w:val="0"/>
        <w:spacing w:before="0" w:after="240"/>
        <w:jc w:val="center"/>
        <w:rPr>
          <w:rFonts w:eastAsia="Times New Roman"/>
          <w:b/>
          <w:noProof/>
          <w:szCs w:val="24"/>
        </w:rPr>
      </w:pPr>
      <w:r>
        <w:rPr>
          <w:b/>
          <w:noProof/>
        </w:rPr>
        <w:t>PRODUITS ET SECTEURS PRIORITAIRES SPS</w:t>
      </w:r>
    </w:p>
    <w:p>
      <w:pPr>
        <w:widowControl w:val="0"/>
        <w:spacing w:before="0" w:after="240"/>
        <w:jc w:val="left"/>
        <w:rPr>
          <w:rFonts w:eastAsia="Times New Roman"/>
          <w:noProof/>
          <w:szCs w:val="24"/>
        </w:rPr>
      </w:pPr>
      <w:r>
        <w:rPr>
          <w:noProof/>
        </w:rPr>
        <w:t>Les produits et secteurs prioritaires visés à l’article 60, point b), et à l’article 65, point e), sont énumérés ci-après.</w:t>
      </w:r>
    </w:p>
    <w:p>
      <w:pPr>
        <w:rPr>
          <w:b/>
          <w:noProof/>
          <w:snapToGrid w:val="0"/>
        </w:rPr>
      </w:pPr>
      <w:r>
        <w:rPr>
          <w:b/>
          <w:noProof/>
          <w:snapToGrid w:val="0"/>
        </w:rPr>
        <w:t>A: Pour l’harmonisation entre les États de l’APE CDAA:</w:t>
      </w:r>
    </w:p>
    <w:p>
      <w:pPr>
        <w:rPr>
          <w:noProof/>
          <w:snapToGrid w:val="0"/>
        </w:rPr>
      </w:pPr>
      <w:r>
        <w:rPr>
          <w:noProof/>
        </w:rPr>
        <w:t>Poissons, produits de la mer, produits de l’aquaculture, frais ou transformés</w:t>
      </w:r>
    </w:p>
    <w:p>
      <w:pPr>
        <w:rPr>
          <w:noProof/>
          <w:snapToGrid w:val="0"/>
        </w:rPr>
      </w:pPr>
      <w:r>
        <w:rPr>
          <w:noProof/>
        </w:rPr>
        <w:t>Bovins, ovins et volailles</w:t>
      </w:r>
    </w:p>
    <w:p>
      <w:pPr>
        <w:rPr>
          <w:noProof/>
          <w:snapToGrid w:val="0"/>
        </w:rPr>
      </w:pPr>
      <w:r>
        <w:rPr>
          <w:noProof/>
        </w:rPr>
        <w:t>Viandes fraîches</w:t>
      </w:r>
    </w:p>
    <w:p>
      <w:pPr>
        <w:rPr>
          <w:noProof/>
          <w:snapToGrid w:val="0"/>
        </w:rPr>
      </w:pPr>
      <w:r>
        <w:rPr>
          <w:noProof/>
        </w:rPr>
        <w:t>Produits transformés à base de viande</w:t>
      </w:r>
    </w:p>
    <w:p>
      <w:pPr>
        <w:rPr>
          <w:noProof/>
        </w:rPr>
      </w:pPr>
      <w:r>
        <w:rPr>
          <w:noProof/>
        </w:rPr>
        <w:t>Céréales</w:t>
      </w:r>
    </w:p>
    <w:p>
      <w:pPr>
        <w:rPr>
          <w:noProof/>
        </w:rPr>
      </w:pPr>
      <w:r>
        <w:rPr>
          <w:noProof/>
        </w:rPr>
        <w:t>Légumes et épices</w:t>
      </w:r>
    </w:p>
    <w:p>
      <w:pPr>
        <w:rPr>
          <w:noProof/>
        </w:rPr>
      </w:pPr>
      <w:r>
        <w:rPr>
          <w:noProof/>
        </w:rPr>
        <w:t>Oléagineux</w:t>
      </w:r>
    </w:p>
    <w:p>
      <w:pPr>
        <w:rPr>
          <w:noProof/>
        </w:rPr>
      </w:pPr>
      <w:r>
        <w:rPr>
          <w:noProof/>
        </w:rPr>
        <w:t>Noix de coco</w:t>
      </w:r>
    </w:p>
    <w:p>
      <w:pPr>
        <w:rPr>
          <w:noProof/>
        </w:rPr>
      </w:pPr>
      <w:r>
        <w:rPr>
          <w:noProof/>
        </w:rPr>
        <w:t>Coprah</w:t>
      </w:r>
    </w:p>
    <w:p>
      <w:pPr>
        <w:rPr>
          <w:noProof/>
        </w:rPr>
      </w:pPr>
      <w:r>
        <w:rPr>
          <w:noProof/>
        </w:rPr>
        <w:t>Graines de coton</w:t>
      </w:r>
    </w:p>
    <w:p>
      <w:pPr>
        <w:rPr>
          <w:noProof/>
        </w:rPr>
      </w:pPr>
      <w:r>
        <w:rPr>
          <w:noProof/>
        </w:rPr>
        <w:t>Arachides</w:t>
      </w:r>
    </w:p>
    <w:p>
      <w:pPr>
        <w:rPr>
          <w:noProof/>
        </w:rPr>
      </w:pPr>
      <w:r>
        <w:rPr>
          <w:noProof/>
        </w:rPr>
        <w:t>Manioc</w:t>
      </w:r>
    </w:p>
    <w:p>
      <w:pPr>
        <w:rPr>
          <w:noProof/>
        </w:rPr>
      </w:pPr>
      <w:r>
        <w:rPr>
          <w:noProof/>
        </w:rPr>
        <w:t>Bière, jus</w:t>
      </w:r>
    </w:p>
    <w:p>
      <w:pPr>
        <w:rPr>
          <w:noProof/>
        </w:rPr>
      </w:pPr>
      <w:r>
        <w:rPr>
          <w:noProof/>
        </w:rPr>
        <w:t>Fruits secs et en conserves</w:t>
      </w:r>
    </w:p>
    <w:p>
      <w:pPr>
        <w:rPr>
          <w:b/>
          <w:noProof/>
          <w:snapToGrid w:val="0"/>
        </w:rPr>
      </w:pPr>
      <w:r>
        <w:rPr>
          <w:b/>
          <w:noProof/>
          <w:snapToGrid w:val="0"/>
        </w:rPr>
        <w:t>B: Pour l’exportation des États de l’APE CDAA vers l’UE:</w:t>
      </w:r>
    </w:p>
    <w:p>
      <w:pPr>
        <w:rPr>
          <w:noProof/>
          <w:snapToGrid w:val="0"/>
        </w:rPr>
      </w:pPr>
      <w:r>
        <w:rPr>
          <w:noProof/>
        </w:rPr>
        <w:t>Poissons, produits de la mer, produits de l’aquaculture, frais ou transformés</w:t>
      </w:r>
    </w:p>
    <w:p>
      <w:pPr>
        <w:rPr>
          <w:noProof/>
          <w:snapToGrid w:val="0"/>
        </w:rPr>
      </w:pPr>
      <w:r>
        <w:rPr>
          <w:noProof/>
        </w:rPr>
        <w:t>Viande bovine et produits à base de viande bovine</w:t>
      </w:r>
    </w:p>
    <w:p>
      <w:pPr>
        <w:rPr>
          <w:noProof/>
          <w:snapToGrid w:val="0"/>
        </w:rPr>
      </w:pPr>
      <w:r>
        <w:rPr>
          <w:noProof/>
        </w:rPr>
        <w:t>Autres produits à base de viande</w:t>
      </w:r>
    </w:p>
    <w:p>
      <w:pPr>
        <w:rPr>
          <w:noProof/>
        </w:rPr>
      </w:pPr>
      <w:r>
        <w:rPr>
          <w:noProof/>
        </w:rPr>
        <w:t>Fruits</w:t>
      </w:r>
    </w:p>
    <w:p>
      <w:pPr>
        <w:rPr>
          <w:noProof/>
        </w:rPr>
      </w:pPr>
      <w:r>
        <w:rPr>
          <w:noProof/>
        </w:rPr>
        <w:t>Légumes</w:t>
      </w:r>
    </w:p>
    <w:p>
      <w:pPr>
        <w:rPr>
          <w:noProof/>
        </w:rPr>
      </w:pPr>
      <w:r>
        <w:rPr>
          <w:noProof/>
        </w:rPr>
        <w:t>Fleurs coupées</w:t>
      </w:r>
    </w:p>
    <w:p>
      <w:pPr>
        <w:rPr>
          <w:noProof/>
        </w:rPr>
      </w:pPr>
      <w:r>
        <w:rPr>
          <w:noProof/>
        </w:rPr>
        <w:t>Café</w:t>
      </w:r>
    </w:p>
    <w:p>
      <w:pPr>
        <w:rPr>
          <w:noProof/>
        </w:rPr>
      </w:pPr>
      <w:r>
        <w:rPr>
          <w:noProof/>
        </w:rPr>
        <w:t>Sucre</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Pour les lignes tarifaires signalées par un astérisque et si la date d’entrée en vigueur du présent accord est postérieure à 2015, la quantité de référence pour l’année 1 est égale à la moyenne des importations dans l’UDAA en provenance de l’UE effectuées au cours des trois (3) années précédentes. Les quantités de référence pour les années suivantes (après l’année 1) sont ajustées proportionnellement aux quantités de référence figurant dans le présent tableau.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1: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5"/>
    <w:docVar w:name="LW_ANNEX_NBR_LAST" w:val="5"/>
    <w:docVar w:name="LW_CONFIDENCE" w:val=" "/>
    <w:docVar w:name="LW_CONST_RESTREINT_UE" w:val="RESTREINT UE"/>
    <w:docVar w:name="LW_CORRIGENDUM" w:val="&lt;UNUSED&gt;"/>
    <w:docVar w:name="LW_COVERPAGE_GUID" w:val="0DCA120F45E24302BDE349679F37B4D3"/>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8454-D1BF-4D97-96D0-C05727C2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1936</Words>
  <Characters>10033</Characters>
  <Application>Microsoft Office Word</Application>
  <DocSecurity>0</DocSecurity>
  <Lines>668</Lines>
  <Paragraphs>664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2016-01-11T12:53:00Z</dcterms:created>
  <dcterms:modified xsi:type="dcterms:W3CDTF">2016-01-13T15:11:00Z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