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D7BC40E524B4963A8700C23B1D57366" style="width:450.75pt;height:396.7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rPr>
        <w:t>ПРИЛОЖЕНИЕ</w:t>
      </w:r>
    </w:p>
    <w:p>
      <w:pPr>
        <w:jc w:val="center"/>
        <w:rPr>
          <w:b/>
          <w:noProof/>
        </w:rPr>
      </w:pPr>
      <w:r>
        <w:rPr>
          <w:b/>
          <w:noProof/>
        </w:rPr>
        <w:t>ПРИЛОЖЕНИЯ IV — VI</w:t>
      </w:r>
    </w:p>
    <w:p>
      <w:pPr>
        <w:spacing w:before="0" w:after="240"/>
        <w:jc w:val="center"/>
        <w:rPr>
          <w:rFonts w:eastAsia="Times New Roman"/>
          <w:b/>
          <w:noProof/>
          <w:szCs w:val="24"/>
          <w:u w:val="single"/>
        </w:rPr>
      </w:pPr>
      <w:r>
        <w:rPr>
          <w:b/>
          <w:noProof/>
          <w:u w:val="single"/>
        </w:rPr>
        <w:t>ПРИЛОЖЕНИЕ IV</w:t>
      </w:r>
    </w:p>
    <w:p>
      <w:pPr>
        <w:spacing w:before="0" w:after="240"/>
        <w:jc w:val="center"/>
        <w:rPr>
          <w:rFonts w:eastAsia="Times New Roman"/>
          <w:b/>
          <w:noProof/>
          <w:szCs w:val="24"/>
          <w:u w:val="single"/>
        </w:rPr>
      </w:pPr>
      <w:r>
        <w:rPr>
          <w:b/>
          <w:noProof/>
          <w:u w:val="single"/>
        </w:rPr>
        <w:t>ЗАЩИТНИ МЕРКИ ЗА СЕЛСКОСТОПАНСКИТЕ СТОКИ</w:t>
      </w:r>
    </w:p>
    <w:p>
      <w:pPr>
        <w:autoSpaceDE w:val="0"/>
        <w:autoSpaceDN w:val="0"/>
        <w:adjustRightInd w:val="0"/>
        <w:spacing w:before="0" w:after="360"/>
        <w:rPr>
          <w:rFonts w:eastAsia="Times New Roman"/>
          <w:noProof/>
          <w:szCs w:val="24"/>
        </w:rPr>
      </w:pPr>
      <w:r>
        <w:rPr>
          <w:noProof/>
        </w:rPr>
        <w:t>Селскостопанските продукти и съответните референтни количества, посочени в член 35, са изброени в таблицата по-долу.</w:t>
      </w:r>
    </w:p>
    <w:tbl>
      <w:tblPr>
        <w:tblW w:w="15078" w:type="dxa"/>
        <w:tblInd w:w="93" w:type="dxa"/>
        <w:tblLook w:val="04A0" w:firstRow="1" w:lastRow="0" w:firstColumn="1" w:lastColumn="0" w:noHBand="0" w:noVBand="1"/>
      </w:tblPr>
      <w:tblGrid>
        <w:gridCol w:w="724"/>
        <w:gridCol w:w="1430"/>
        <w:gridCol w:w="1077"/>
        <w:gridCol w:w="1077"/>
        <w:gridCol w:w="1077"/>
        <w:gridCol w:w="1077"/>
        <w:gridCol w:w="1077"/>
        <w:gridCol w:w="1077"/>
        <w:gridCol w:w="1077"/>
        <w:gridCol w:w="1077"/>
        <w:gridCol w:w="1077"/>
        <w:gridCol w:w="1077"/>
        <w:gridCol w:w="1077"/>
        <w:gridCol w:w="1077"/>
      </w:tblGrid>
      <w:tr>
        <w:trPr>
          <w:trHeight w:val="300"/>
        </w:trPr>
        <w:tc>
          <w:tcPr>
            <w:tcW w:w="150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center"/>
              <w:rPr>
                <w:rFonts w:eastAsia="Times New Roman"/>
                <w:b/>
                <w:bCs/>
                <w:noProof/>
                <w:color w:val="000000"/>
                <w:szCs w:val="24"/>
              </w:rPr>
            </w:pPr>
            <w:r>
              <w:rPr>
                <w:b/>
                <w:noProof/>
                <w:color w:val="000000"/>
              </w:rPr>
              <w:t>Референтни количества (в метрични тонове)</w:t>
            </w:r>
            <w:r>
              <w:rPr>
                <w:rStyle w:val="FootnoteReference"/>
                <w:noProof/>
              </w:rPr>
              <w:footnoteReference w:id="1"/>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pPr>
              <w:autoSpaceDE w:val="0"/>
              <w:autoSpaceDN w:val="0"/>
              <w:adjustRightInd w:val="0"/>
              <w:spacing w:before="0" w:after="0"/>
              <w:jc w:val="center"/>
              <w:rPr>
                <w:rFonts w:eastAsia="Times New Roman"/>
                <w:b/>
                <w:bCs/>
                <w:noProof/>
                <w:color w:val="000000"/>
                <w:szCs w:val="24"/>
              </w:rPr>
            </w:pPr>
            <w:r>
              <w:rPr>
                <w:b/>
                <w:noProof/>
              </w:rPr>
              <w:t>Тарифни линии</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 xml:space="preserve">Година 1 </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Година 2</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Година 3</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Година 4</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Година 5</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Година 6</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Година 7</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Година 8</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Година 9</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b/>
                <w:noProof/>
                <w:color w:val="000000"/>
              </w:rPr>
              <w:t>Година 10</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b/>
                <w:noProof/>
                <w:color w:val="000000"/>
              </w:rPr>
              <w:t>Година 11</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b/>
                <w:noProof/>
                <w:color w:val="000000"/>
              </w:rPr>
              <w:t>Година 12</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i/>
                <w:noProof/>
                <w:color w:val="000000"/>
                <w:u w:val="single"/>
              </w:rPr>
              <w:t>Карантии, годни за консумация</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02061090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2</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02062100*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770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1050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1260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1330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1470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3</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02062900*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14300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15400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18700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tabs>
                <w:tab w:val="left" w:pos="845"/>
              </w:tabs>
              <w:spacing w:before="0" w:after="0"/>
              <w:jc w:val="center"/>
              <w:rPr>
                <w:rFonts w:eastAsia="Times New Roman"/>
                <w:noProof/>
                <w:color w:val="000000"/>
                <w:szCs w:val="24"/>
              </w:rPr>
            </w:pPr>
            <w:r>
              <w:rPr>
                <w:noProof/>
                <w:color w:val="000000"/>
              </w:rPr>
              <w:t>19800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noProof/>
                <w:color w:val="000000"/>
              </w:rPr>
              <w:t>20900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noProof/>
                <w:color w:val="000000"/>
              </w:rPr>
              <w:t>22000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noProof/>
                <w:color w:val="000000"/>
              </w:rPr>
              <w:t>23100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4</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02063000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5</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02064900*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10800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12600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i/>
                <w:noProof/>
                <w:color w:val="000000"/>
                <w:u w:val="single"/>
              </w:rPr>
              <w:t>Обработени житни растения</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6</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11041910*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475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574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632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764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841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925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1018</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1120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1232</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1355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7</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11042910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8</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11071010*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464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511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562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618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748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905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995</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1094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1203</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1324</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9</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11072010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10</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11081110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i/>
                <w:noProof/>
                <w:color w:val="000000"/>
                <w:u w:val="single"/>
              </w:rPr>
              <w:t>Приготвени храни от месо</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11</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12</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16025030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13</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16025040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14</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16029020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rPr>
            </w:pPr>
            <w:r>
              <w:rPr>
                <w:i/>
                <w:noProof/>
                <w:color w:val="000000"/>
                <w:u w:val="single"/>
              </w:rPr>
              <w:t>Ултрапастьоризирано (уперизирано) мляко (UHT) или мляко с дълъг срок на годност</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15</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rPr>
            </w:pPr>
            <w:r>
              <w:rPr>
                <w:i/>
                <w:noProof/>
              </w:rPr>
              <w:t>04011007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16</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rPr>
            </w:pPr>
            <w:r>
              <w:rPr>
                <w:i/>
                <w:noProof/>
              </w:rPr>
              <w:t>04012007*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311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342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414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501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551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606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667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733</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807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887</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17</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rPr>
            </w:pPr>
            <w:r>
              <w:rPr>
                <w:i/>
                <w:noProof/>
              </w:rPr>
              <w:t>04014007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18</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eastAsia="Times New Roman"/>
                <w:i/>
                <w:noProof/>
                <w:szCs w:val="24"/>
              </w:rPr>
            </w:pPr>
            <w:r>
              <w:rPr>
                <w:i/>
                <w:noProof/>
              </w:rPr>
              <w:t>04015007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rPr>
            </w:pPr>
            <w:r>
              <w:rPr>
                <w:i/>
                <w:noProof/>
                <w:color w:val="000000"/>
                <w:u w:val="single"/>
              </w:rPr>
              <w:t>Консервирани краставици и маслини</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19</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rPr>
            </w:pPr>
            <w:r>
              <w:rPr>
                <w:i/>
                <w:noProof/>
              </w:rPr>
              <w:t>20011000*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1124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1237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1496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1810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1991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2191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2410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2651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2916</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20</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eastAsia="Times New Roman"/>
                <w:i/>
                <w:noProof/>
                <w:szCs w:val="24"/>
              </w:rPr>
            </w:pPr>
            <w:r>
              <w:rPr>
                <w:i/>
                <w:noProof/>
              </w:rPr>
              <w:t>20019010*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359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435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478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526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579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637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770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847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931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1024</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rPr>
            </w:pPr>
            <w:r>
              <w:rPr>
                <w:i/>
                <w:noProof/>
                <w:color w:val="000000"/>
                <w:u w:val="single"/>
              </w:rPr>
              <w:t>Шоколад</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21</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rPr>
            </w:pPr>
            <w:r>
              <w:rPr>
                <w:i/>
                <w:noProof/>
              </w:rPr>
              <w:t>180631*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3300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5700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6000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6300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22</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rFonts w:eastAsia="Times New Roman"/>
                <w:bCs/>
                <w:i/>
                <w:noProof/>
                <w:color w:val="000000"/>
                <w:szCs w:val="24"/>
              </w:rPr>
            </w:pPr>
            <w:r>
              <w:rPr>
                <w:i/>
                <w:noProof/>
                <w:color w:val="000000"/>
              </w:rPr>
              <w:t>180632*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880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960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1040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1120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1280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1360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1440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1520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1600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1680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23</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rPr>
            </w:pPr>
            <w:r>
              <w:rPr>
                <w:i/>
                <w:noProof/>
              </w:rPr>
              <w:t>180690*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8400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9000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9600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10800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12600</w:t>
            </w:r>
          </w:p>
        </w:tc>
      </w:tr>
    </w:tbl>
    <w:p>
      <w:pPr>
        <w:widowControl w:val="0"/>
        <w:spacing w:before="0" w:after="0"/>
        <w:jc w:val="center"/>
        <w:rPr>
          <w:rFonts w:eastAsia="Times New Roman"/>
          <w:b/>
          <w:noProof/>
          <w:szCs w:val="24"/>
        </w:rPr>
        <w:sectPr>
          <w:headerReference w:type="default" r:id="rId16"/>
          <w:footerReference w:type="default" r:id="rId17"/>
          <w:headerReference w:type="first" r:id="rId18"/>
          <w:footerReference w:type="first" r:id="rId19"/>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widowControl w:val="0"/>
        <w:spacing w:before="0" w:after="240"/>
        <w:jc w:val="center"/>
        <w:rPr>
          <w:rFonts w:eastAsia="Times New Roman"/>
          <w:b/>
          <w:noProof/>
          <w:szCs w:val="24"/>
          <w:u w:val="single"/>
        </w:rPr>
      </w:pPr>
      <w:r>
        <w:rPr>
          <w:b/>
          <w:noProof/>
          <w:u w:val="single"/>
        </w:rPr>
        <w:t>ПРИЛОЖЕНИЕ V</w:t>
      </w:r>
    </w:p>
    <w:p>
      <w:pPr>
        <w:widowControl w:val="0"/>
        <w:spacing w:before="0" w:after="240"/>
        <w:jc w:val="center"/>
        <w:rPr>
          <w:rFonts w:eastAsia="Times New Roman"/>
          <w:b/>
          <w:noProof/>
          <w:szCs w:val="24"/>
        </w:rPr>
      </w:pPr>
      <w:r>
        <w:rPr>
          <w:b/>
          <w:noProof/>
        </w:rPr>
        <w:t>ПРЕХОДНИ ЗАЩИТНИ МЕРКИ НА БОТСУАНА, ЛЕСОТО, НАМИБИЯ И СВАЗИЛЕНД (БЛНС)</w:t>
      </w:r>
    </w:p>
    <w:p>
      <w:pPr>
        <w:widowControl w:val="0"/>
        <w:spacing w:before="0" w:after="240"/>
        <w:jc w:val="left"/>
        <w:rPr>
          <w:rFonts w:eastAsia="Times New Roman"/>
          <w:noProof/>
          <w:szCs w:val="24"/>
        </w:rPr>
      </w:pPr>
      <w:r>
        <w:rPr>
          <w:noProof/>
        </w:rPr>
        <w:t>В таблицата по-долу са изброени посочените в член 37 продукти, търговията с които е либерализирана.</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378"/>
        <w:gridCol w:w="7240"/>
      </w:tblGrid>
      <w:tr>
        <w:trPr>
          <w:trHeight w:val="509"/>
        </w:trPr>
        <w:tc>
          <w:tcPr>
            <w:tcW w:w="9366" w:type="dxa"/>
            <w:gridSpan w:val="3"/>
            <w:shd w:val="clear" w:color="auto" w:fill="auto"/>
            <w:hideMark/>
          </w:tcPr>
          <w:p>
            <w:pPr>
              <w:widowControl w:val="0"/>
              <w:spacing w:before="0" w:after="0" w:line="360" w:lineRule="auto"/>
              <w:jc w:val="left"/>
              <w:rPr>
                <w:rFonts w:eastAsia="Times New Roman"/>
                <w:b/>
                <w:bCs/>
                <w:noProof/>
                <w:szCs w:val="24"/>
              </w:rPr>
            </w:pPr>
          </w:p>
        </w:tc>
      </w:tr>
      <w:tr>
        <w:trPr>
          <w:trHeight w:val="315"/>
        </w:trPr>
        <w:tc>
          <w:tcPr>
            <w:tcW w:w="748" w:type="dxa"/>
            <w:shd w:val="clear" w:color="auto" w:fill="auto"/>
            <w:hideMark/>
          </w:tcPr>
          <w:p>
            <w:pPr>
              <w:widowControl w:val="0"/>
              <w:spacing w:before="0" w:after="0" w:line="360" w:lineRule="auto"/>
              <w:jc w:val="left"/>
              <w:rPr>
                <w:rFonts w:eastAsia="Times New Roman"/>
                <w:b/>
                <w:bCs/>
                <w:noProof/>
                <w:szCs w:val="24"/>
              </w:rPr>
            </w:pPr>
            <w:r>
              <w:rPr>
                <w:b/>
                <w:noProof/>
              </w:rPr>
              <w:t> </w:t>
            </w:r>
          </w:p>
        </w:tc>
        <w:tc>
          <w:tcPr>
            <w:tcW w:w="1378" w:type="dxa"/>
            <w:shd w:val="clear" w:color="auto" w:fill="auto"/>
            <w:hideMark/>
          </w:tcPr>
          <w:p>
            <w:pPr>
              <w:widowControl w:val="0"/>
              <w:spacing w:before="0" w:after="0" w:line="360" w:lineRule="auto"/>
              <w:jc w:val="left"/>
              <w:rPr>
                <w:rFonts w:eastAsia="Times New Roman"/>
                <w:b/>
                <w:bCs/>
                <w:noProof/>
                <w:szCs w:val="24"/>
              </w:rPr>
            </w:pPr>
            <w:r>
              <w:rPr>
                <w:b/>
                <w:noProof/>
              </w:rPr>
              <w:t>Код по ХС</w:t>
            </w:r>
          </w:p>
        </w:tc>
        <w:tc>
          <w:tcPr>
            <w:tcW w:w="7240" w:type="dxa"/>
            <w:shd w:val="clear" w:color="auto" w:fill="auto"/>
            <w:hideMark/>
          </w:tcPr>
          <w:p>
            <w:pPr>
              <w:widowControl w:val="0"/>
              <w:spacing w:before="0" w:after="0" w:line="360" w:lineRule="auto"/>
              <w:jc w:val="left"/>
              <w:rPr>
                <w:rFonts w:eastAsia="Times New Roman"/>
                <w:b/>
                <w:bCs/>
                <w:noProof/>
                <w:szCs w:val="24"/>
              </w:rPr>
            </w:pPr>
            <w:r>
              <w:rPr>
                <w:b/>
                <w:noProof/>
              </w:rPr>
              <w:t>Описание</w:t>
            </w:r>
          </w:p>
        </w:tc>
      </w:tr>
      <w:tr>
        <w:trPr>
          <w:trHeight w:val="600"/>
        </w:trPr>
        <w:tc>
          <w:tcPr>
            <w:tcW w:w="748" w:type="dxa"/>
            <w:shd w:val="clear" w:color="auto" w:fill="auto"/>
          </w:tcPr>
          <w:p>
            <w:pPr>
              <w:widowControl w:val="0"/>
              <w:spacing w:before="0" w:after="0" w:line="360" w:lineRule="auto"/>
              <w:jc w:val="left"/>
              <w:rPr>
                <w:rFonts w:eastAsia="Times New Roman"/>
                <w:noProof/>
                <w:szCs w:val="24"/>
              </w:rPr>
            </w:pPr>
            <w:r>
              <w:rPr>
                <w:noProof/>
              </w:rPr>
              <w:t>1</w:t>
            </w:r>
          </w:p>
        </w:tc>
        <w:tc>
          <w:tcPr>
            <w:tcW w:w="1378" w:type="dxa"/>
            <w:shd w:val="clear" w:color="auto" w:fill="auto"/>
          </w:tcPr>
          <w:p>
            <w:pPr>
              <w:widowControl w:val="0"/>
              <w:spacing w:before="0" w:after="0" w:line="360" w:lineRule="auto"/>
              <w:jc w:val="left"/>
              <w:rPr>
                <w:rFonts w:eastAsia="Times New Roman"/>
                <w:noProof/>
                <w:szCs w:val="24"/>
              </w:rPr>
            </w:pPr>
            <w:r>
              <w:rPr>
                <w:noProof/>
              </w:rPr>
              <w:t>0207.12.10</w:t>
            </w:r>
          </w:p>
        </w:tc>
        <w:tc>
          <w:tcPr>
            <w:tcW w:w="7240" w:type="dxa"/>
            <w:shd w:val="clear" w:color="auto" w:fill="auto"/>
          </w:tcPr>
          <w:p>
            <w:pPr>
              <w:widowControl w:val="0"/>
              <w:spacing w:before="0" w:after="0" w:line="360" w:lineRule="auto"/>
              <w:jc w:val="left"/>
              <w:rPr>
                <w:rFonts w:eastAsia="Times New Roman"/>
                <w:noProof/>
                <w:szCs w:val="24"/>
              </w:rPr>
            </w:pPr>
            <w:r>
              <w:rPr>
                <w:noProof/>
              </w:rPr>
              <w:t>Замразени механично обезкостени меса от петли и кокошки, неразфасовани</w:t>
            </w:r>
          </w:p>
        </w:tc>
      </w:tr>
      <w:tr>
        <w:trPr>
          <w:trHeight w:val="600"/>
        </w:trPr>
        <w:tc>
          <w:tcPr>
            <w:tcW w:w="748" w:type="dxa"/>
            <w:shd w:val="clear" w:color="auto" w:fill="auto"/>
          </w:tcPr>
          <w:p>
            <w:pPr>
              <w:widowControl w:val="0"/>
              <w:spacing w:before="0" w:after="0" w:line="360" w:lineRule="auto"/>
              <w:jc w:val="left"/>
              <w:rPr>
                <w:rFonts w:eastAsia="Times New Roman"/>
                <w:noProof/>
                <w:szCs w:val="24"/>
              </w:rPr>
            </w:pPr>
            <w:r>
              <w:rPr>
                <w:noProof/>
              </w:rPr>
              <w:t>2</w:t>
            </w:r>
          </w:p>
        </w:tc>
        <w:tc>
          <w:tcPr>
            <w:tcW w:w="1378" w:type="dxa"/>
            <w:shd w:val="clear" w:color="auto" w:fill="auto"/>
          </w:tcPr>
          <w:p>
            <w:pPr>
              <w:widowControl w:val="0"/>
              <w:spacing w:before="0" w:after="0" w:line="360" w:lineRule="auto"/>
              <w:jc w:val="left"/>
              <w:rPr>
                <w:rFonts w:eastAsia="Times New Roman"/>
                <w:noProof/>
                <w:szCs w:val="24"/>
              </w:rPr>
            </w:pPr>
            <w:r>
              <w:rPr>
                <w:noProof/>
              </w:rPr>
              <w:t>0207.12.20</w:t>
            </w:r>
          </w:p>
        </w:tc>
        <w:tc>
          <w:tcPr>
            <w:tcW w:w="7240" w:type="dxa"/>
            <w:shd w:val="clear" w:color="auto" w:fill="auto"/>
          </w:tcPr>
          <w:p>
            <w:pPr>
              <w:widowControl w:val="0"/>
              <w:spacing w:before="0" w:after="0" w:line="360" w:lineRule="auto"/>
              <w:jc w:val="left"/>
              <w:rPr>
                <w:rFonts w:eastAsia="Times New Roman"/>
                <w:noProof/>
                <w:szCs w:val="24"/>
              </w:rPr>
            </w:pPr>
            <w:r>
              <w:rPr>
                <w:noProof/>
              </w:rPr>
              <w:t>Замразени трупове (с изключение на шийки и карантии) с отстранени всички разфасовки, от петли и кокошки, неразфасовани</w:t>
            </w:r>
          </w:p>
        </w:tc>
      </w:tr>
      <w:tr>
        <w:trPr>
          <w:trHeight w:val="600"/>
        </w:trPr>
        <w:tc>
          <w:tcPr>
            <w:tcW w:w="748" w:type="dxa"/>
            <w:shd w:val="clear" w:color="auto" w:fill="auto"/>
          </w:tcPr>
          <w:p>
            <w:pPr>
              <w:widowControl w:val="0"/>
              <w:spacing w:before="0" w:after="0" w:line="360" w:lineRule="auto"/>
              <w:jc w:val="left"/>
              <w:rPr>
                <w:rFonts w:eastAsia="Times New Roman"/>
                <w:noProof/>
                <w:szCs w:val="24"/>
              </w:rPr>
            </w:pPr>
            <w:r>
              <w:rPr>
                <w:noProof/>
              </w:rPr>
              <w:t>3</w:t>
            </w:r>
          </w:p>
        </w:tc>
        <w:tc>
          <w:tcPr>
            <w:tcW w:w="1378" w:type="dxa"/>
            <w:shd w:val="clear" w:color="auto" w:fill="auto"/>
          </w:tcPr>
          <w:p>
            <w:pPr>
              <w:widowControl w:val="0"/>
              <w:spacing w:before="0" w:after="0" w:line="360" w:lineRule="auto"/>
              <w:jc w:val="left"/>
              <w:rPr>
                <w:rFonts w:eastAsia="Times New Roman"/>
                <w:noProof/>
                <w:szCs w:val="24"/>
              </w:rPr>
            </w:pPr>
            <w:r>
              <w:rPr>
                <w:noProof/>
              </w:rPr>
              <w:t>0207.12.90</w:t>
            </w:r>
          </w:p>
        </w:tc>
        <w:tc>
          <w:tcPr>
            <w:tcW w:w="7240" w:type="dxa"/>
            <w:shd w:val="clear" w:color="auto" w:fill="auto"/>
          </w:tcPr>
          <w:p>
            <w:pPr>
              <w:widowControl w:val="0"/>
              <w:spacing w:before="0" w:after="0" w:line="360" w:lineRule="auto"/>
              <w:jc w:val="left"/>
              <w:rPr>
                <w:rFonts w:eastAsia="Times New Roman"/>
                <w:noProof/>
                <w:szCs w:val="24"/>
              </w:rPr>
            </w:pPr>
            <w:r>
              <w:rPr>
                <w:noProof/>
              </w:rPr>
              <w:t>Замразени петли и кокошки, неразфасовани (с изключение на замразени механично обезкостени меса и замразени трупове (с изключение на шийки и карантии), с отстранени всички разфасовки).</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0207.14.20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Замразени карантии, годни за консумация, от петли и кокошки</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0207.14.90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Замразени разфасовки от петли и кокошки (с изключение на обезкостени)</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0401.10.07</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Мляко и сметана, неконцентрирани, нито подсладени със захар или други подсладители: С тегловно съдържание на мазнини, непревишаващо 1 %: Ултрапастьоризирано (уперизирано) мляко (UHT)</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0409.00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Естествен мед</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0708.10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Пресен или охладен грах (</w:t>
            </w:r>
            <w:r>
              <w:rPr>
                <w:i/>
                <w:noProof/>
              </w:rPr>
              <w:t>Pisum sativum</w:t>
            </w:r>
            <w:r>
              <w:rPr>
                <w:noProof/>
              </w:rPr>
              <w:t>), със или без шушулките</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0710.29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Бобови зеленчуци, със или без шушулките, неварени или варени във вода или на пара, замразени (с изключение на грах и фасул)</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0710.30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Спанак, новозеландски спанак и лобода, замразени</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Сладка царевица, неварена или варена във вода или на пара, замразена</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Зеленчукови смеси, неварени или варени във вода или на пара, замразени</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0711.20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Маслини, временно консервирани, например посредством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0711.40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Краставици и корнишони, временно консервирани, например посредством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0711.51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 xml:space="preserve">Гъби от рода </w:t>
            </w:r>
            <w:r>
              <w:rPr>
                <w:i/>
                <w:noProof/>
              </w:rPr>
              <w:t>Agaricus</w:t>
            </w:r>
            <w:r>
              <w:rPr>
                <w:noProof/>
              </w:rPr>
              <w:t>, временно консервирани, например посредством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0712.20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Лук, сушен, дори нарязан на парчета или резенки, смлян или на прах, но необработен по друг начин</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1102.90.90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Брашна от житни растения (с изключение на пшенично брашно, брашно от смес от пшеница и ръж, ръжено, царевично, оризово брашно, брашно от сорго и овесено брашно)</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1105.10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Брашно, грис и прах от картофи</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19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1517.10.10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Маргарин с тегловно съдържание на млечни мазнини &gt; 10 %, но &lt;= 15 % (с изключение на течния маргарин)</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1517.90.10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Други видове маргарин (с изключение на течния)</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21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1517.90.10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Хранителни смеси или препарати от животински или растителни мазнини или масла или от фракции от различни мазнини или масла, с тегловно съдържание на млечни мазнини &gt; 10 % и &lt;= 15 % (с изключение на хранителни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1517.90.20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Смеси или препарати за кулинарията, от видовете, използвани за отделяне от формите</w:t>
            </w:r>
          </w:p>
        </w:tc>
      </w:tr>
      <w:tr>
        <w:trPr>
          <w:trHeight w:val="1200"/>
        </w:trPr>
        <w:tc>
          <w:tcPr>
            <w:tcW w:w="748" w:type="dxa"/>
            <w:shd w:val="clear" w:color="auto" w:fill="auto"/>
            <w:hideMark/>
          </w:tcPr>
          <w:p>
            <w:pPr>
              <w:widowControl w:val="0"/>
              <w:spacing w:before="0" w:after="0" w:line="360" w:lineRule="auto"/>
              <w:jc w:val="left"/>
              <w:rPr>
                <w:rFonts w:eastAsia="Times New Roman"/>
                <w:noProof/>
                <w:szCs w:val="24"/>
              </w:rPr>
            </w:pPr>
            <w:r>
              <w:rPr>
                <w:noProof/>
              </w:rPr>
              <w:t>23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1602.32.10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Пастети от петли и кокошки, приготвени или консервирани</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1602.32.90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Месо, карантии или кръв от петли и кокошки, приготвени или консервирани, различни от пастетите (с изключение на колбаси и подобни продукти, хомогенизирани приготвени храни и приготвени храни от черен дроб)</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25</w:t>
            </w:r>
          </w:p>
        </w:tc>
        <w:tc>
          <w:tcPr>
            <w:tcW w:w="1378" w:type="dxa"/>
            <w:shd w:val="clear" w:color="auto" w:fill="auto"/>
            <w:noWrap/>
            <w:hideMark/>
          </w:tcPr>
          <w:p>
            <w:pPr>
              <w:widowControl w:val="0"/>
              <w:spacing w:before="0" w:after="0" w:line="360" w:lineRule="auto"/>
              <w:jc w:val="left"/>
              <w:rPr>
                <w:rFonts w:eastAsia="Times New Roman"/>
                <w:noProof/>
                <w:szCs w:val="24"/>
              </w:rPr>
            </w:pPr>
            <w:r>
              <w:rPr>
                <w:noProof/>
              </w:rPr>
              <w:t>1602.39.10</w:t>
            </w:r>
          </w:p>
        </w:tc>
        <w:tc>
          <w:tcPr>
            <w:tcW w:w="7240" w:type="dxa"/>
            <w:shd w:val="clear" w:color="auto" w:fill="auto"/>
            <w:noWrap/>
            <w:hideMark/>
          </w:tcPr>
          <w:p>
            <w:pPr>
              <w:widowControl w:val="0"/>
              <w:spacing w:before="0" w:after="0" w:line="360" w:lineRule="auto"/>
              <w:jc w:val="left"/>
              <w:rPr>
                <w:rFonts w:eastAsia="Times New Roman"/>
                <w:noProof/>
                <w:szCs w:val="24"/>
              </w:rPr>
            </w:pPr>
            <w:r>
              <w:rPr>
                <w:noProof/>
              </w:rPr>
              <w:t>Пастети от домашни птици от позиция 01.05, различни от петли и кокошки или от пуйки, приготвени или консервирани</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1603.00.10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Екстракти от месо (с изключение на тези от месо от китове)</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Какао на прах с прибавка на захар или други подсладители</w:t>
            </w:r>
          </w:p>
        </w:tc>
      </w:tr>
      <w:tr>
        <w:trPr>
          <w:trHeight w:val="1500"/>
        </w:trPr>
        <w:tc>
          <w:tcPr>
            <w:tcW w:w="748" w:type="dxa"/>
            <w:shd w:val="clear" w:color="auto" w:fill="auto"/>
            <w:hideMark/>
          </w:tcPr>
          <w:p>
            <w:pPr>
              <w:widowControl w:val="0"/>
              <w:spacing w:before="0" w:after="0" w:line="360" w:lineRule="auto"/>
              <w:jc w:val="left"/>
              <w:rPr>
                <w:rFonts w:eastAsia="Times New Roman"/>
                <w:noProof/>
                <w:szCs w:val="24"/>
              </w:rPr>
            </w:pPr>
            <w:r>
              <w:rPr>
                <w:noProof/>
              </w:rPr>
              <w:t>28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1806.20.10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Шоколад и други хранителни продукти, съдържащи какао, представени на блокове или на пръчки, с тегло &gt; 2 kg или в течно, кашесто или прахообразно състояние, на гранули или подобни форми, в съдове или в директни опаковки със съдържание &gt; 2 kg, шоколад и захарни изделия, съдържащи какао</w:t>
            </w:r>
          </w:p>
        </w:tc>
      </w:tr>
      <w:tr>
        <w:trPr>
          <w:trHeight w:val="1245"/>
        </w:trPr>
        <w:tc>
          <w:tcPr>
            <w:tcW w:w="748" w:type="dxa"/>
            <w:shd w:val="clear" w:color="auto" w:fill="auto"/>
            <w:hideMark/>
          </w:tcPr>
          <w:p>
            <w:pPr>
              <w:widowControl w:val="0"/>
              <w:spacing w:before="0" w:after="0" w:line="360" w:lineRule="auto"/>
              <w:jc w:val="left"/>
              <w:rPr>
                <w:rFonts w:eastAsia="Times New Roman"/>
                <w:noProof/>
                <w:szCs w:val="24"/>
              </w:rPr>
            </w:pPr>
            <w:r>
              <w:rPr>
                <w:noProof/>
              </w:rPr>
              <w:t>29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1806.20.90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Други видове шоколад и други хранителни продукти, съдържащи какао, представени на блокове или на пръчки, с тегло &gt; 2 kg или в течно, кашесто или прахообразно състояние, на гранули или подобни форми, в съдове или в директни опаковки със съдържание &gt; 2 kg</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30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1806.31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Шоколад и други продукти, съдържащи какао, представени на блокове или на пръчки с тегло &lt;= 2 kg, с пълнеж</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31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1806.32</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Шоколад и други продукти, съдържащи какао, представени на блокове или на пръчки, с тегло &lt;= 2 kg, без пълнеж</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32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1902.11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Макаронени изделия, неварени, нито пълнени, нито обработени по друг начин, съдържащи яйца</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33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1902.19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Макаронени изделия, неварени, нито пълнени, нито обработени по друг начин, несъдържащи яйца</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34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1905.20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Меденки, дори съдържащи какао</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35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1905.32</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Гофрети и вафли</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1905.40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Сухари и подобни препечени продукти</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2003.10.10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Гъби от рода „</w:t>
            </w:r>
            <w:r>
              <w:rPr>
                <w:i/>
                <w:noProof/>
              </w:rPr>
              <w:t>Agaricus“</w:t>
            </w:r>
            <w:r>
              <w:rPr>
                <w:noProof/>
              </w:rPr>
              <w:t>, приготвени или консервирани по начин, различен от този с оцет или с оцетна киселина (с изключение на готовите ястия)</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2003.90.90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Гъби, приготвени или консервирани по начин, различен от този с оцет или с оцетна киселина (с изключение на гъбите от рода „</w:t>
            </w:r>
            <w:r>
              <w:rPr>
                <w:i/>
                <w:noProof/>
              </w:rPr>
              <w:t>Agaricus</w:t>
            </w:r>
            <w:r>
              <w:rPr>
                <w:noProof/>
              </w:rPr>
              <w:t>“ и на замразените (с изключение на готовите ястия))</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2004.90.30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Маслини, приготвени или консервирани по начин, различен от този с оцет или с оцетна киселина, замразени</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2004.90.40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Сладка царевица „</w:t>
            </w:r>
            <w:r>
              <w:rPr>
                <w:i/>
                <w:noProof/>
              </w:rPr>
              <w:t>Zea mays</w:t>
            </w:r>
            <w:r>
              <w:rPr>
                <w:noProof/>
              </w:rPr>
              <w:t xml:space="preserve"> var. </w:t>
            </w:r>
            <w:r>
              <w:rPr>
                <w:i/>
                <w:noProof/>
              </w:rPr>
              <w:t>saccharata</w:t>
            </w:r>
            <w:r>
              <w:rPr>
                <w:noProof/>
              </w:rPr>
              <w:t>“, приготвена или консервирана по начин, различен от този с оцет или с оцетна киселина, замразена</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41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2005.51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Фасул на зърна „</w:t>
            </w:r>
            <w:r>
              <w:rPr>
                <w:i/>
                <w:noProof/>
              </w:rPr>
              <w:t>Vigna</w:t>
            </w:r>
            <w:r>
              <w:rPr>
                <w:noProof/>
              </w:rPr>
              <w:t xml:space="preserve"> spp., </w:t>
            </w:r>
            <w:r>
              <w:rPr>
                <w:i/>
                <w:noProof/>
              </w:rPr>
              <w:t>Phaseolus</w:t>
            </w:r>
            <w:r>
              <w:rPr>
                <w:noProof/>
              </w:rPr>
              <w:t xml:space="preserve"> spp.“, приготвен или консервиран по начин, различен от този с оцет или с оцетна киселина (с изключение на замразен)</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42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2005.59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Фасул „</w:t>
            </w:r>
            <w:r>
              <w:rPr>
                <w:i/>
                <w:noProof/>
              </w:rPr>
              <w:t>Vigna</w:t>
            </w:r>
            <w:r>
              <w:rPr>
                <w:noProof/>
              </w:rPr>
              <w:t xml:space="preserve"> spp., </w:t>
            </w:r>
            <w:r>
              <w:rPr>
                <w:i/>
                <w:noProof/>
              </w:rPr>
              <w:t>Phaseolus</w:t>
            </w:r>
            <w:r>
              <w:rPr>
                <w:noProof/>
              </w:rPr>
              <w:t xml:space="preserve"> spp.“, с шушулките, приготвен или консервиран по начин, различен от този с оцет или с оцетна киселина (с изключение на замразен)</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2005.60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Аспержи, приготвени или консервирани по начин, различен от този с оцет или с оцетна киселина (с изключение на замразени)</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44</w:t>
            </w:r>
          </w:p>
        </w:tc>
        <w:tc>
          <w:tcPr>
            <w:tcW w:w="1378" w:type="dxa"/>
            <w:shd w:val="clear" w:color="auto" w:fill="auto"/>
            <w:noWrap/>
            <w:hideMark/>
          </w:tcPr>
          <w:p>
            <w:pPr>
              <w:widowControl w:val="0"/>
              <w:spacing w:before="0" w:after="0" w:line="360" w:lineRule="auto"/>
              <w:jc w:val="left"/>
              <w:rPr>
                <w:rFonts w:eastAsia="Times New Roman"/>
                <w:noProof/>
                <w:szCs w:val="24"/>
              </w:rPr>
            </w:pPr>
            <w:r>
              <w:rPr>
                <w:noProof/>
              </w:rPr>
              <w:t>2005.80</w:t>
            </w:r>
          </w:p>
        </w:tc>
        <w:tc>
          <w:tcPr>
            <w:tcW w:w="7240" w:type="dxa"/>
            <w:shd w:val="clear" w:color="auto" w:fill="auto"/>
            <w:noWrap/>
            <w:hideMark/>
          </w:tcPr>
          <w:p>
            <w:pPr>
              <w:widowControl w:val="0"/>
              <w:spacing w:before="0" w:after="0" w:line="360" w:lineRule="auto"/>
              <w:jc w:val="left"/>
              <w:rPr>
                <w:rFonts w:eastAsia="Times New Roman"/>
                <w:noProof/>
                <w:szCs w:val="24"/>
              </w:rPr>
            </w:pPr>
            <w:r>
              <w:rPr>
                <w:noProof/>
              </w:rPr>
              <w:t>Сладка царевица „</w:t>
            </w:r>
            <w:r>
              <w:rPr>
                <w:i/>
                <w:noProof/>
              </w:rPr>
              <w:t>Zea mays</w:t>
            </w:r>
            <w:r>
              <w:rPr>
                <w:noProof/>
              </w:rPr>
              <w:t xml:space="preserve"> var. </w:t>
            </w:r>
            <w:r>
              <w:rPr>
                <w:i/>
                <w:noProof/>
              </w:rPr>
              <w:t>saccharata</w:t>
            </w:r>
            <w:r>
              <w:rPr>
                <w:noProof/>
              </w:rPr>
              <w:t>“, приготвена или консервирана по начин, различен от този с оцет или с оцетна киселина (с изключение на замразена)</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45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2007.10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Хомогенизирани продукти от конфитюри, желета от плодове, мармалади, пюрета от плодове или черупкови плодове или каши от плодове или черупкови плодове, приготвени чрез варене, със или без прибавка на захар или подсладители</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46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2007.91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Конфитюри, желета, мармелади, пюрета или каши от цитрусови плодове, приготвени чрез варене, със или без прибавка на захар или други подсладители (с изключение на хомогенизираните продукти от подпозиция 2007.10)</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2009.69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Сок от грозде (включително мъст), със стойност Брикс, превишаваща 30</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2009.79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Сок от ябълки, със стойност Брикс, превишаваща 20</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2009.89.50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Сокове от плодове, неферментирали, със или без прибавка на захар или други подсладители (с изключение на съдържащите алкохол, на смеси, и на сок от цитрусови плодове, ананаси, домати, грозде, включително мъст, ябълки, боровинки, киви, нар, череши и пасион фрут)</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2009.90.10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Смеси от плодови сокове, включително мъст от грозде, неферментирали, със или без прибавка на захар или други подсладители (с изключение на съдържащите алкохол)</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2203.00.90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Бири от малц, различни от традиционните африкански бири, така както са определени в допълнителна забележка 1 към глава 22</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3401.20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Сапуни във форми, различни от пръчки, парчета или калъпи</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3406.00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Свещи, вощеници и подобни артикули</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Тоалетна хартия на роли, с широчина &lt;= 36 cm</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Носни кърпички и салфетки за почистване на грим и за подсушаване на ръцете, от хартиена маса, хартия, целулозна вата или платна от целулозни влакна</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4818.30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Покривки и салфетки за маса, от хартиена маса, хартия, целулозна вата или платна от целулозни влакна</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57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Хартия, целулозна вата или платна от целулозни влакна от видовете, използвани за домакински или санитарни цели, на роли с широчина &lt;= 36 cm, или нарязани във формат; изделия от хартиена маса, хартия, целулозна вата или платна от целулозни влакна за домакинска, хигиенна или болнична употреба (с изключение на тоалетна хартия, носни кърпички, салфетки за почистване на грим и за подсушаване на ръцете, покривки, салфетки за маса, дамски превръзки и хигиенни тампони, бебешки пелени и подобни хигиенни изделия)</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58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6601.99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Чадъри и слънчобрани, включително чадърите бастуни (с изключение на чадърите със сгъваеми дръжки, градинските чадъри и подобни артикули, и играчките чадъри)</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9607.11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Ципове със зъбци от неблагородни метали</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60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9607.19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Ципове (с изключение на тези със зъбци от неблагородни метали)</w:t>
            </w:r>
          </w:p>
        </w:tc>
      </w:tr>
    </w:tbl>
    <w:p>
      <w:pPr>
        <w:widowControl w:val="0"/>
        <w:spacing w:before="0" w:after="0"/>
        <w:jc w:val="center"/>
        <w:rPr>
          <w:rFonts w:eastAsia="Times New Roman"/>
          <w:noProof/>
          <w:szCs w:val="24"/>
        </w:rPr>
      </w:pPr>
    </w:p>
    <w:p>
      <w:pPr>
        <w:widowControl w:val="0"/>
        <w:spacing w:before="0" w:after="0"/>
        <w:jc w:val="left"/>
        <w:rPr>
          <w:rFonts w:eastAsia="Times New Roman"/>
          <w:b/>
          <w:noProof/>
          <w:szCs w:val="24"/>
        </w:rPr>
      </w:pPr>
      <w:r>
        <w:rPr>
          <w:noProof/>
        </w:rPr>
        <w:br w:type="page"/>
      </w:r>
    </w:p>
    <w:p>
      <w:pPr>
        <w:widowControl w:val="0"/>
        <w:spacing w:before="0" w:after="240"/>
        <w:jc w:val="center"/>
        <w:rPr>
          <w:rFonts w:eastAsia="Times New Roman"/>
          <w:b/>
          <w:noProof/>
          <w:szCs w:val="24"/>
          <w:u w:val="single"/>
        </w:rPr>
      </w:pPr>
      <w:r>
        <w:rPr>
          <w:b/>
          <w:noProof/>
          <w:u w:val="single"/>
        </w:rPr>
        <w:t>ПРИЛОЖЕНИЕ VI</w:t>
      </w:r>
    </w:p>
    <w:p>
      <w:pPr>
        <w:widowControl w:val="0"/>
        <w:spacing w:before="0" w:after="240"/>
        <w:jc w:val="center"/>
        <w:rPr>
          <w:rFonts w:eastAsia="Times New Roman"/>
          <w:b/>
          <w:noProof/>
          <w:szCs w:val="24"/>
        </w:rPr>
      </w:pPr>
      <w:r>
        <w:rPr>
          <w:b/>
          <w:noProof/>
        </w:rPr>
        <w:t>ПРОДУКТИ И СЕКТОРИ ОТ ПРИОРИТЕТНО ЗНАЧЕНИЕ ПО ОТНОШЕНИЕ НА САНИТАРНИТЕ И ФИТОСАНИТАРНИТЕ МЕРКИ</w:t>
      </w:r>
    </w:p>
    <w:p>
      <w:pPr>
        <w:widowControl w:val="0"/>
        <w:spacing w:before="0" w:after="240"/>
        <w:jc w:val="left"/>
        <w:rPr>
          <w:rFonts w:eastAsia="Times New Roman"/>
          <w:noProof/>
          <w:szCs w:val="24"/>
        </w:rPr>
      </w:pPr>
      <w:r>
        <w:rPr>
          <w:noProof/>
        </w:rPr>
        <w:t>Продуктите и секторите от приоритетно значение, посочени в член 60, буква б) и в член 65, буква д), са изброени по-долу.</w:t>
      </w:r>
    </w:p>
    <w:p>
      <w:pPr>
        <w:rPr>
          <w:b/>
          <w:noProof/>
          <w:snapToGrid w:val="0"/>
        </w:rPr>
      </w:pPr>
      <w:r>
        <w:rPr>
          <w:b/>
          <w:noProof/>
          <w:snapToGrid w:val="0"/>
        </w:rPr>
        <w:t>А: За хармонизацията, осъществявана от държавите по СИП ЮАОР:</w:t>
      </w:r>
    </w:p>
    <w:p>
      <w:pPr>
        <w:rPr>
          <w:noProof/>
          <w:snapToGrid w:val="0"/>
        </w:rPr>
      </w:pPr>
      <w:r>
        <w:rPr>
          <w:noProof/>
        </w:rPr>
        <w:t>Риба, продукти от риболов, продукти от аквакултури, в прясно или преработено състояние</w:t>
      </w:r>
    </w:p>
    <w:p>
      <w:pPr>
        <w:rPr>
          <w:noProof/>
          <w:snapToGrid w:val="0"/>
        </w:rPr>
      </w:pPr>
      <w:r>
        <w:rPr>
          <w:noProof/>
        </w:rPr>
        <w:t>Едър рогат добитък, овце и домашни птици</w:t>
      </w:r>
    </w:p>
    <w:p>
      <w:pPr>
        <w:rPr>
          <w:noProof/>
          <w:snapToGrid w:val="0"/>
        </w:rPr>
      </w:pPr>
      <w:r>
        <w:rPr>
          <w:noProof/>
        </w:rPr>
        <w:t>Прясно месо</w:t>
      </w:r>
    </w:p>
    <w:p>
      <w:pPr>
        <w:rPr>
          <w:noProof/>
          <w:snapToGrid w:val="0"/>
        </w:rPr>
      </w:pPr>
      <w:r>
        <w:rPr>
          <w:noProof/>
        </w:rPr>
        <w:t>Преработени месни продукти</w:t>
      </w:r>
    </w:p>
    <w:p>
      <w:pPr>
        <w:rPr>
          <w:noProof/>
        </w:rPr>
      </w:pPr>
      <w:r>
        <w:rPr>
          <w:noProof/>
        </w:rPr>
        <w:t>Житни растения</w:t>
      </w:r>
    </w:p>
    <w:p>
      <w:pPr>
        <w:rPr>
          <w:noProof/>
        </w:rPr>
      </w:pPr>
      <w:r>
        <w:rPr>
          <w:noProof/>
        </w:rPr>
        <w:t xml:space="preserve">Зеленчуци и подправки </w:t>
      </w:r>
    </w:p>
    <w:p>
      <w:pPr>
        <w:rPr>
          <w:noProof/>
        </w:rPr>
      </w:pPr>
      <w:r>
        <w:rPr>
          <w:noProof/>
        </w:rPr>
        <w:t xml:space="preserve">Маслодайни семена </w:t>
      </w:r>
    </w:p>
    <w:p>
      <w:pPr>
        <w:rPr>
          <w:noProof/>
        </w:rPr>
      </w:pPr>
      <w:r>
        <w:rPr>
          <w:noProof/>
        </w:rPr>
        <w:t xml:space="preserve">Кокосови орехи </w:t>
      </w:r>
    </w:p>
    <w:p>
      <w:pPr>
        <w:rPr>
          <w:noProof/>
        </w:rPr>
      </w:pPr>
      <w:r>
        <w:rPr>
          <w:noProof/>
        </w:rPr>
        <w:t>Копра</w:t>
      </w:r>
    </w:p>
    <w:p>
      <w:pPr>
        <w:rPr>
          <w:noProof/>
        </w:rPr>
      </w:pPr>
      <w:r>
        <w:rPr>
          <w:noProof/>
        </w:rPr>
        <w:t xml:space="preserve">Семена от памук </w:t>
      </w:r>
    </w:p>
    <w:p>
      <w:pPr>
        <w:rPr>
          <w:noProof/>
        </w:rPr>
      </w:pPr>
      <w:r>
        <w:rPr>
          <w:noProof/>
        </w:rPr>
        <w:t>Фъстъци</w:t>
      </w:r>
    </w:p>
    <w:p>
      <w:pPr>
        <w:rPr>
          <w:noProof/>
        </w:rPr>
      </w:pPr>
      <w:r>
        <w:rPr>
          <w:noProof/>
        </w:rPr>
        <w:t>Маниока</w:t>
      </w:r>
    </w:p>
    <w:p>
      <w:pPr>
        <w:rPr>
          <w:noProof/>
        </w:rPr>
      </w:pPr>
      <w:r>
        <w:rPr>
          <w:noProof/>
        </w:rPr>
        <w:t xml:space="preserve">Бира, сокове </w:t>
      </w:r>
    </w:p>
    <w:p>
      <w:pPr>
        <w:rPr>
          <w:noProof/>
        </w:rPr>
      </w:pPr>
      <w:r>
        <w:rPr>
          <w:noProof/>
        </w:rPr>
        <w:t>Изсушени и консервирани плодове</w:t>
      </w:r>
    </w:p>
    <w:p>
      <w:pPr>
        <w:rPr>
          <w:b/>
          <w:noProof/>
          <w:snapToGrid w:val="0"/>
        </w:rPr>
      </w:pPr>
      <w:r>
        <w:rPr>
          <w:b/>
          <w:noProof/>
          <w:snapToGrid w:val="0"/>
        </w:rPr>
        <w:t>Б: За износ от държавите по СИП ЮАОР за ЕС:</w:t>
      </w:r>
    </w:p>
    <w:p>
      <w:pPr>
        <w:rPr>
          <w:noProof/>
          <w:snapToGrid w:val="0"/>
        </w:rPr>
      </w:pPr>
      <w:r>
        <w:rPr>
          <w:noProof/>
        </w:rPr>
        <w:t>Риба, продукти от риболов и продукти от аквакултури, в прясно или преработено състояние</w:t>
      </w:r>
    </w:p>
    <w:p>
      <w:pPr>
        <w:rPr>
          <w:noProof/>
          <w:snapToGrid w:val="0"/>
        </w:rPr>
      </w:pPr>
      <w:r>
        <w:rPr>
          <w:noProof/>
        </w:rPr>
        <w:t>Говеждо месо и продукти от говеждо месо</w:t>
      </w:r>
    </w:p>
    <w:p>
      <w:pPr>
        <w:rPr>
          <w:noProof/>
          <w:snapToGrid w:val="0"/>
        </w:rPr>
      </w:pPr>
      <w:r>
        <w:rPr>
          <w:noProof/>
        </w:rPr>
        <w:t>Други месни продукти</w:t>
      </w:r>
    </w:p>
    <w:p>
      <w:pPr>
        <w:rPr>
          <w:noProof/>
        </w:rPr>
      </w:pPr>
      <w:r>
        <w:rPr>
          <w:noProof/>
        </w:rPr>
        <w:t xml:space="preserve">Плодове, вкл. черупкови </w:t>
      </w:r>
    </w:p>
    <w:p>
      <w:pPr>
        <w:rPr>
          <w:noProof/>
        </w:rPr>
      </w:pPr>
      <w:r>
        <w:rPr>
          <w:noProof/>
        </w:rPr>
        <w:t xml:space="preserve">Зеленчуци </w:t>
      </w:r>
    </w:p>
    <w:p>
      <w:pPr>
        <w:rPr>
          <w:noProof/>
        </w:rPr>
      </w:pPr>
      <w:r>
        <w:rPr>
          <w:noProof/>
        </w:rPr>
        <w:t>Цветя, отрязани</w:t>
      </w:r>
    </w:p>
    <w:p>
      <w:pPr>
        <w:rPr>
          <w:noProof/>
        </w:rPr>
      </w:pPr>
      <w:r>
        <w:rPr>
          <w:noProof/>
        </w:rPr>
        <w:t>Кафе</w:t>
      </w:r>
    </w:p>
    <w:p>
      <w:pPr>
        <w:rPr>
          <w:noProof/>
        </w:rPr>
      </w:pPr>
      <w:r>
        <w:rPr>
          <w:noProof/>
        </w:rPr>
        <w:t>Захар</w:t>
      </w:r>
    </w:p>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По отношение на тарифните линии, обозначени със звездичка, в случай че датата на влизане в сила на настоящото споразумение е след 2015 г., референтното количество за година 1 представлява средната стойност на вноса от ЕС в Южноафриканския митнически съюз от предходните три (3) години. Референтните количества за следващите години (след година 1) се коригират пропорционално на референтните количества в настоящата таблица.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1"/>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1: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5"/>
    <w:docVar w:name="LW_ANNEX_NBR_LAST" w:val="5"/>
    <w:docVar w:name="LW_CONFIDENCE" w:val=" "/>
    <w:docVar w:name="LW_CONST_RESTREINT_UE" w:val="RESTREINT UE"/>
    <w:docVar w:name="LW_CORRIGENDUM" w:val="&lt;UNUSED&gt;"/>
    <w:docVar w:name="LW_COVERPAGE_GUID" w:val="ED7BC40E524B4963A8700C23B1D57366"/>
    <w:docVar w:name="LW_CROSSREFERENCE" w:val="&lt;UNUSED&gt;"/>
    <w:docVar w:name="LW_DocType" w:val="ANNEX"/>
    <w:docVar w:name="LW_EMISSION" w:val="22.1.2016"/>
    <w:docVar w:name="LW_EMISSION_ISODATE" w:val="2016-01-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719F-8B9D-4E88-9A15-1C29F323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1860</Words>
  <Characters>9695</Characters>
  <Application>Microsoft Office Word</Application>
  <DocSecurity>0</DocSecurity>
  <Lines>692</Lines>
  <Paragraphs>641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2016-01-12T14:52:00Z</dcterms:created>
  <dcterms:modified xsi:type="dcterms:W3CDTF">2016-01-13T15:11:00Z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