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BC" w:rsidRDefault="008175EC" w:rsidP="008175E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2641574A2E84B33936165D3C09AB5D4" style="width:450.15pt;height:393.2pt">
            <v:imagedata r:id="rId9" o:title=""/>
          </v:shape>
        </w:pict>
      </w:r>
    </w:p>
    <w:bookmarkEnd w:id="0"/>
    <w:p w:rsidR="005D2CBC" w:rsidRDefault="005D2CBC">
      <w:pPr>
        <w:spacing w:line="240" w:lineRule="auto"/>
        <w:rPr>
          <w:rFonts w:ascii="Times New Roman" w:hAnsi="Times New Roman" w:cs="Times New Roman"/>
          <w:noProof/>
        </w:rPr>
        <w:sectPr w:rsidR="005D2CBC" w:rsidSect="008175E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5D2CBC" w:rsidRDefault="008175EC">
      <w:pPr>
        <w:spacing w:line="240" w:lineRule="auto"/>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Italy – State of Play Report</w:t>
      </w:r>
    </w:p>
    <w:tbl>
      <w:tblPr>
        <w:tblStyle w:val="TableGrid"/>
        <w:tblW w:w="9356" w:type="dxa"/>
        <w:tblInd w:w="108" w:type="dxa"/>
        <w:tblLook w:val="04A0" w:firstRow="1" w:lastRow="0" w:firstColumn="1" w:lastColumn="0" w:noHBand="0" w:noVBand="1"/>
      </w:tblPr>
      <w:tblGrid>
        <w:gridCol w:w="1652"/>
        <w:gridCol w:w="3051"/>
        <w:gridCol w:w="4653"/>
      </w:tblGrid>
      <w:tr w:rsidR="005D2CBC">
        <w:tc>
          <w:tcPr>
            <w:tcW w:w="4703" w:type="dxa"/>
            <w:gridSpan w:val="2"/>
            <w:tcBorders>
              <w:top w:val="single" w:sz="4" w:space="0" w:color="auto"/>
              <w:left w:val="single" w:sz="4" w:space="0" w:color="auto"/>
              <w:bottom w:val="single" w:sz="4" w:space="0" w:color="auto"/>
              <w:right w:val="single" w:sz="4" w:space="0" w:color="auto"/>
            </w:tcBorders>
            <w:hideMark/>
          </w:tcPr>
          <w:p w:rsidR="005D2CBC" w:rsidRDefault="008175EC">
            <w:pPr>
              <w:rPr>
                <w:rFonts w:ascii="Times New Roman" w:hAnsi="Times New Roman" w:cs="Times New Roman"/>
                <w:b/>
                <w:noProof/>
              </w:rPr>
            </w:pPr>
            <w:r>
              <w:rPr>
                <w:rFonts w:ascii="Times New Roman" w:hAnsi="Times New Roman" w:cs="Times New Roman"/>
                <w:b/>
                <w:noProof/>
              </w:rPr>
              <w:t>Recommendations December 2015</w:t>
            </w:r>
          </w:p>
        </w:tc>
        <w:tc>
          <w:tcPr>
            <w:tcW w:w="4653" w:type="dxa"/>
            <w:tcBorders>
              <w:top w:val="single" w:sz="4" w:space="0" w:color="auto"/>
              <w:left w:val="single" w:sz="4" w:space="0" w:color="auto"/>
              <w:bottom w:val="single" w:sz="4" w:space="0" w:color="auto"/>
              <w:right w:val="single" w:sz="4" w:space="0" w:color="auto"/>
            </w:tcBorders>
            <w:hideMark/>
          </w:tcPr>
          <w:p w:rsidR="005D2CBC" w:rsidRDefault="008175EC">
            <w:pPr>
              <w:rPr>
                <w:rFonts w:ascii="Times New Roman" w:hAnsi="Times New Roman" w:cs="Times New Roman"/>
                <w:noProof/>
              </w:rPr>
            </w:pPr>
            <w:r>
              <w:rPr>
                <w:rFonts w:ascii="Times New Roman" w:hAnsi="Times New Roman" w:cs="Times New Roman"/>
                <w:noProof/>
              </w:rPr>
              <w:t>Status</w:t>
            </w:r>
          </w:p>
        </w:tc>
      </w:tr>
      <w:tr w:rsidR="005D2CBC">
        <w:trPr>
          <w:trHeight w:val="484"/>
        </w:trPr>
        <w:tc>
          <w:tcPr>
            <w:tcW w:w="1652" w:type="dxa"/>
            <w:vMerge w:val="restart"/>
            <w:tcBorders>
              <w:top w:val="single" w:sz="4" w:space="0" w:color="auto"/>
              <w:left w:val="single" w:sz="4" w:space="0" w:color="auto"/>
              <w:right w:val="single" w:sz="4" w:space="0" w:color="auto"/>
            </w:tcBorders>
            <w:hideMark/>
          </w:tcPr>
          <w:p w:rsidR="005D2CBC" w:rsidRDefault="008175EC">
            <w:pPr>
              <w:pStyle w:val="NormalWeb"/>
              <w:spacing w:before="0" w:beforeAutospacing="0" w:after="0" w:afterAutospacing="0"/>
              <w:rPr>
                <w:rStyle w:val="Strong"/>
                <w:b w:val="0"/>
                <w:bCs w:val="0"/>
                <w:noProof/>
                <w:sz w:val="20"/>
                <w:szCs w:val="20"/>
                <w:lang w:eastAsia="en-US"/>
              </w:rPr>
            </w:pPr>
            <w:r>
              <w:rPr>
                <w:rFonts w:eastAsiaTheme="minorHAnsi"/>
                <w:b/>
                <w:smallCaps/>
                <w:noProof/>
                <w:sz w:val="20"/>
                <w:szCs w:val="20"/>
                <w:lang w:eastAsia="en-US"/>
              </w:rPr>
              <w:t xml:space="preserve">Hotspot Areas </w:t>
            </w: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The hotspots in Pozzallo and Villa Sikania/Porto Empedocle should be opened by end 2015. Refurbishment works for additional hotspots should also start with a view to having them ready by end of February 2016. </w:t>
            </w: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hideMark/>
          </w:tcPr>
          <w:p w:rsidR="005D2CBC" w:rsidRDefault="008175EC">
            <w:pPr>
              <w:pStyle w:val="Default"/>
              <w:ind w:left="292" w:hanging="292"/>
              <w:rPr>
                <w:noProof/>
                <w:sz w:val="20"/>
                <w:szCs w:val="20"/>
              </w:rPr>
            </w:pPr>
            <w:r>
              <w:rPr>
                <w:noProof/>
                <w:sz w:val="20"/>
                <w:szCs w:val="20"/>
              </w:rPr>
              <w:sym w:font="Wingdings" w:char="F0FC"/>
            </w:r>
            <w:r>
              <w:rPr>
                <w:noProof/>
                <w:sz w:val="20"/>
                <w:szCs w:val="20"/>
              </w:rPr>
              <w:t xml:space="preserve">  Lampedusa (since October 2015) and Pozzall</w:t>
            </w:r>
            <w:r>
              <w:rPr>
                <w:noProof/>
                <w:sz w:val="20"/>
                <w:szCs w:val="20"/>
              </w:rPr>
              <w:t>o (since 19 January 2016) are open and operational.</w:t>
            </w:r>
          </w:p>
          <w:p w:rsidR="005D2CBC" w:rsidRDefault="008175EC">
            <w:pPr>
              <w:pStyle w:val="Default"/>
              <w:ind w:left="292" w:hanging="292"/>
              <w:rPr>
                <w:noProof/>
                <w:sz w:val="20"/>
                <w:szCs w:val="20"/>
              </w:rPr>
            </w:pPr>
            <w:r>
              <w:rPr>
                <w:noProof/>
                <w:sz w:val="20"/>
                <w:szCs w:val="20"/>
              </w:rPr>
              <w:t>X  Trapani was declared open in December 2015, but still requires work in terms of construction and procedures to become fully operational. Works are expected to be completed by 20 February.</w:t>
            </w:r>
          </w:p>
          <w:p w:rsidR="005D2CBC" w:rsidRDefault="008175EC">
            <w:pPr>
              <w:pStyle w:val="Default"/>
              <w:ind w:left="292" w:hanging="292"/>
              <w:rPr>
                <w:noProof/>
                <w:sz w:val="20"/>
                <w:szCs w:val="20"/>
              </w:rPr>
            </w:pPr>
            <w:r>
              <w:rPr>
                <w:noProof/>
                <w:sz w:val="20"/>
                <w:szCs w:val="20"/>
              </w:rPr>
              <w:t xml:space="preserve">X  Works are </w:t>
            </w:r>
            <w:r>
              <w:rPr>
                <w:noProof/>
                <w:sz w:val="20"/>
                <w:szCs w:val="20"/>
              </w:rPr>
              <w:t>still ongoing in Taranto. Italian authorities expect finalisation by end of February.</w:t>
            </w:r>
          </w:p>
          <w:p w:rsidR="005D2CBC" w:rsidRDefault="008175EC">
            <w:pPr>
              <w:pStyle w:val="Default"/>
              <w:ind w:left="292" w:hanging="292"/>
              <w:rPr>
                <w:noProof/>
                <w:sz w:val="20"/>
                <w:szCs w:val="20"/>
              </w:rPr>
            </w:pPr>
            <w:r>
              <w:rPr>
                <w:noProof/>
                <w:sz w:val="20"/>
                <w:szCs w:val="20"/>
              </w:rPr>
              <w:t>X  No clear plans for the refurbishment of Augusta and Porto Empedocle have been developed. Opening of additional facilities is essential in order to cater for the summer</w:t>
            </w:r>
            <w:r>
              <w:rPr>
                <w:noProof/>
                <w:sz w:val="20"/>
                <w:szCs w:val="20"/>
              </w:rPr>
              <w:t xml:space="preserve"> months.</w:t>
            </w:r>
          </w:p>
          <w:p w:rsidR="005D2CBC" w:rsidRDefault="008175EC">
            <w:pPr>
              <w:pStyle w:val="Default"/>
              <w:ind w:left="292" w:hanging="292"/>
              <w:rPr>
                <w:noProof/>
                <w:sz w:val="20"/>
                <w:szCs w:val="20"/>
              </w:rPr>
            </w:pPr>
            <w:r>
              <w:rPr>
                <w:noProof/>
                <w:sz w:val="20"/>
                <w:szCs w:val="20"/>
              </w:rPr>
              <w:sym w:font="Wingdings" w:char="F0FC"/>
            </w:r>
            <w:r>
              <w:rPr>
                <w:noProof/>
                <w:sz w:val="20"/>
                <w:szCs w:val="20"/>
              </w:rPr>
              <w:t xml:space="preserve">  To support the procedure of assignment of the place of disembarkation following search and rescue events and to reinforce coordination, direct contacts between the Ministry of the Interior and the International Coordination Centre have been est</w:t>
            </w:r>
            <w:r>
              <w:rPr>
                <w:noProof/>
                <w:sz w:val="20"/>
                <w:szCs w:val="20"/>
              </w:rPr>
              <w:t>ablished via the Frontex operational coordinator based at Pratica di Mare.</w:t>
            </w:r>
          </w:p>
          <w:p w:rsidR="005D2CBC" w:rsidRDefault="008175EC">
            <w:pPr>
              <w:pStyle w:val="Default"/>
              <w:ind w:left="292" w:hanging="292"/>
              <w:rPr>
                <w:noProof/>
                <w:sz w:val="20"/>
                <w:szCs w:val="20"/>
              </w:rPr>
            </w:pPr>
            <w:r>
              <w:rPr>
                <w:noProof/>
                <w:sz w:val="20"/>
                <w:szCs w:val="20"/>
              </w:rPr>
              <w:sym w:font="Wingdings" w:char="F0FC"/>
            </w:r>
            <w:r>
              <w:rPr>
                <w:noProof/>
                <w:sz w:val="20"/>
                <w:szCs w:val="20"/>
              </w:rPr>
              <w:t xml:space="preserve">  Standard Operating Procedures outlining the activities and their logical sequence in the hotspots have been drafted by the Ministry of the Interior with support from the Commissi</w:t>
            </w:r>
            <w:r>
              <w:rPr>
                <w:noProof/>
                <w:sz w:val="20"/>
                <w:szCs w:val="20"/>
              </w:rPr>
              <w:t>on, Frontex, Europol, the European Asylum Support Office (EASO), the International Organization for Migration (IOM) and the UNHCR, and a consolidated draft was delivered to the Ministry of the Interior on 8 February 2016.</w:t>
            </w:r>
          </w:p>
          <w:p w:rsidR="005D2CBC" w:rsidRDefault="005D2CBC">
            <w:pPr>
              <w:pStyle w:val="Default"/>
              <w:ind w:left="360"/>
              <w:rPr>
                <w:noProof/>
                <w:sz w:val="20"/>
                <w:szCs w:val="20"/>
              </w:rPr>
            </w:pPr>
          </w:p>
        </w:tc>
      </w:tr>
      <w:tr w:rsidR="005D2CBC">
        <w:trPr>
          <w:trHeight w:val="830"/>
        </w:trPr>
        <w:tc>
          <w:tcPr>
            <w:tcW w:w="1652" w:type="dxa"/>
            <w:vMerge/>
            <w:tcBorders>
              <w:left w:val="single" w:sz="4" w:space="0" w:color="auto"/>
              <w:right w:val="single" w:sz="4" w:space="0" w:color="auto"/>
            </w:tcBorders>
            <w:vAlign w:val="center"/>
            <w:hideMark/>
          </w:tcPr>
          <w:p w:rsidR="005D2CBC" w:rsidRDefault="005D2CBC">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The Italian authorities should take measures immediately to increase medical presence in the hotspots so as to enable a multiplication of screening and fingerprinting lines, streamlining the overall time it takes for a migrant to complete all steps/formali</w:t>
            </w:r>
            <w:r>
              <w:rPr>
                <w:rFonts w:ascii="Times New Roman" w:hAnsi="Times New Roman" w:cs="Times New Roman"/>
                <w:noProof/>
                <w:color w:val="000000"/>
                <w:sz w:val="20"/>
                <w:szCs w:val="20"/>
                <w:lang w:eastAsia="en-GB"/>
              </w:rPr>
              <w:t xml:space="preserve">ties in the hotspot. </w:t>
            </w: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hideMark/>
          </w:tcPr>
          <w:p w:rsidR="005D2CBC" w:rsidRDefault="008175EC">
            <w:pPr>
              <w:pStyle w:val="Default"/>
              <w:ind w:left="292" w:hanging="290"/>
              <w:rPr>
                <w:noProof/>
                <w:sz w:val="20"/>
                <w:szCs w:val="20"/>
              </w:rPr>
            </w:pPr>
            <w:r>
              <w:rPr>
                <w:noProof/>
                <w:sz w:val="20"/>
                <w:szCs w:val="20"/>
              </w:rPr>
              <w:sym w:font="Wingdings" w:char="F0FC"/>
            </w:r>
            <w:r>
              <w:rPr>
                <w:noProof/>
                <w:sz w:val="20"/>
                <w:szCs w:val="20"/>
              </w:rPr>
              <w:t xml:space="preserve">  The requirement to have a 24/7 medical presence was inserted in the Standard Operating Procedures for hotspots.</w:t>
            </w:r>
          </w:p>
          <w:p w:rsidR="005D2CBC" w:rsidRDefault="008175EC">
            <w:pPr>
              <w:pStyle w:val="Default"/>
              <w:ind w:left="292" w:hanging="290"/>
              <w:rPr>
                <w:noProof/>
                <w:sz w:val="20"/>
                <w:szCs w:val="20"/>
              </w:rPr>
            </w:pPr>
            <w:r>
              <w:rPr>
                <w:noProof/>
                <w:sz w:val="20"/>
                <w:szCs w:val="20"/>
              </w:rPr>
              <w:t>X  The Italian authorities have to ensure that medical presence in open and forthcoming hotspots will effectively be 2</w:t>
            </w:r>
            <w:r>
              <w:rPr>
                <w:noProof/>
                <w:sz w:val="20"/>
                <w:szCs w:val="20"/>
              </w:rPr>
              <w:t>4/7 in all locations. Such presence needs to be increased to enable multiple screening and fingerprinting lines, shortening the overall time it takes for a migrant to complete all steps/formalities in the hotspot.</w:t>
            </w:r>
          </w:p>
          <w:p w:rsidR="005D2CBC" w:rsidRDefault="005D2CBC">
            <w:pPr>
              <w:pStyle w:val="Default"/>
              <w:ind w:left="151" w:firstLine="2"/>
              <w:rPr>
                <w:noProof/>
                <w:sz w:val="20"/>
                <w:szCs w:val="20"/>
              </w:rPr>
            </w:pPr>
          </w:p>
        </w:tc>
      </w:tr>
      <w:tr w:rsidR="005D2CBC">
        <w:trPr>
          <w:trHeight w:val="488"/>
        </w:trPr>
        <w:tc>
          <w:tcPr>
            <w:tcW w:w="1652" w:type="dxa"/>
            <w:vMerge/>
            <w:tcBorders>
              <w:left w:val="single" w:sz="4" w:space="0" w:color="auto"/>
              <w:right w:val="single" w:sz="4" w:space="0" w:color="auto"/>
            </w:tcBorders>
            <w:vAlign w:val="center"/>
          </w:tcPr>
          <w:p w:rsidR="005D2CBC" w:rsidRDefault="005D2CBC">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Further efforts, also at legislative level, should be accelerated by the Italian authorities in order to provide a more solid legal framework to perform hotspot activities and in particular to allow the use of force for fingerprinting and to include provis</w:t>
            </w:r>
            <w:r>
              <w:rPr>
                <w:rFonts w:ascii="Times New Roman" w:hAnsi="Times New Roman" w:cs="Times New Roman"/>
                <w:noProof/>
                <w:color w:val="000000"/>
                <w:sz w:val="20"/>
                <w:szCs w:val="20"/>
                <w:lang w:eastAsia="en-GB"/>
              </w:rPr>
              <w:t xml:space="preserve">ions on longer term retention for those migrants that resist fingerprinting. The target of a 100% fingerprinting rate for arriving migrants needs to be achieved without delay. </w:t>
            </w:r>
          </w:p>
          <w:p w:rsidR="005D2CBC" w:rsidRDefault="005D2CBC">
            <w:pPr>
              <w:autoSpaceDE w:val="0"/>
              <w:autoSpaceDN w:val="0"/>
              <w:adjustRightInd w:val="0"/>
              <w:rPr>
                <w:rFonts w:ascii="Times New Roman" w:hAnsi="Times New Roman" w:cs="Times New Roman"/>
                <w:i/>
                <w:noProof/>
                <w:color w:val="000000"/>
                <w:sz w:val="20"/>
                <w:szCs w:val="20"/>
                <w:lang w:eastAsia="en-GB"/>
              </w:rPr>
            </w:pP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pStyle w:val="Default"/>
              <w:ind w:left="292" w:hanging="290"/>
              <w:rPr>
                <w:noProof/>
                <w:sz w:val="20"/>
                <w:szCs w:val="20"/>
              </w:rPr>
            </w:pPr>
            <w:r>
              <w:rPr>
                <w:noProof/>
                <w:sz w:val="20"/>
                <w:szCs w:val="20"/>
              </w:rPr>
              <w:sym w:font="Wingdings" w:char="F0FC"/>
            </w:r>
            <w:r>
              <w:rPr>
                <w:noProof/>
                <w:sz w:val="20"/>
                <w:szCs w:val="20"/>
              </w:rPr>
              <w:t xml:space="preserve">  Fingerprinting rates reported by the Italian authorities, the IOM and Fron</w:t>
            </w:r>
            <w:r>
              <w:rPr>
                <w:noProof/>
                <w:sz w:val="20"/>
                <w:szCs w:val="20"/>
              </w:rPr>
              <w:t xml:space="preserve">tex have almost reached 100% in recent disembarkations in operational hotspots (87% overall by January). </w:t>
            </w:r>
          </w:p>
          <w:p w:rsidR="005D2CBC" w:rsidRDefault="008175EC">
            <w:pPr>
              <w:pStyle w:val="Default"/>
              <w:ind w:left="292" w:hanging="290"/>
              <w:rPr>
                <w:noProof/>
                <w:sz w:val="20"/>
                <w:szCs w:val="20"/>
              </w:rPr>
            </w:pPr>
            <w:r>
              <w:rPr>
                <w:noProof/>
                <w:sz w:val="20"/>
                <w:szCs w:val="20"/>
              </w:rPr>
              <w:sym w:font="Wingdings" w:char="F0FC"/>
            </w:r>
            <w:r>
              <w:rPr>
                <w:noProof/>
                <w:sz w:val="20"/>
                <w:szCs w:val="20"/>
              </w:rPr>
              <w:t xml:space="preserve">  The Ministry of the Interior submitted an application for emergency funds to procure additional fingerprinting machines and update computer systems to avoid double fingerprinting. The Commission adopted the award decision on 8 February 2016. </w:t>
            </w:r>
          </w:p>
          <w:p w:rsidR="005D2CBC" w:rsidRDefault="008175EC">
            <w:pPr>
              <w:pStyle w:val="Default"/>
              <w:ind w:left="292" w:hanging="290"/>
              <w:rPr>
                <w:noProof/>
                <w:sz w:val="20"/>
                <w:szCs w:val="20"/>
              </w:rPr>
            </w:pPr>
            <w:r>
              <w:rPr>
                <w:noProof/>
                <w:sz w:val="20"/>
                <w:szCs w:val="20"/>
              </w:rPr>
              <w:t xml:space="preserve">X  A draft </w:t>
            </w:r>
            <w:r>
              <w:rPr>
                <w:noProof/>
                <w:sz w:val="20"/>
                <w:szCs w:val="20"/>
              </w:rPr>
              <w:t>law to improve legal framework with regard to longer retention and to clarify fingerprinting operations (including, as a last resort, the proportionate use of force) is ready at technical level but needs to be swiftly adopted.</w:t>
            </w:r>
          </w:p>
          <w:p w:rsidR="005D2CBC" w:rsidRDefault="008175EC">
            <w:pPr>
              <w:pStyle w:val="Default"/>
              <w:ind w:left="292" w:hanging="290"/>
              <w:rPr>
                <w:noProof/>
                <w:sz w:val="20"/>
                <w:szCs w:val="20"/>
              </w:rPr>
            </w:pPr>
            <w:r>
              <w:rPr>
                <w:noProof/>
                <w:sz w:val="20"/>
                <w:szCs w:val="20"/>
              </w:rPr>
              <w:t>X  Fingerprinting of migrants</w:t>
            </w:r>
            <w:r>
              <w:rPr>
                <w:noProof/>
                <w:sz w:val="20"/>
                <w:szCs w:val="20"/>
              </w:rPr>
              <w:t xml:space="preserve"> disembarked outside hotspot facility cannot be independently confirmed. </w:t>
            </w:r>
            <w:r>
              <w:rPr>
                <w:noProof/>
                <w:sz w:val="20"/>
                <w:szCs w:val="20"/>
              </w:rPr>
              <w:lastRenderedPageBreak/>
              <w:t>All disembarkation should take place in designated and operational hotspot facilities.</w:t>
            </w:r>
          </w:p>
        </w:tc>
      </w:tr>
      <w:tr w:rsidR="005D2CBC">
        <w:trPr>
          <w:trHeight w:val="830"/>
        </w:trPr>
        <w:tc>
          <w:tcPr>
            <w:tcW w:w="1652" w:type="dxa"/>
            <w:vMerge/>
            <w:tcBorders>
              <w:left w:val="single" w:sz="4" w:space="0" w:color="auto"/>
              <w:right w:val="single" w:sz="4" w:space="0" w:color="auto"/>
            </w:tcBorders>
            <w:vAlign w:val="center"/>
          </w:tcPr>
          <w:p w:rsidR="005D2CBC" w:rsidRDefault="005D2CBC">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sz w:val="20"/>
                <w:szCs w:val="20"/>
                <w:lang w:eastAsia="en-GB"/>
              </w:rPr>
            </w:pPr>
            <w:r>
              <w:rPr>
                <w:rFonts w:ascii="Times New Roman" w:hAnsi="Times New Roman" w:cs="Times New Roman"/>
                <w:noProof/>
                <w:color w:val="000000"/>
                <w:sz w:val="20"/>
                <w:szCs w:val="20"/>
                <w:lang w:eastAsia="en-GB"/>
              </w:rPr>
              <w:t>The presence of EUROPOL in hotspot operations needs to be extended, improved and clarified to step up investigation against migrant smugglers. Clear, standardised provisions on the part of the Italian State Police and judicial authorities have to be issued</w:t>
            </w:r>
            <w:r>
              <w:rPr>
                <w:rFonts w:ascii="Times New Roman" w:hAnsi="Times New Roman" w:cs="Times New Roman"/>
                <w:noProof/>
                <w:color w:val="000000"/>
                <w:sz w:val="20"/>
                <w:szCs w:val="20"/>
                <w:lang w:eastAsia="en-GB"/>
              </w:rPr>
              <w:t xml:space="preserve"> </w:t>
            </w:r>
            <w:r>
              <w:rPr>
                <w:rFonts w:ascii="Times New Roman" w:hAnsi="Times New Roman" w:cs="Times New Roman"/>
                <w:noProof/>
                <w:sz w:val="20"/>
                <w:szCs w:val="20"/>
                <w:lang w:eastAsia="en-GB"/>
              </w:rPr>
              <w:t xml:space="preserve">in order to enable a purposeful exchange of (real-time) information with EUROPOL, both with staff that would be additionally deployed on the ground and through contact with Headquarters in The Hague as needed via SIENA. </w:t>
            </w: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sym w:font="Wingdings" w:char="F0FC"/>
            </w:r>
            <w:r>
              <w:rPr>
                <w:rFonts w:ascii="Times New Roman" w:eastAsia="Times New Roman" w:hAnsi="Times New Roman" w:cs="Times New Roman"/>
                <w:noProof/>
                <w:color w:val="000000"/>
                <w:sz w:val="20"/>
                <w:szCs w:val="20"/>
                <w:lang w:eastAsia="en-GB"/>
              </w:rPr>
              <w:t xml:space="preserve">  The role of Europol is describ</w:t>
            </w:r>
            <w:r>
              <w:rPr>
                <w:rFonts w:ascii="Times New Roman" w:eastAsia="Times New Roman" w:hAnsi="Times New Roman" w:cs="Times New Roman"/>
                <w:noProof/>
                <w:color w:val="000000"/>
                <w:sz w:val="20"/>
                <w:szCs w:val="20"/>
                <w:lang w:eastAsia="en-GB"/>
              </w:rPr>
              <w:t>ed in hotspot Standard Operating Procedures. Contacts between Europol, the Commission and police branch (the Ministry of the Interior), including the Europol National Unit, are ongoing to improve Europol's involvement on the ground on the basis of good pra</w:t>
            </w:r>
            <w:r>
              <w:rPr>
                <w:rFonts w:ascii="Times New Roman" w:eastAsia="Times New Roman" w:hAnsi="Times New Roman" w:cs="Times New Roman"/>
                <w:noProof/>
                <w:color w:val="000000"/>
                <w:sz w:val="20"/>
                <w:szCs w:val="20"/>
                <w:lang w:eastAsia="en-GB"/>
              </w:rPr>
              <w:t>ctices developed with some prosecutors and of a needs assessment developed by the Commission on the ground.</w:t>
            </w:r>
          </w:p>
          <w:p w:rsidR="005D2CBC" w:rsidRDefault="008175EC">
            <w:pPr>
              <w:ind w:left="292" w:hanging="290"/>
              <w:rPr>
                <w:rFonts w:ascii="Times New Roman" w:eastAsia="Times New Roman" w:hAnsi="Times New Roman" w:cs="Times New Roman"/>
                <w:noProof/>
                <w:color w:val="000000"/>
                <w:sz w:val="20"/>
                <w:szCs w:val="20"/>
                <w:lang w:eastAsia="en-GB"/>
              </w:rPr>
            </w:pPr>
            <w:r>
              <w:rPr>
                <w:rFonts w:ascii="Times New Roman" w:hAnsi="Times New Roman" w:cs="Times New Roman"/>
                <w:noProof/>
                <w:sz w:val="20"/>
                <w:szCs w:val="20"/>
              </w:rPr>
              <w:t>X</w:t>
            </w:r>
            <w:r>
              <w:rPr>
                <w:rFonts w:ascii="Times New Roman" w:eastAsia="Times New Roman" w:hAnsi="Times New Roman" w:cs="Times New Roman"/>
                <w:noProof/>
                <w:color w:val="000000"/>
                <w:sz w:val="20"/>
                <w:szCs w:val="20"/>
                <w:lang w:eastAsia="en-GB"/>
              </w:rPr>
              <w:t xml:space="preserve">  Currently, the presence of Europol is limited to one staff member deployed to the EU Regional Task Force Catania. With the formal opening of the European Smuggling Centre at Europol the Agency is to deploy a second staff member to Sicily but further reso</w:t>
            </w:r>
            <w:r>
              <w:rPr>
                <w:rFonts w:ascii="Times New Roman" w:eastAsia="Times New Roman" w:hAnsi="Times New Roman" w:cs="Times New Roman"/>
                <w:noProof/>
                <w:color w:val="000000"/>
                <w:sz w:val="20"/>
                <w:szCs w:val="20"/>
                <w:lang w:eastAsia="en-GB"/>
              </w:rPr>
              <w:t>urces are necessary to ensure a proper and effective presence of Europol.</w:t>
            </w:r>
          </w:p>
        </w:tc>
      </w:tr>
      <w:tr w:rsidR="005D2CBC">
        <w:trPr>
          <w:trHeight w:val="830"/>
        </w:trPr>
        <w:tc>
          <w:tcPr>
            <w:tcW w:w="1652" w:type="dxa"/>
            <w:vMerge/>
            <w:tcBorders>
              <w:left w:val="single" w:sz="4" w:space="0" w:color="auto"/>
              <w:right w:val="single" w:sz="4" w:space="0" w:color="auto"/>
            </w:tcBorders>
            <w:vAlign w:val="center"/>
          </w:tcPr>
          <w:p w:rsidR="005D2CBC" w:rsidRDefault="005D2CBC">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IT systems should be updated without delay to ensure that interconnections between national and EU/international databases are established, allowing for a full check of arriving migrants against SIS II/Interpol STLD databases. </w:t>
            </w: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The Italian authorities </w:t>
            </w:r>
            <w:r>
              <w:rPr>
                <w:rFonts w:ascii="Times New Roman" w:hAnsi="Times New Roman" w:cs="Times New Roman"/>
                <w:noProof/>
                <w:sz w:val="20"/>
                <w:szCs w:val="20"/>
              </w:rPr>
              <w:t>provided clarifications insofar as taken fingerprints are systematically checked by forensic police staff against the national AFIS (Automated Fingerprint Identification System) and against Eurodac. In  case of migrants carrying documents or of positive AF</w:t>
            </w:r>
            <w:r>
              <w:rPr>
                <w:rFonts w:ascii="Times New Roman" w:hAnsi="Times New Roman" w:cs="Times New Roman"/>
                <w:noProof/>
                <w:sz w:val="20"/>
                <w:szCs w:val="20"/>
              </w:rPr>
              <w:t>IS/Eurodac hits, nominal data is checked against the main IT police database, Sistema di Indagine (SDI). SDI is connected to SIS and Interpol databases. The Italian authorities will need to provide further information concerning the interconnection with th</w:t>
            </w:r>
            <w:r>
              <w:rPr>
                <w:rFonts w:ascii="Times New Roman" w:hAnsi="Times New Roman" w:cs="Times New Roman"/>
                <w:noProof/>
                <w:sz w:val="20"/>
                <w:szCs w:val="20"/>
              </w:rPr>
              <w:t>e Interpol database.</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 xml:space="preserve">X  Interconnection between databases is still limited. In particular there is no direct and automatic connection between the registration process (foglio notizie) and the SIS, Europol and Interpol databases. This should be established </w:t>
            </w:r>
            <w:r>
              <w:rPr>
                <w:rFonts w:ascii="Times New Roman" w:hAnsi="Times New Roman" w:cs="Times New Roman"/>
                <w:noProof/>
                <w:sz w:val="20"/>
                <w:szCs w:val="20"/>
              </w:rPr>
              <w:t>as a matter of priority in order to allow systematic checks.</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The Italian authorities need to ensure that systematic checks of arriving migrants against existing databases at national, European and international level are conducted (for fingerprints: aga</w:t>
            </w:r>
            <w:r>
              <w:rPr>
                <w:rFonts w:ascii="Times New Roman" w:hAnsi="Times New Roman" w:cs="Times New Roman"/>
                <w:noProof/>
                <w:sz w:val="20"/>
                <w:szCs w:val="20"/>
              </w:rPr>
              <w:t>inst AFIS and Eurodac, for nominal data: against SDI, SIS and Interpol databases).</w:t>
            </w:r>
          </w:p>
          <w:p w:rsidR="005D2CBC" w:rsidRDefault="005D2CBC">
            <w:pPr>
              <w:ind w:left="292" w:hanging="290"/>
              <w:rPr>
                <w:rFonts w:ascii="Times New Roman" w:hAnsi="Times New Roman" w:cs="Times New Roman"/>
                <w:noProof/>
                <w:sz w:val="20"/>
                <w:szCs w:val="20"/>
              </w:rPr>
            </w:pPr>
          </w:p>
        </w:tc>
      </w:tr>
      <w:tr w:rsidR="005D2CBC">
        <w:trPr>
          <w:trHeight w:val="830"/>
        </w:trPr>
        <w:tc>
          <w:tcPr>
            <w:tcW w:w="1652" w:type="dxa"/>
            <w:vMerge/>
            <w:tcBorders>
              <w:left w:val="single" w:sz="4" w:space="0" w:color="auto"/>
              <w:right w:val="single" w:sz="4" w:space="0" w:color="auto"/>
            </w:tcBorders>
            <w:vAlign w:val="center"/>
          </w:tcPr>
          <w:p w:rsidR="005D2CBC" w:rsidRDefault="005D2CBC">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sz w:val="20"/>
                <w:szCs w:val="20"/>
                <w:lang w:eastAsia="en-GB"/>
              </w:rPr>
            </w:pPr>
            <w:r>
              <w:rPr>
                <w:rFonts w:ascii="Times New Roman" w:hAnsi="Times New Roman" w:cs="Times New Roman"/>
                <w:noProof/>
                <w:sz w:val="20"/>
                <w:szCs w:val="20"/>
                <w:lang w:eastAsia="en-GB"/>
              </w:rPr>
              <w:t>The Italian authorities should continue improving their system of transfers from hotspot areas to the mainland, in particular by developing a system of air transportation</w:t>
            </w:r>
            <w:r>
              <w:rPr>
                <w:rFonts w:ascii="Times New Roman" w:hAnsi="Times New Roman" w:cs="Times New Roman"/>
                <w:noProof/>
                <w:sz w:val="20"/>
                <w:szCs w:val="20"/>
                <w:lang w:eastAsia="en-GB"/>
              </w:rPr>
              <w:t xml:space="preserve">. If necessary, this could be supported by the Asylum, Migration and Integration Fund (AMIF – national programme). </w:t>
            </w: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Tender procedure for plane transportation to be launched, review by IT procurement authority (CONSIP). The Italian authorities should ta</w:t>
            </w:r>
            <w:r>
              <w:rPr>
                <w:rFonts w:ascii="Times New Roman" w:hAnsi="Times New Roman" w:cs="Times New Roman"/>
                <w:noProof/>
                <w:sz w:val="20"/>
                <w:szCs w:val="20"/>
              </w:rPr>
              <w:t>ke action to swiftly finalise the procedure.</w:t>
            </w:r>
          </w:p>
          <w:p w:rsidR="005D2CBC" w:rsidRDefault="005D2CBC">
            <w:pPr>
              <w:ind w:left="151" w:firstLine="2"/>
              <w:rPr>
                <w:rFonts w:ascii="Times New Roman" w:hAnsi="Times New Roman" w:cs="Times New Roman"/>
                <w:noProof/>
                <w:sz w:val="20"/>
                <w:szCs w:val="20"/>
              </w:rPr>
            </w:pPr>
          </w:p>
          <w:p w:rsidR="005D2CBC" w:rsidRDefault="005D2CBC">
            <w:pPr>
              <w:ind w:left="151" w:firstLine="2"/>
              <w:rPr>
                <w:rFonts w:ascii="Times New Roman" w:hAnsi="Times New Roman" w:cs="Times New Roman"/>
                <w:noProof/>
                <w:sz w:val="20"/>
                <w:szCs w:val="20"/>
              </w:rPr>
            </w:pPr>
          </w:p>
        </w:tc>
      </w:tr>
      <w:tr w:rsidR="005D2CBC">
        <w:trPr>
          <w:trHeight w:val="218"/>
        </w:trPr>
        <w:tc>
          <w:tcPr>
            <w:tcW w:w="1652" w:type="dxa"/>
            <w:vMerge/>
            <w:tcBorders>
              <w:left w:val="single" w:sz="4" w:space="0" w:color="auto"/>
              <w:right w:val="single" w:sz="4" w:space="0" w:color="auto"/>
            </w:tcBorders>
            <w:vAlign w:val="center"/>
          </w:tcPr>
          <w:p w:rsidR="005D2CBC" w:rsidRDefault="005D2CBC">
            <w:pPr>
              <w:rPr>
                <w:rStyle w:val="Strong"/>
                <w:b w:val="0"/>
                <w:bCs w:val="0"/>
                <w:noProof/>
                <w:sz w:val="20"/>
                <w:szCs w:val="20"/>
              </w:rPr>
            </w:pPr>
          </w:p>
        </w:tc>
        <w:tc>
          <w:tcPr>
            <w:tcW w:w="7704" w:type="dxa"/>
            <w:gridSpan w:val="2"/>
            <w:tcBorders>
              <w:top w:val="single" w:sz="4" w:space="0" w:color="auto"/>
              <w:left w:val="single" w:sz="4" w:space="0" w:color="auto"/>
              <w:bottom w:val="single" w:sz="4" w:space="0" w:color="auto"/>
              <w:right w:val="single" w:sz="4" w:space="0" w:color="auto"/>
            </w:tcBorders>
          </w:tcPr>
          <w:p w:rsidR="005D2CBC" w:rsidRDefault="008175EC">
            <w:pPr>
              <w:ind w:left="151" w:firstLine="2"/>
              <w:rPr>
                <w:rFonts w:ascii="Times New Roman" w:hAnsi="Times New Roman" w:cs="Times New Roman"/>
                <w:i/>
                <w:noProof/>
                <w:sz w:val="20"/>
                <w:szCs w:val="20"/>
              </w:rPr>
            </w:pPr>
            <w:r>
              <w:rPr>
                <w:rFonts w:ascii="Times New Roman" w:hAnsi="Times New Roman" w:cs="Times New Roman"/>
                <w:i/>
                <w:noProof/>
                <w:sz w:val="20"/>
                <w:szCs w:val="20"/>
              </w:rPr>
              <w:t>Additional measures identified after the adoption of the Communication in December</w:t>
            </w:r>
          </w:p>
        </w:tc>
      </w:tr>
      <w:tr w:rsidR="005D2CBC">
        <w:trPr>
          <w:trHeight w:val="830"/>
        </w:trPr>
        <w:tc>
          <w:tcPr>
            <w:tcW w:w="1652" w:type="dxa"/>
            <w:vMerge/>
            <w:tcBorders>
              <w:left w:val="single" w:sz="4" w:space="0" w:color="auto"/>
              <w:right w:val="single" w:sz="4" w:space="0" w:color="auto"/>
            </w:tcBorders>
            <w:vAlign w:val="center"/>
          </w:tcPr>
          <w:p w:rsidR="005D2CBC" w:rsidRDefault="005D2CBC">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rPr>
                <w:rFonts w:ascii="Times New Roman" w:hAnsi="Times New Roman" w:cs="Times New Roman"/>
                <w:noProof/>
                <w:sz w:val="20"/>
                <w:szCs w:val="20"/>
              </w:rPr>
            </w:pPr>
            <w:r>
              <w:rPr>
                <w:rFonts w:ascii="Times New Roman" w:hAnsi="Times New Roman" w:cs="Times New Roman"/>
                <w:noProof/>
                <w:sz w:val="20"/>
                <w:szCs w:val="20"/>
              </w:rPr>
              <w:t xml:space="preserve">Need to assess needs and develop a dedicated workflow to identify and adequately host unaccompanied minors and other </w:t>
            </w:r>
            <w:r>
              <w:rPr>
                <w:rFonts w:ascii="Times New Roman" w:hAnsi="Times New Roman" w:cs="Times New Roman"/>
                <w:noProof/>
                <w:sz w:val="20"/>
                <w:szCs w:val="20"/>
              </w:rPr>
              <w:t xml:space="preserve">vulnerable after disembarkations waiting to be </w:t>
            </w:r>
            <w:r>
              <w:rPr>
                <w:rFonts w:ascii="Times New Roman" w:hAnsi="Times New Roman" w:cs="Times New Roman"/>
                <w:noProof/>
                <w:sz w:val="20"/>
                <w:szCs w:val="20"/>
              </w:rPr>
              <w:lastRenderedPageBreak/>
              <w:t>channelled through  dedicated reception centres and procedures.</w:t>
            </w: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lastRenderedPageBreak/>
              <w:t>X</w:t>
            </w:r>
            <w:r>
              <w:rPr>
                <w:rFonts w:ascii="Times New Roman" w:eastAsia="Times New Roman" w:hAnsi="Times New Roman" w:cs="Times New Roman"/>
                <w:noProof/>
                <w:color w:val="000000"/>
                <w:sz w:val="20"/>
                <w:szCs w:val="20"/>
                <w:lang w:eastAsia="en-GB"/>
              </w:rPr>
              <w:t xml:space="preserve">  </w:t>
            </w:r>
            <w:r>
              <w:rPr>
                <w:rFonts w:ascii="Times New Roman" w:hAnsi="Times New Roman" w:cs="Times New Roman"/>
                <w:noProof/>
                <w:sz w:val="20"/>
                <w:szCs w:val="20"/>
              </w:rPr>
              <w:t xml:space="preserve">Dedicated assistance, facilities and trained staff should be made available in all hotspots to cater for the need of minors and vulnerable groups. </w:t>
            </w:r>
          </w:p>
          <w:p w:rsidR="005D2CBC" w:rsidRDefault="005D2CBC">
            <w:pPr>
              <w:pStyle w:val="ListParagraph"/>
              <w:ind w:left="151" w:firstLine="2"/>
              <w:rPr>
                <w:rFonts w:ascii="Times New Roman" w:hAnsi="Times New Roman" w:cs="Times New Roman"/>
                <w:noProof/>
                <w:sz w:val="20"/>
                <w:szCs w:val="20"/>
              </w:rPr>
            </w:pPr>
          </w:p>
        </w:tc>
      </w:tr>
      <w:tr w:rsidR="005D2CBC">
        <w:trPr>
          <w:trHeight w:val="830"/>
        </w:trPr>
        <w:tc>
          <w:tcPr>
            <w:tcW w:w="1652" w:type="dxa"/>
            <w:vMerge/>
            <w:tcBorders>
              <w:left w:val="single" w:sz="4" w:space="0" w:color="auto"/>
              <w:right w:val="single" w:sz="4" w:space="0" w:color="auto"/>
            </w:tcBorders>
            <w:vAlign w:val="center"/>
          </w:tcPr>
          <w:p w:rsidR="005D2CBC" w:rsidRDefault="005D2CBC">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rPr>
                <w:rFonts w:ascii="Times New Roman" w:hAnsi="Times New Roman" w:cs="Times New Roman"/>
                <w:noProof/>
                <w:sz w:val="20"/>
                <w:szCs w:val="20"/>
              </w:rPr>
            </w:pPr>
            <w:r>
              <w:rPr>
                <w:rFonts w:ascii="Times New Roman" w:hAnsi="Times New Roman" w:cs="Times New Roman"/>
                <w:noProof/>
                <w:sz w:val="20"/>
                <w:szCs w:val="20"/>
              </w:rPr>
              <w:t xml:space="preserve">Considering that some disembarkation will continue to take place outside hotspot locations due to causes </w:t>
            </w:r>
            <w:r>
              <w:rPr>
                <w:rFonts w:ascii="Times New Roman" w:hAnsi="Times New Roman" w:cs="Times New Roman"/>
                <w:noProof/>
                <w:sz w:val="20"/>
                <w:szCs w:val="20"/>
              </w:rPr>
              <w:t>of force majeure/sea conditions there is a need to ensure mobile disembarkation and registration procedures.</w:t>
            </w: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pStyle w:val="Default"/>
              <w:ind w:left="292" w:hanging="290"/>
              <w:rPr>
                <w:noProof/>
                <w:sz w:val="20"/>
                <w:szCs w:val="20"/>
              </w:rPr>
            </w:pPr>
            <w:r>
              <w:rPr>
                <w:noProof/>
                <w:sz w:val="20"/>
                <w:szCs w:val="20"/>
              </w:rPr>
              <w:t xml:space="preserve">X  To handle the continued disembarkations outside opened or designated hotspot locations, agreement was reached in January between Italy and the </w:t>
            </w:r>
            <w:r>
              <w:rPr>
                <w:noProof/>
                <w:sz w:val="20"/>
                <w:szCs w:val="20"/>
              </w:rPr>
              <w:t>Commission to establish a mobile hotspot team. The agreement should be swiftly reached at technical level and Italy needs to make provisions for available staff and mobile AFIS equipment allowing for direct taking and verification of fingerprints in disemb</w:t>
            </w:r>
            <w:r>
              <w:rPr>
                <w:noProof/>
                <w:sz w:val="20"/>
                <w:szCs w:val="20"/>
              </w:rPr>
              <w:t>arkation sites. The mobile hotspot team should be operational by mid March.</w:t>
            </w:r>
          </w:p>
          <w:p w:rsidR="005D2CBC" w:rsidRDefault="005D2CBC">
            <w:pPr>
              <w:pStyle w:val="Default"/>
              <w:ind w:left="151" w:firstLine="2"/>
              <w:rPr>
                <w:noProof/>
                <w:sz w:val="20"/>
                <w:szCs w:val="20"/>
              </w:rPr>
            </w:pPr>
          </w:p>
        </w:tc>
      </w:tr>
      <w:tr w:rsidR="005D2CBC">
        <w:trPr>
          <w:trHeight w:val="830"/>
        </w:trPr>
        <w:tc>
          <w:tcPr>
            <w:tcW w:w="1652" w:type="dxa"/>
            <w:vMerge/>
            <w:tcBorders>
              <w:left w:val="single" w:sz="4" w:space="0" w:color="auto"/>
              <w:bottom w:val="single" w:sz="4" w:space="0" w:color="auto"/>
              <w:right w:val="single" w:sz="4" w:space="0" w:color="auto"/>
            </w:tcBorders>
            <w:vAlign w:val="center"/>
          </w:tcPr>
          <w:p w:rsidR="005D2CBC" w:rsidRDefault="005D2CBC">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rPr>
                <w:rFonts w:ascii="Times New Roman" w:hAnsi="Times New Roman" w:cs="Times New Roman"/>
                <w:noProof/>
                <w:sz w:val="20"/>
                <w:szCs w:val="20"/>
              </w:rPr>
            </w:pPr>
            <w:r>
              <w:rPr>
                <w:rFonts w:ascii="Times New Roman" w:hAnsi="Times New Roman" w:cs="Times New Roman"/>
                <w:noProof/>
                <w:sz w:val="20"/>
                <w:szCs w:val="20"/>
              </w:rPr>
              <w:t xml:space="preserve">Italian Authorities should assess whether further upgrades of the hotspot facilities are necessary in view of the summer period. </w:t>
            </w: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pStyle w:val="Default"/>
              <w:ind w:left="292" w:hanging="290"/>
              <w:rPr>
                <w:noProof/>
                <w:sz w:val="20"/>
                <w:szCs w:val="20"/>
              </w:rPr>
            </w:pPr>
            <w:r>
              <w:rPr>
                <w:noProof/>
                <w:sz w:val="20"/>
                <w:szCs w:val="20"/>
              </w:rPr>
              <w:t xml:space="preserve">X  A set of joint visits by the Italian </w:t>
            </w:r>
            <w:r>
              <w:rPr>
                <w:noProof/>
                <w:sz w:val="20"/>
                <w:szCs w:val="20"/>
              </w:rPr>
              <w:t>authorities, the Commission and relevant agencies should be undertaken to detail any additional needs in order to strengthen the processing capacity of the hotspots in view of the summer months.</w:t>
            </w:r>
          </w:p>
          <w:p w:rsidR="005D2CBC" w:rsidRDefault="005D2CBC">
            <w:pPr>
              <w:pStyle w:val="Default"/>
              <w:ind w:left="151" w:firstLine="2"/>
              <w:rPr>
                <w:noProof/>
                <w:sz w:val="20"/>
                <w:szCs w:val="20"/>
              </w:rPr>
            </w:pPr>
          </w:p>
        </w:tc>
      </w:tr>
      <w:tr w:rsidR="005D2CBC">
        <w:tc>
          <w:tcPr>
            <w:tcW w:w="1652" w:type="dxa"/>
            <w:vMerge w:val="restart"/>
            <w:tcBorders>
              <w:top w:val="single" w:sz="4" w:space="0" w:color="auto"/>
              <w:left w:val="single" w:sz="4" w:space="0" w:color="auto"/>
              <w:right w:val="single" w:sz="4" w:space="0" w:color="auto"/>
            </w:tcBorders>
            <w:hideMark/>
          </w:tcPr>
          <w:p w:rsidR="005D2CBC" w:rsidRDefault="008175EC">
            <w:pPr>
              <w:pStyle w:val="NormalWeb"/>
              <w:spacing w:before="0" w:beforeAutospacing="0" w:after="0" w:afterAutospacing="0"/>
              <w:rPr>
                <w:rStyle w:val="Strong"/>
                <w:b w:val="0"/>
                <w:bCs w:val="0"/>
                <w:noProof/>
                <w:sz w:val="20"/>
                <w:szCs w:val="20"/>
                <w:lang w:eastAsia="en-US"/>
              </w:rPr>
            </w:pPr>
            <w:r>
              <w:rPr>
                <w:rFonts w:eastAsiaTheme="minorHAnsi"/>
                <w:b/>
                <w:smallCaps/>
                <w:noProof/>
                <w:sz w:val="20"/>
                <w:szCs w:val="20"/>
                <w:lang w:eastAsia="en-US"/>
              </w:rPr>
              <w:t>Relocation</w:t>
            </w: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In order to avoid confusion in the provision of </w:t>
            </w:r>
            <w:r>
              <w:rPr>
                <w:rFonts w:ascii="Times New Roman" w:hAnsi="Times New Roman" w:cs="Times New Roman"/>
                <w:noProof/>
                <w:color w:val="000000"/>
                <w:sz w:val="20"/>
                <w:szCs w:val="20"/>
                <w:lang w:eastAsia="en-GB"/>
              </w:rPr>
              <w:t xml:space="preserve">information about their rights and obligations, a common narrative to inform migrants is currently being produced for all players involved in the hotspot and relocation process. </w:t>
            </w: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hideMark/>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An information leaflet on relocation has been produced by EASO in coopera</w:t>
            </w:r>
            <w:r>
              <w:rPr>
                <w:rFonts w:ascii="Times New Roman" w:hAnsi="Times New Roman" w:cs="Times New Roman"/>
                <w:noProof/>
                <w:sz w:val="20"/>
                <w:szCs w:val="20"/>
              </w:rPr>
              <w:t>tion with the Commission and published in January 2016. Work is ongoing to expand the current leaflet with more detailed information on relocation.</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A short information video on relocation has been produced by EASO in 2015. Work is ongoing to produce oth</w:t>
            </w:r>
            <w:r>
              <w:rPr>
                <w:rFonts w:ascii="Times New Roman" w:hAnsi="Times New Roman" w:cs="Times New Roman"/>
                <w:noProof/>
                <w:sz w:val="20"/>
                <w:szCs w:val="20"/>
              </w:rPr>
              <w:t>er videomaterial to provide information and explanations on the relocation process.</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Work is being finalised on a common script with procedural and operational steps of the relocation process for the benefit of operators in the relocation process. </w:t>
            </w:r>
          </w:p>
          <w:p w:rsidR="005D2CBC" w:rsidRDefault="005D2CBC">
            <w:pPr>
              <w:ind w:left="151" w:firstLine="2"/>
              <w:rPr>
                <w:rFonts w:ascii="Times New Roman" w:hAnsi="Times New Roman" w:cs="Times New Roman"/>
                <w:noProof/>
                <w:sz w:val="20"/>
                <w:szCs w:val="20"/>
                <w:highlight w:val="yellow"/>
              </w:rPr>
            </w:pPr>
          </w:p>
        </w:tc>
      </w:tr>
      <w:tr w:rsidR="005D2CBC">
        <w:tc>
          <w:tcPr>
            <w:tcW w:w="1652" w:type="dxa"/>
            <w:vMerge/>
            <w:tcBorders>
              <w:left w:val="single" w:sz="4" w:space="0" w:color="auto"/>
              <w:right w:val="single" w:sz="4" w:space="0" w:color="auto"/>
            </w:tcBorders>
          </w:tcPr>
          <w:p w:rsidR="005D2CBC" w:rsidRDefault="005D2CBC">
            <w:pPr>
              <w:pStyle w:val="NormalWeb"/>
              <w:spacing w:before="0" w:beforeAutospacing="0" w:after="0" w:afterAutospacing="0"/>
              <w:rPr>
                <w:rFonts w:eastAsiaTheme="minorHAnsi"/>
                <w:b/>
                <w:smallCaps/>
                <w:noProof/>
                <w:sz w:val="20"/>
                <w:szCs w:val="20"/>
                <w:lang w:eastAsia="en-US"/>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The Italian authorities should develop early 2016 a dedicated workflow to allow the transfer of unaccompanied minors under the relocation scheme. </w:t>
            </w: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pStyle w:val="Default"/>
              <w:ind w:left="292" w:hanging="290"/>
              <w:rPr>
                <w:noProof/>
                <w:sz w:val="20"/>
                <w:szCs w:val="20"/>
                <w:highlight w:val="yellow"/>
              </w:rPr>
            </w:pPr>
            <w:r>
              <w:rPr>
                <w:noProof/>
                <w:sz w:val="20"/>
                <w:szCs w:val="20"/>
              </w:rPr>
              <w:t>X  No procedure is currently in place for the transfer of unaccompanied minors under the Council Decision on</w:t>
            </w:r>
            <w:r>
              <w:rPr>
                <w:noProof/>
                <w:sz w:val="20"/>
                <w:szCs w:val="20"/>
              </w:rPr>
              <w:t xml:space="preserve"> Relocation.  </w:t>
            </w:r>
          </w:p>
        </w:tc>
      </w:tr>
      <w:tr w:rsidR="005D2CBC">
        <w:tc>
          <w:tcPr>
            <w:tcW w:w="1652" w:type="dxa"/>
            <w:vMerge/>
            <w:tcBorders>
              <w:left w:val="single" w:sz="4" w:space="0" w:color="auto"/>
              <w:right w:val="single" w:sz="4" w:space="0" w:color="auto"/>
            </w:tcBorders>
          </w:tcPr>
          <w:p w:rsidR="005D2CBC" w:rsidRDefault="005D2CBC">
            <w:pPr>
              <w:pStyle w:val="NormalWeb"/>
              <w:spacing w:before="0" w:beforeAutospacing="0" w:after="0" w:afterAutospacing="0"/>
              <w:rPr>
                <w:rFonts w:eastAsiaTheme="minorHAnsi"/>
                <w:b/>
                <w:smallCaps/>
                <w:noProof/>
                <w:sz w:val="20"/>
                <w:szCs w:val="20"/>
                <w:lang w:eastAsia="en-US"/>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EASO should swiftly deploy cultural mediators alongside its teams in order to increase the impact of its deployments and not rely on national authorities.</w:t>
            </w: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highlight w:val="yellow"/>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EASO is finalising the procurement procedures for the deployment of EASO cultural mediators in Italy.</w:t>
            </w:r>
          </w:p>
        </w:tc>
      </w:tr>
      <w:tr w:rsidR="005D2CBC">
        <w:tc>
          <w:tcPr>
            <w:tcW w:w="1652" w:type="dxa"/>
            <w:vMerge/>
            <w:tcBorders>
              <w:left w:val="single" w:sz="4" w:space="0" w:color="auto"/>
              <w:right w:val="single" w:sz="4" w:space="0" w:color="auto"/>
            </w:tcBorders>
          </w:tcPr>
          <w:p w:rsidR="005D2CBC" w:rsidRDefault="005D2CBC">
            <w:pPr>
              <w:pStyle w:val="NormalWeb"/>
              <w:spacing w:before="0" w:beforeAutospacing="0" w:after="0" w:afterAutospacing="0"/>
              <w:rPr>
                <w:rFonts w:eastAsiaTheme="minorHAnsi"/>
                <w:b/>
                <w:smallCaps/>
                <w:noProof/>
                <w:sz w:val="20"/>
                <w:szCs w:val="20"/>
                <w:lang w:eastAsia="en-US"/>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Member States should substantially reduce the response time to relocation applications submitted by the Italian authorities. </w:t>
            </w: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Response time remain</w:t>
            </w:r>
            <w:r>
              <w:rPr>
                <w:rFonts w:ascii="Times New Roman" w:hAnsi="Times New Roman" w:cs="Times New Roman"/>
                <w:noProof/>
                <w:sz w:val="20"/>
                <w:szCs w:val="20"/>
              </w:rPr>
              <w:t>s too long, reducing the efficiency and effectiveness of the relocation process.</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The Italian authorities should submit a clarification to MS liaison officers concerning the security procedures in place in the hotspots in order to reduce the need for fur</w:t>
            </w:r>
            <w:r>
              <w:rPr>
                <w:rFonts w:ascii="Times New Roman" w:hAnsi="Times New Roman" w:cs="Times New Roman"/>
                <w:noProof/>
                <w:sz w:val="20"/>
                <w:szCs w:val="20"/>
              </w:rPr>
              <w:t>ther security checks.</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Member States should provide feedback to the Italian authorities when cases of national security or exclusion are invoked to reject relocation candidates in order to ensure appropriate treatment by the Italian authorities. Italy sh</w:t>
            </w:r>
            <w:r>
              <w:rPr>
                <w:rFonts w:ascii="Times New Roman" w:hAnsi="Times New Roman" w:cs="Times New Roman"/>
                <w:noProof/>
                <w:sz w:val="20"/>
                <w:szCs w:val="20"/>
              </w:rPr>
              <w:t xml:space="preserve">ould communicate to Member States a contact point authorised to </w:t>
            </w:r>
            <w:r>
              <w:rPr>
                <w:rFonts w:ascii="Times New Roman" w:hAnsi="Times New Roman" w:cs="Times New Roman"/>
                <w:noProof/>
                <w:sz w:val="20"/>
                <w:szCs w:val="20"/>
              </w:rPr>
              <w:lastRenderedPageBreak/>
              <w:t>receive such information.</w:t>
            </w:r>
          </w:p>
          <w:p w:rsidR="005D2CBC" w:rsidRDefault="005D2CBC">
            <w:pPr>
              <w:ind w:left="151" w:firstLine="2"/>
              <w:rPr>
                <w:rFonts w:ascii="Times New Roman" w:hAnsi="Times New Roman" w:cs="Times New Roman"/>
                <w:noProof/>
                <w:sz w:val="20"/>
                <w:szCs w:val="20"/>
                <w:highlight w:val="yellow"/>
              </w:rPr>
            </w:pPr>
          </w:p>
        </w:tc>
      </w:tr>
      <w:tr w:rsidR="005D2CBC">
        <w:tc>
          <w:tcPr>
            <w:tcW w:w="1652" w:type="dxa"/>
            <w:vMerge/>
            <w:tcBorders>
              <w:left w:val="single" w:sz="4" w:space="0" w:color="auto"/>
              <w:right w:val="single" w:sz="4" w:space="0" w:color="auto"/>
            </w:tcBorders>
          </w:tcPr>
          <w:p w:rsidR="005D2CBC" w:rsidRDefault="005D2CBC">
            <w:pPr>
              <w:pStyle w:val="NormalWeb"/>
              <w:spacing w:before="0" w:beforeAutospacing="0" w:after="0" w:afterAutospacing="0"/>
              <w:rPr>
                <w:rFonts w:eastAsiaTheme="minorHAnsi"/>
                <w:b/>
                <w:smallCaps/>
                <w:noProof/>
                <w:sz w:val="20"/>
                <w:szCs w:val="20"/>
                <w:lang w:eastAsia="en-US"/>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5D2CBC" w:rsidRDefault="008175EC">
            <w:pPr>
              <w:autoSpaceDE w:val="0"/>
              <w:autoSpaceDN w:val="0"/>
              <w:adjustRightInd w:val="0"/>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Member States should further increase their pledges under the relocation programme and extend the validity of the pledges already made to take into account the current low level of arrivals in Italy. </w:t>
            </w:r>
          </w:p>
          <w:p w:rsidR="005D2CBC" w:rsidRDefault="005D2CBC">
            <w:pPr>
              <w:autoSpaceDE w:val="0"/>
              <w:autoSpaceDN w:val="0"/>
              <w:adjustRightInd w:val="0"/>
              <w:rPr>
                <w:rFonts w:ascii="Times New Roman" w:hAnsi="Times New Roman" w:cs="Times New Roman"/>
                <w:i/>
                <w:noProof/>
                <w:color w:val="000000"/>
                <w:sz w:val="20"/>
                <w:szCs w:val="20"/>
                <w:lang w:eastAsia="en-GB"/>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rsidR="005D2CBC" w:rsidRDefault="008175EC">
            <w:pPr>
              <w:ind w:left="289" w:hanging="289"/>
              <w:rPr>
                <w:rFonts w:ascii="Times New Roman" w:hAnsi="Times New Roman" w:cs="Times New Roman"/>
                <w:noProof/>
                <w:sz w:val="20"/>
                <w:szCs w:val="20"/>
              </w:rPr>
            </w:pPr>
            <w:r>
              <w:rPr>
                <w:rFonts w:ascii="Times New Roman" w:hAnsi="Times New Roman" w:cs="Times New Roman"/>
                <w:noProof/>
                <w:sz w:val="20"/>
                <w:szCs w:val="20"/>
              </w:rPr>
              <w:t>X  Insufficient pledges and numbers relocated (See Ann</w:t>
            </w:r>
            <w:r>
              <w:rPr>
                <w:rFonts w:ascii="Times New Roman" w:hAnsi="Times New Roman" w:cs="Times New Roman"/>
                <w:noProof/>
                <w:sz w:val="20"/>
                <w:szCs w:val="20"/>
              </w:rPr>
              <w:t xml:space="preserve">ex 4) </w:t>
            </w:r>
          </w:p>
          <w:p w:rsidR="005D2CBC" w:rsidRDefault="008175EC">
            <w:pPr>
              <w:ind w:left="289" w:hanging="289"/>
              <w:rPr>
                <w:rFonts w:ascii="Times New Roman" w:hAnsi="Times New Roman" w:cs="Times New Roman"/>
                <w:noProof/>
                <w:sz w:val="20"/>
                <w:szCs w:val="20"/>
              </w:rPr>
            </w:pPr>
            <w:r>
              <w:rPr>
                <w:rFonts w:ascii="Times New Roman" w:hAnsi="Times New Roman" w:cs="Times New Roman"/>
                <w:noProof/>
                <w:sz w:val="20"/>
                <w:szCs w:val="20"/>
              </w:rPr>
              <w:t>X  Member States which have submitted pledges should extend the validity of pledges already made to take into account seasonal levels of arrivals in Italy.</w:t>
            </w:r>
          </w:p>
        </w:tc>
      </w:tr>
      <w:tr w:rsidR="005D2CBC">
        <w:tc>
          <w:tcPr>
            <w:tcW w:w="1652" w:type="dxa"/>
            <w:vMerge/>
            <w:tcBorders>
              <w:left w:val="single" w:sz="4" w:space="0" w:color="auto"/>
              <w:right w:val="single" w:sz="4" w:space="0" w:color="auto"/>
            </w:tcBorders>
          </w:tcPr>
          <w:p w:rsidR="005D2CBC" w:rsidRDefault="005D2CBC">
            <w:pPr>
              <w:pStyle w:val="NormalWeb"/>
              <w:spacing w:before="0" w:beforeAutospacing="0" w:after="0" w:afterAutospacing="0"/>
              <w:rPr>
                <w:rFonts w:eastAsiaTheme="minorHAnsi"/>
                <w:b/>
                <w:smallCaps/>
                <w:noProof/>
                <w:sz w:val="20"/>
                <w:szCs w:val="20"/>
                <w:lang w:eastAsia="en-US"/>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5D2CBC" w:rsidRDefault="008175EC">
            <w:pPr>
              <w:autoSpaceDE w:val="0"/>
              <w:autoSpaceDN w:val="0"/>
              <w:adjustRightInd w:val="0"/>
              <w:spacing w:after="200"/>
              <w:rPr>
                <w:rFonts w:ascii="Times New Roman" w:hAnsi="Times New Roman" w:cs="Times New Roman"/>
                <w:noProof/>
                <w:color w:val="000000"/>
                <w:sz w:val="20"/>
                <w:szCs w:val="20"/>
                <w:bdr w:val="none" w:sz="0" w:space="0" w:color="auto"/>
              </w:rPr>
            </w:pPr>
            <w:r>
              <w:rPr>
                <w:rFonts w:ascii="Times New Roman" w:hAnsi="Times New Roman" w:cs="Times New Roman"/>
                <w:noProof/>
                <w:color w:val="000000"/>
                <w:sz w:val="20"/>
                <w:szCs w:val="20"/>
              </w:rPr>
              <w:t xml:space="preserve">The relocation process should be further optimised on the basis of the recommendations on the working group and the results of the Relocation forum of 16 December 2015. </w:t>
            </w:r>
          </w:p>
        </w:tc>
        <w:tc>
          <w:tcPr>
            <w:tcW w:w="4653" w:type="dxa"/>
            <w:tcBorders>
              <w:top w:val="single" w:sz="4" w:space="0" w:color="auto"/>
              <w:left w:val="single" w:sz="4" w:space="0" w:color="auto"/>
              <w:bottom w:val="single" w:sz="4" w:space="0" w:color="auto"/>
              <w:right w:val="single" w:sz="4" w:space="0" w:color="auto"/>
            </w:tcBorders>
            <w:shd w:val="clear" w:color="auto" w:fill="auto"/>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The relocation process needs to be further optimised on the basis of clarifications</w:t>
            </w:r>
            <w:r>
              <w:rPr>
                <w:rFonts w:ascii="Times New Roman" w:hAnsi="Times New Roman" w:cs="Times New Roman"/>
                <w:noProof/>
                <w:sz w:val="20"/>
                <w:szCs w:val="20"/>
              </w:rPr>
              <w:t xml:space="preserve"> provided by the Commission and discussions in the relevent working groups and fora.</w:t>
            </w:r>
          </w:p>
        </w:tc>
      </w:tr>
      <w:tr w:rsidR="005D2CBC">
        <w:tc>
          <w:tcPr>
            <w:tcW w:w="1652" w:type="dxa"/>
            <w:vMerge/>
            <w:tcBorders>
              <w:left w:val="single" w:sz="4" w:space="0" w:color="auto"/>
              <w:right w:val="single" w:sz="4" w:space="0" w:color="auto"/>
            </w:tcBorders>
          </w:tcPr>
          <w:p w:rsidR="005D2CBC" w:rsidRDefault="005D2CBC">
            <w:pPr>
              <w:pStyle w:val="NormalWeb"/>
              <w:spacing w:before="0" w:beforeAutospacing="0" w:after="0" w:afterAutospacing="0"/>
              <w:rPr>
                <w:rFonts w:eastAsiaTheme="minorHAnsi"/>
                <w:b/>
                <w:smallCaps/>
                <w:noProof/>
                <w:sz w:val="20"/>
                <w:szCs w:val="20"/>
                <w:lang w:eastAsia="en-US"/>
              </w:rPr>
            </w:pPr>
          </w:p>
        </w:tc>
        <w:tc>
          <w:tcPr>
            <w:tcW w:w="7704" w:type="dxa"/>
            <w:gridSpan w:val="2"/>
            <w:tcBorders>
              <w:top w:val="single" w:sz="4" w:space="0" w:color="auto"/>
              <w:left w:val="single" w:sz="4" w:space="0" w:color="auto"/>
              <w:bottom w:val="single" w:sz="4" w:space="0" w:color="auto"/>
              <w:right w:val="single" w:sz="4" w:space="0" w:color="auto"/>
            </w:tcBorders>
          </w:tcPr>
          <w:p w:rsidR="005D2CBC" w:rsidRDefault="008175EC">
            <w:pPr>
              <w:ind w:left="151" w:firstLine="2"/>
              <w:rPr>
                <w:rFonts w:ascii="Times New Roman" w:hAnsi="Times New Roman" w:cs="Times New Roman"/>
                <w:noProof/>
                <w:sz w:val="20"/>
                <w:szCs w:val="20"/>
              </w:rPr>
            </w:pPr>
            <w:r>
              <w:rPr>
                <w:rFonts w:ascii="Times New Roman" w:hAnsi="Times New Roman" w:cs="Times New Roman"/>
                <w:i/>
                <w:noProof/>
                <w:sz w:val="20"/>
                <w:szCs w:val="20"/>
              </w:rPr>
              <w:t>Additional measures identified after the adoption of the Communication in December</w:t>
            </w:r>
          </w:p>
        </w:tc>
      </w:tr>
      <w:tr w:rsidR="005D2CBC">
        <w:tc>
          <w:tcPr>
            <w:tcW w:w="1652" w:type="dxa"/>
            <w:vMerge/>
            <w:tcBorders>
              <w:left w:val="single" w:sz="4" w:space="0" w:color="auto"/>
              <w:right w:val="single" w:sz="4" w:space="0" w:color="auto"/>
            </w:tcBorders>
          </w:tcPr>
          <w:p w:rsidR="005D2CBC" w:rsidRDefault="005D2CBC">
            <w:pPr>
              <w:pStyle w:val="NormalWeb"/>
              <w:spacing w:before="0" w:beforeAutospacing="0" w:after="0" w:afterAutospacing="0"/>
              <w:rPr>
                <w:rFonts w:eastAsiaTheme="minorHAnsi"/>
                <w:b/>
                <w:smallCaps/>
                <w:noProof/>
                <w:sz w:val="20"/>
                <w:szCs w:val="20"/>
                <w:lang w:eastAsia="en-US"/>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pStyle w:val="NormalWeb"/>
              <w:spacing w:before="0" w:beforeAutospacing="0" w:after="0" w:afterAutospacing="0"/>
              <w:rPr>
                <w:noProof/>
                <w:sz w:val="20"/>
                <w:szCs w:val="20"/>
                <w:highlight w:val="yellow"/>
                <w:lang w:eastAsia="en-US"/>
              </w:rPr>
            </w:pPr>
            <w:r>
              <w:rPr>
                <w:noProof/>
                <w:color w:val="000000"/>
                <w:sz w:val="20"/>
                <w:szCs w:val="20"/>
              </w:rPr>
              <w:t xml:space="preserve">Some Member States have invoked criteria other than those foreseen in the Council Decision to reject relocation files. </w:t>
            </w: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Member States should strictly apply the criteria foreseen under the Council Decision when rejecting relocation applications. In parti</w:t>
            </w:r>
            <w:r>
              <w:rPr>
                <w:rFonts w:ascii="Times New Roman" w:hAnsi="Times New Roman" w:cs="Times New Roman"/>
                <w:noProof/>
                <w:sz w:val="20"/>
                <w:szCs w:val="20"/>
              </w:rPr>
              <w:t xml:space="preserve">cular relocation applications should not be rejected for reasons linked to the preferences expressed by the Member State concerning the profiles of the applicants to be relocated. </w:t>
            </w:r>
          </w:p>
          <w:p w:rsidR="005D2CBC" w:rsidRDefault="005D2CBC">
            <w:pPr>
              <w:ind w:left="151" w:firstLine="2"/>
              <w:rPr>
                <w:rFonts w:ascii="Times New Roman" w:hAnsi="Times New Roman" w:cs="Times New Roman"/>
                <w:noProof/>
                <w:sz w:val="20"/>
                <w:szCs w:val="20"/>
                <w:highlight w:val="yellow"/>
              </w:rPr>
            </w:pPr>
          </w:p>
        </w:tc>
      </w:tr>
      <w:tr w:rsidR="005D2CBC">
        <w:trPr>
          <w:trHeight w:val="385"/>
        </w:trPr>
        <w:tc>
          <w:tcPr>
            <w:tcW w:w="1652" w:type="dxa"/>
            <w:vMerge w:val="restart"/>
            <w:tcBorders>
              <w:top w:val="single" w:sz="4" w:space="0" w:color="auto"/>
              <w:left w:val="single" w:sz="4" w:space="0" w:color="auto"/>
              <w:right w:val="single" w:sz="4" w:space="0" w:color="auto"/>
            </w:tcBorders>
          </w:tcPr>
          <w:p w:rsidR="005D2CBC" w:rsidRDefault="008175EC">
            <w:pPr>
              <w:pStyle w:val="NormalWeb"/>
              <w:spacing w:before="0" w:beforeAutospacing="0" w:after="0" w:afterAutospacing="0"/>
              <w:rPr>
                <w:rStyle w:val="Strong"/>
                <w:noProof/>
                <w:sz w:val="20"/>
                <w:szCs w:val="20"/>
              </w:rPr>
            </w:pPr>
            <w:r>
              <w:rPr>
                <w:rFonts w:eastAsiaTheme="minorHAnsi"/>
                <w:b/>
                <w:smallCaps/>
                <w:noProof/>
                <w:sz w:val="20"/>
                <w:szCs w:val="20"/>
                <w:lang w:eastAsia="en-US"/>
              </w:rPr>
              <w:t xml:space="preserve">Return </w:t>
            </w: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The Italian authorities need to strengthen their dialogue with the main countries of origin of irregular migrants and streamline their administrative procedures in order to guarantee swift forced returns. </w:t>
            </w:r>
          </w:p>
          <w:p w:rsidR="005D2CBC" w:rsidRDefault="005D2CBC">
            <w:pPr>
              <w:rPr>
                <w:rFonts w:ascii="Times New Roman" w:hAnsi="Times New Roman" w:cs="Times New Roman"/>
                <w:noProof/>
                <w:sz w:val="20"/>
                <w:szCs w:val="20"/>
                <w:lang w:eastAsia="en-GB"/>
              </w:rPr>
            </w:pP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Returns have taken place to Egypt, Tunisia an</w:t>
            </w:r>
            <w:r>
              <w:rPr>
                <w:rFonts w:ascii="Times New Roman" w:hAnsi="Times New Roman" w:cs="Times New Roman"/>
                <w:noProof/>
                <w:sz w:val="20"/>
                <w:szCs w:val="20"/>
              </w:rPr>
              <w:t>d  Nigeria with which bilateral agreements are in place.</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Meetings have been held with Ghana, Senegal, Gambia and Ivory Coast also with the participation of the Italian Prime Minister and the Head of the Italian Police to conclude bilateral agreements. T</w:t>
            </w:r>
            <w:r>
              <w:rPr>
                <w:rFonts w:ascii="Times New Roman" w:hAnsi="Times New Roman" w:cs="Times New Roman"/>
                <w:noProof/>
                <w:sz w:val="20"/>
                <w:szCs w:val="20"/>
              </w:rPr>
              <w:t>he Commission has been present at meetings at technical level.</w:t>
            </w:r>
          </w:p>
          <w:p w:rsidR="005D2CBC" w:rsidRDefault="008175EC">
            <w:pPr>
              <w:ind w:left="292" w:hanging="288"/>
              <w:rPr>
                <w:rFonts w:ascii="Times New Roman" w:hAnsi="Times New Roman" w:cs="Times New Roman"/>
                <w:noProof/>
                <w:sz w:val="20"/>
                <w:szCs w:val="20"/>
              </w:rPr>
            </w:pPr>
            <w:r>
              <w:rPr>
                <w:rFonts w:ascii="Times New Roman" w:hAnsi="Times New Roman" w:cs="Times New Roman"/>
                <w:noProof/>
                <w:sz w:val="20"/>
                <w:szCs w:val="20"/>
              </w:rPr>
              <w:t xml:space="preserve">X  Italy, together with Frontex, should define and launch as a matter of priority a clear operational plan for return and readmission activities, based on a clear planning and needs assessment </w:t>
            </w:r>
            <w:r>
              <w:rPr>
                <w:rFonts w:ascii="Times New Roman" w:hAnsi="Times New Roman" w:cs="Times New Roman"/>
                <w:noProof/>
                <w:sz w:val="20"/>
                <w:szCs w:val="20"/>
              </w:rPr>
              <w:t>by Italy, providing support to all elements in the execution return procedure, where necessary.</w:t>
            </w:r>
          </w:p>
          <w:p w:rsidR="005D2CBC" w:rsidRDefault="005D2CBC">
            <w:pPr>
              <w:ind w:left="151" w:firstLine="2"/>
              <w:rPr>
                <w:rFonts w:ascii="Times New Roman" w:hAnsi="Times New Roman" w:cs="Times New Roman"/>
                <w:noProof/>
                <w:sz w:val="20"/>
                <w:szCs w:val="20"/>
                <w:highlight w:val="yellow"/>
              </w:rPr>
            </w:pPr>
          </w:p>
        </w:tc>
      </w:tr>
      <w:tr w:rsidR="005D2CBC">
        <w:trPr>
          <w:trHeight w:val="384"/>
        </w:trPr>
        <w:tc>
          <w:tcPr>
            <w:tcW w:w="1652" w:type="dxa"/>
            <w:vMerge/>
            <w:tcBorders>
              <w:left w:val="single" w:sz="4" w:space="0" w:color="auto"/>
              <w:right w:val="single" w:sz="4" w:space="0" w:color="auto"/>
            </w:tcBorders>
            <w:vAlign w:val="center"/>
            <w:hideMark/>
          </w:tcPr>
          <w:p w:rsidR="005D2CBC" w:rsidRDefault="005D2CBC">
            <w:pPr>
              <w:rPr>
                <w:rStyle w:val="Strong"/>
                <w:noProof/>
                <w:sz w:val="20"/>
                <w:szCs w:val="20"/>
              </w:rPr>
            </w:pP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In the light of the fact that the proportion of migrants that are not in need of international protection among the arrivals in Italy is steadily increasing (at this point over 50% according to the Italian authorities), it can be considered that the curren</w:t>
            </w:r>
            <w:r>
              <w:rPr>
                <w:rFonts w:ascii="Times New Roman" w:hAnsi="Times New Roman" w:cs="Times New Roman"/>
                <w:noProof/>
                <w:color w:val="000000"/>
                <w:sz w:val="20"/>
                <w:szCs w:val="20"/>
                <w:lang w:eastAsia="en-GB"/>
              </w:rPr>
              <w:t>t detention capacity in Italy (some 604 places in total) is already insufficient. Full use of the existing detention capacity, already foreseen to be funded through the AMIF National Programme and (urgent) planning for (temporary) enlargement of Italy's de</w:t>
            </w:r>
            <w:r>
              <w:rPr>
                <w:rFonts w:ascii="Times New Roman" w:hAnsi="Times New Roman" w:cs="Times New Roman"/>
                <w:noProof/>
                <w:color w:val="000000"/>
                <w:sz w:val="20"/>
                <w:szCs w:val="20"/>
                <w:lang w:eastAsia="en-GB"/>
              </w:rPr>
              <w:t xml:space="preserve">tention capacity should be considered. </w:t>
            </w: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Available places in detention centres (CIE-Centri di identificazione ed espulsione) have been further reduced by Italy to about 420 places as opposed to 1,248 places foreseen in the Italian Roadmap. The Italian a</w:t>
            </w:r>
            <w:r>
              <w:rPr>
                <w:rFonts w:ascii="Times New Roman" w:hAnsi="Times New Roman" w:cs="Times New Roman"/>
                <w:noProof/>
                <w:sz w:val="20"/>
                <w:szCs w:val="20"/>
              </w:rPr>
              <w:t>uthorities should remedy this deficiency as a matter of utmost urgency and increase, instead of decrease, the number of available places, with the view of preventing irregular migrants from absconding and moving on to other Member States in irregular manne</w:t>
            </w:r>
            <w:r>
              <w:rPr>
                <w:rFonts w:ascii="Times New Roman" w:hAnsi="Times New Roman" w:cs="Times New Roman"/>
                <w:noProof/>
                <w:sz w:val="20"/>
                <w:szCs w:val="20"/>
              </w:rPr>
              <w:t>r.</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 xml:space="preserve">X  Italy should also foresee the possibility to increase the duration of administrative detention within the 18-month maximum limit allowed by the Return Directive, to ensure that all procedures can be succefully conducted without running the risk that </w:t>
            </w:r>
            <w:r>
              <w:rPr>
                <w:rFonts w:ascii="Times New Roman" w:hAnsi="Times New Roman" w:cs="Times New Roman"/>
                <w:noProof/>
                <w:sz w:val="20"/>
                <w:szCs w:val="20"/>
              </w:rPr>
              <w:t>the returnees are set free and abscond.</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 xml:space="preserve">X  Furthermore, Italy should foresee the possibility of voluntary return of all categories of migrants, </w:t>
            </w:r>
            <w:r>
              <w:rPr>
                <w:rFonts w:ascii="Times New Roman" w:hAnsi="Times New Roman" w:cs="Times New Roman"/>
                <w:noProof/>
                <w:sz w:val="20"/>
                <w:szCs w:val="20"/>
              </w:rPr>
              <w:lastRenderedPageBreak/>
              <w:t>including (unaccompanied) minors, families, persons with vulnerabilities, taking into account the particular cir</w:t>
            </w:r>
            <w:r>
              <w:rPr>
                <w:rFonts w:ascii="Times New Roman" w:hAnsi="Times New Roman" w:cs="Times New Roman"/>
                <w:noProof/>
                <w:sz w:val="20"/>
                <w:szCs w:val="20"/>
              </w:rPr>
              <w:t xml:space="preserve">cumstances of each case. </w:t>
            </w:r>
          </w:p>
          <w:p w:rsidR="005D2CBC" w:rsidRDefault="005D2CBC">
            <w:pPr>
              <w:ind w:left="151" w:firstLine="2"/>
              <w:rPr>
                <w:rFonts w:ascii="Times New Roman" w:hAnsi="Times New Roman" w:cs="Times New Roman"/>
                <w:noProof/>
                <w:sz w:val="20"/>
                <w:szCs w:val="20"/>
                <w:highlight w:val="yellow"/>
              </w:rPr>
            </w:pPr>
          </w:p>
        </w:tc>
      </w:tr>
      <w:tr w:rsidR="005D2CBC">
        <w:trPr>
          <w:trHeight w:val="384"/>
        </w:trPr>
        <w:tc>
          <w:tcPr>
            <w:tcW w:w="1652" w:type="dxa"/>
            <w:vMerge/>
            <w:tcBorders>
              <w:left w:val="single" w:sz="4" w:space="0" w:color="auto"/>
              <w:right w:val="single" w:sz="4" w:space="0" w:color="auto"/>
            </w:tcBorders>
            <w:vAlign w:val="center"/>
            <w:hideMark/>
          </w:tcPr>
          <w:p w:rsidR="005D2CBC" w:rsidRDefault="005D2CBC">
            <w:pPr>
              <w:rPr>
                <w:rStyle w:val="Strong"/>
                <w:noProof/>
                <w:sz w:val="20"/>
                <w:szCs w:val="20"/>
              </w:rPr>
            </w:pP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Italy has already launched a tender and should resume as quickly as possible the Assisted Voluntary Return programme to reduce the significant case load of persons ready to return, possibly considering an application for AMIF Emergency assistance to bridge</w:t>
            </w:r>
            <w:r>
              <w:rPr>
                <w:rFonts w:ascii="Times New Roman" w:hAnsi="Times New Roman" w:cs="Times New Roman"/>
                <w:noProof/>
                <w:color w:val="000000"/>
                <w:sz w:val="20"/>
                <w:szCs w:val="20"/>
                <w:lang w:eastAsia="en-GB"/>
              </w:rPr>
              <w:t xml:space="preserve"> the period until the new Assisted Voluntary Return programme will be in place. </w:t>
            </w: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hideMark/>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A call for tender for Assisted Voluntary Return (AVR) was launched on 24 December 2015 and is to be closed by the end of February, before selection of applicants and award</w:t>
            </w:r>
            <w:r>
              <w:rPr>
                <w:rFonts w:ascii="Times New Roman" w:hAnsi="Times New Roman" w:cs="Times New Roman"/>
                <w:noProof/>
                <w:sz w:val="20"/>
                <w:szCs w:val="20"/>
              </w:rPr>
              <w:t>. The new AVR scheme is to be operational by around June 2016.</w:t>
            </w:r>
          </w:p>
          <w:p w:rsidR="005D2CBC" w:rsidRDefault="008175EC">
            <w:pPr>
              <w:ind w:left="292" w:hanging="290"/>
              <w:rPr>
                <w:rFonts w:ascii="Times New Roman" w:hAnsi="Times New Roman" w:cs="Times New Roman"/>
                <w:noProof/>
                <w:sz w:val="20"/>
                <w:szCs w:val="20"/>
                <w:highlight w:val="yellow"/>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The IOM is preparing a funding application under AMIF in order to bridge the gap until the start of the new AVR scheme. The request will be submitted by mid February.</w:t>
            </w:r>
          </w:p>
        </w:tc>
      </w:tr>
      <w:tr w:rsidR="005D2CBC">
        <w:trPr>
          <w:trHeight w:val="384"/>
        </w:trPr>
        <w:tc>
          <w:tcPr>
            <w:tcW w:w="1652" w:type="dxa"/>
            <w:vMerge/>
            <w:tcBorders>
              <w:left w:val="single" w:sz="4" w:space="0" w:color="auto"/>
              <w:right w:val="single" w:sz="4" w:space="0" w:color="auto"/>
            </w:tcBorders>
            <w:vAlign w:val="center"/>
            <w:hideMark/>
          </w:tcPr>
          <w:p w:rsidR="005D2CBC" w:rsidRDefault="005D2CBC">
            <w:pPr>
              <w:rPr>
                <w:rStyle w:val="Strong"/>
                <w:noProof/>
                <w:sz w:val="20"/>
                <w:szCs w:val="20"/>
              </w:rPr>
            </w:pP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sz w:val="20"/>
                <w:szCs w:val="20"/>
              </w:rPr>
            </w:pPr>
            <w:r>
              <w:rPr>
                <w:rFonts w:ascii="Times New Roman" w:hAnsi="Times New Roman" w:cs="Times New Roman"/>
                <w:noProof/>
                <w:color w:val="000000"/>
                <w:sz w:val="20"/>
                <w:szCs w:val="20"/>
                <w:lang w:eastAsia="en-GB"/>
              </w:rPr>
              <w:t xml:space="preserve">The European </w:t>
            </w:r>
            <w:r>
              <w:rPr>
                <w:rFonts w:ascii="Times New Roman" w:hAnsi="Times New Roman" w:cs="Times New Roman"/>
                <w:noProof/>
                <w:color w:val="000000"/>
                <w:sz w:val="20"/>
                <w:szCs w:val="20"/>
                <w:lang w:eastAsia="en-GB"/>
              </w:rPr>
              <w:t>Commission, supported by Member States, should further step up engagement with third countries to ensure easier readmission of migrants which are not entitled to international protection including through the targeted use of the Trust Fund for Africa</w:t>
            </w:r>
            <w:r>
              <w:rPr>
                <w:rFonts w:ascii="Times New Roman" w:hAnsi="Times New Roman" w:cs="Times New Roman"/>
                <w:noProof/>
                <w:sz w:val="20"/>
                <w:szCs w:val="20"/>
              </w:rPr>
              <w:t>.</w:t>
            </w:r>
          </w:p>
          <w:p w:rsidR="005D2CBC" w:rsidRDefault="008175EC">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4653" w:type="dxa"/>
            <w:tcBorders>
              <w:top w:val="single" w:sz="4" w:space="0" w:color="auto"/>
              <w:left w:val="single" w:sz="4" w:space="0" w:color="auto"/>
              <w:bottom w:val="single" w:sz="4" w:space="0" w:color="auto"/>
              <w:right w:val="single" w:sz="4" w:space="0" w:color="auto"/>
            </w:tcBorders>
            <w:hideMark/>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w:t>
            </w:r>
            <w:r>
              <w:rPr>
                <w:rFonts w:ascii="Times New Roman" w:hAnsi="Times New Roman" w:cs="Times New Roman"/>
                <w:noProof/>
                <w:sz w:val="20"/>
                <w:szCs w:val="20"/>
              </w:rPr>
              <w:t xml:space="preserve"> The Joint Committees on Readmission with Turkey and Pakistan were held on 19 January and 2 February 2016 respectively. The Commission visited Afghanistan and will visit Nigeria to discuss readmission.</w:t>
            </w:r>
          </w:p>
          <w:p w:rsidR="005D2CBC" w:rsidRDefault="005D2CBC">
            <w:pPr>
              <w:ind w:left="151" w:firstLine="2"/>
              <w:rPr>
                <w:rFonts w:ascii="Times New Roman" w:hAnsi="Times New Roman" w:cs="Times New Roman"/>
                <w:noProof/>
                <w:sz w:val="20"/>
                <w:szCs w:val="20"/>
              </w:rPr>
            </w:pPr>
          </w:p>
          <w:p w:rsidR="005D2CBC" w:rsidRDefault="005D2CBC">
            <w:pPr>
              <w:ind w:left="151" w:firstLine="2"/>
              <w:rPr>
                <w:rFonts w:ascii="Times New Roman" w:hAnsi="Times New Roman" w:cs="Times New Roman"/>
                <w:noProof/>
                <w:sz w:val="20"/>
                <w:szCs w:val="20"/>
                <w:highlight w:val="yellow"/>
              </w:rPr>
            </w:pPr>
          </w:p>
        </w:tc>
      </w:tr>
      <w:tr w:rsidR="005D2CBC">
        <w:trPr>
          <w:trHeight w:val="325"/>
        </w:trPr>
        <w:tc>
          <w:tcPr>
            <w:tcW w:w="1652" w:type="dxa"/>
            <w:vMerge/>
            <w:tcBorders>
              <w:left w:val="single" w:sz="4" w:space="0" w:color="auto"/>
              <w:right w:val="single" w:sz="4" w:space="0" w:color="auto"/>
            </w:tcBorders>
            <w:vAlign w:val="center"/>
          </w:tcPr>
          <w:p w:rsidR="005D2CBC" w:rsidRDefault="005D2CBC">
            <w:pPr>
              <w:rPr>
                <w:rStyle w:val="Strong"/>
                <w:noProof/>
                <w:sz w:val="20"/>
                <w:szCs w:val="20"/>
              </w:rPr>
            </w:pPr>
          </w:p>
        </w:tc>
        <w:tc>
          <w:tcPr>
            <w:tcW w:w="7704" w:type="dxa"/>
            <w:gridSpan w:val="2"/>
            <w:tcBorders>
              <w:top w:val="single" w:sz="4" w:space="0" w:color="auto"/>
              <w:left w:val="single" w:sz="4" w:space="0" w:color="auto"/>
              <w:bottom w:val="single" w:sz="4" w:space="0" w:color="auto"/>
              <w:right w:val="single" w:sz="4" w:space="0" w:color="auto"/>
            </w:tcBorders>
          </w:tcPr>
          <w:p w:rsidR="005D2CBC" w:rsidRDefault="008175EC">
            <w:pPr>
              <w:ind w:left="151" w:firstLine="2"/>
              <w:rPr>
                <w:rFonts w:ascii="Times New Roman" w:hAnsi="Times New Roman" w:cs="Times New Roman"/>
                <w:noProof/>
                <w:sz w:val="20"/>
                <w:szCs w:val="20"/>
                <w:highlight w:val="yellow"/>
              </w:rPr>
            </w:pPr>
            <w:r>
              <w:rPr>
                <w:rFonts w:ascii="Times New Roman" w:hAnsi="Times New Roman" w:cs="Times New Roman"/>
                <w:i/>
                <w:noProof/>
                <w:sz w:val="20"/>
                <w:szCs w:val="20"/>
              </w:rPr>
              <w:t xml:space="preserve">Additional measures identified after the adoption </w:t>
            </w:r>
            <w:r>
              <w:rPr>
                <w:rFonts w:ascii="Times New Roman" w:hAnsi="Times New Roman" w:cs="Times New Roman"/>
                <w:i/>
                <w:noProof/>
                <w:sz w:val="20"/>
                <w:szCs w:val="20"/>
              </w:rPr>
              <w:t>of the Communication in December</w:t>
            </w:r>
          </w:p>
        </w:tc>
      </w:tr>
      <w:tr w:rsidR="005D2CBC">
        <w:trPr>
          <w:trHeight w:val="384"/>
        </w:trPr>
        <w:tc>
          <w:tcPr>
            <w:tcW w:w="1652" w:type="dxa"/>
            <w:vMerge/>
            <w:tcBorders>
              <w:left w:val="single" w:sz="4" w:space="0" w:color="auto"/>
              <w:right w:val="single" w:sz="4" w:space="0" w:color="auto"/>
            </w:tcBorders>
            <w:vAlign w:val="center"/>
          </w:tcPr>
          <w:p w:rsidR="005D2CBC" w:rsidRDefault="005D2CBC">
            <w:pPr>
              <w:rPr>
                <w:rStyle w:val="Strong"/>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The guidelines regulating the Assisted Voluntary Return system in Italy are outdated and need to become more efficient.</w:t>
            </w: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In view of the new national programme for AVR the Italian authorities should review the guidelines</w:t>
            </w:r>
            <w:r>
              <w:rPr>
                <w:rFonts w:ascii="Times New Roman" w:hAnsi="Times New Roman" w:cs="Times New Roman"/>
                <w:noProof/>
                <w:sz w:val="20"/>
                <w:szCs w:val="20"/>
              </w:rPr>
              <w:t xml:space="preserve"> applicable to the AVR programmes.</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Italy should make the fullest possible use of the existing EU funded programmes, in particular ERIN, with regard to reintegration of returnees.</w:t>
            </w:r>
          </w:p>
          <w:p w:rsidR="005D2CBC" w:rsidRDefault="005D2CBC">
            <w:pPr>
              <w:ind w:left="151" w:firstLine="2"/>
              <w:rPr>
                <w:rFonts w:ascii="Times New Roman" w:hAnsi="Times New Roman" w:cs="Times New Roman"/>
                <w:noProof/>
                <w:sz w:val="20"/>
                <w:szCs w:val="20"/>
                <w:highlight w:val="yellow"/>
              </w:rPr>
            </w:pPr>
          </w:p>
        </w:tc>
      </w:tr>
      <w:tr w:rsidR="005D2CBC">
        <w:trPr>
          <w:trHeight w:val="384"/>
        </w:trPr>
        <w:tc>
          <w:tcPr>
            <w:tcW w:w="1652" w:type="dxa"/>
            <w:vMerge w:val="restart"/>
            <w:tcBorders>
              <w:top w:val="single" w:sz="4" w:space="0" w:color="auto"/>
              <w:left w:val="single" w:sz="4" w:space="0" w:color="auto"/>
              <w:bottom w:val="single" w:sz="4" w:space="0" w:color="auto"/>
              <w:right w:val="single" w:sz="4" w:space="0" w:color="auto"/>
            </w:tcBorders>
          </w:tcPr>
          <w:p w:rsidR="005D2CBC" w:rsidRDefault="008175EC">
            <w:pPr>
              <w:pStyle w:val="NormalWeb"/>
              <w:spacing w:before="0" w:beforeAutospacing="0" w:after="0" w:afterAutospacing="0"/>
              <w:rPr>
                <w:rStyle w:val="Strong"/>
                <w:noProof/>
                <w:sz w:val="20"/>
                <w:szCs w:val="20"/>
              </w:rPr>
            </w:pPr>
            <w:r>
              <w:rPr>
                <w:rFonts w:eastAsiaTheme="minorHAnsi"/>
                <w:b/>
                <w:smallCaps/>
                <w:noProof/>
                <w:sz w:val="20"/>
                <w:szCs w:val="20"/>
                <w:lang w:eastAsia="en-US"/>
              </w:rPr>
              <w:t xml:space="preserve">Improving border management </w:t>
            </w: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Considering the possible risk of increasing</w:t>
            </w:r>
            <w:r>
              <w:rPr>
                <w:rFonts w:ascii="Times New Roman" w:hAnsi="Times New Roman" w:cs="Times New Roman"/>
                <w:noProof/>
                <w:color w:val="000000"/>
                <w:sz w:val="20"/>
                <w:szCs w:val="20"/>
                <w:lang w:eastAsia="en-GB"/>
              </w:rPr>
              <w:t xml:space="preserve"> arrivals on the Slovenian-Italian border, the Italian authorities should develop contingency plans including the possibility to request additional assistance from Frontex/EASO.</w:t>
            </w:r>
          </w:p>
          <w:p w:rsidR="005D2CBC" w:rsidRDefault="005D2CBC">
            <w:pPr>
              <w:pStyle w:val="NormalWeb"/>
              <w:spacing w:before="0" w:beforeAutospacing="0" w:after="0" w:afterAutospacing="0"/>
              <w:rPr>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hideMark/>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The extension of Joint Operation Triton's operational area to cover the So</w:t>
            </w:r>
            <w:r>
              <w:rPr>
                <w:rFonts w:ascii="Times New Roman" w:hAnsi="Times New Roman" w:cs="Times New Roman"/>
                <w:noProof/>
                <w:sz w:val="20"/>
                <w:szCs w:val="20"/>
              </w:rPr>
              <w:t>uthern Adriatic sea has been agreed between the Italian Authorities and Frontex. The Frontex Triton operation now consists of 293 officers (205 border surveillance officers and crew members, 57 guest officers and 31 coordination staff)</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Italy requested a</w:t>
            </w:r>
            <w:r>
              <w:rPr>
                <w:rFonts w:ascii="Times New Roman" w:hAnsi="Times New Roman" w:cs="Times New Roman"/>
                <w:noProof/>
                <w:sz w:val="20"/>
                <w:szCs w:val="20"/>
              </w:rPr>
              <w:t>nd received clarification concerning the possibility to relocate migrants who enter from the Western Balkans route.</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The Italian authorities should indicate their intentions concerning the possible establishment of hotspot-like facilities in the North-Ea</w:t>
            </w:r>
            <w:r>
              <w:rPr>
                <w:rFonts w:ascii="Times New Roman" w:hAnsi="Times New Roman" w:cs="Times New Roman"/>
                <w:noProof/>
                <w:sz w:val="20"/>
                <w:szCs w:val="20"/>
              </w:rPr>
              <w:t>st.</w:t>
            </w:r>
          </w:p>
          <w:p w:rsidR="005D2CBC" w:rsidRDefault="005D2CBC">
            <w:pPr>
              <w:ind w:left="151" w:firstLine="2"/>
              <w:rPr>
                <w:rFonts w:ascii="Times New Roman" w:hAnsi="Times New Roman" w:cs="Times New Roman"/>
                <w:noProof/>
                <w:sz w:val="20"/>
                <w:szCs w:val="20"/>
                <w:highlight w:val="yellow"/>
              </w:rPr>
            </w:pPr>
          </w:p>
        </w:tc>
      </w:tr>
      <w:tr w:rsidR="005D2CBC">
        <w:trPr>
          <w:trHeight w:val="384"/>
        </w:trPr>
        <w:tc>
          <w:tcPr>
            <w:tcW w:w="1652" w:type="dxa"/>
            <w:vMerge/>
            <w:tcBorders>
              <w:top w:val="single" w:sz="4" w:space="0" w:color="auto"/>
              <w:left w:val="single" w:sz="4" w:space="0" w:color="auto"/>
              <w:bottom w:val="single" w:sz="4" w:space="0" w:color="auto"/>
              <w:right w:val="single" w:sz="4" w:space="0" w:color="auto"/>
            </w:tcBorders>
            <w:vAlign w:val="center"/>
            <w:hideMark/>
          </w:tcPr>
          <w:p w:rsidR="005D2CBC" w:rsidRDefault="005D2CBC">
            <w:pPr>
              <w:rPr>
                <w:rStyle w:val="Strong"/>
                <w:noProof/>
                <w:sz w:val="20"/>
                <w:szCs w:val="20"/>
              </w:rPr>
            </w:pPr>
          </w:p>
        </w:tc>
        <w:tc>
          <w:tcPr>
            <w:tcW w:w="3051" w:type="dxa"/>
            <w:tcBorders>
              <w:top w:val="single" w:sz="4" w:space="0" w:color="auto"/>
              <w:left w:val="single" w:sz="4" w:space="0" w:color="auto"/>
              <w:bottom w:val="single" w:sz="4" w:space="0" w:color="auto"/>
              <w:right w:val="single" w:sz="4" w:space="0" w:color="auto"/>
            </w:tcBorders>
            <w:hideMark/>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Member States should continue ensuring that assets are made available for both the Triton and the EUNAVFOR MED operations in the Mediterranean. </w:t>
            </w: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hideMark/>
          </w:tcPr>
          <w:p w:rsidR="005D2CBC" w:rsidRDefault="008175EC">
            <w:pPr>
              <w:ind w:left="292" w:hanging="290"/>
              <w:rPr>
                <w:rFonts w:ascii="Times New Roman" w:hAnsi="Times New Roman" w:cs="Times New Roman"/>
                <w:noProof/>
                <w:sz w:val="20"/>
                <w:szCs w:val="20"/>
                <w:highlight w:val="yellow"/>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Member States should continue ensuring that assets are made available for both the Triton and the EUNAVFOR MED operations in the Mediterranean.</w:t>
            </w:r>
          </w:p>
        </w:tc>
      </w:tr>
      <w:tr w:rsidR="005D2CBC">
        <w:trPr>
          <w:trHeight w:val="384"/>
        </w:trPr>
        <w:tc>
          <w:tcPr>
            <w:tcW w:w="1652" w:type="dxa"/>
            <w:vMerge w:val="restart"/>
            <w:tcBorders>
              <w:top w:val="single" w:sz="4" w:space="0" w:color="auto"/>
              <w:left w:val="single" w:sz="4" w:space="0" w:color="auto"/>
              <w:right w:val="single" w:sz="4" w:space="0" w:color="auto"/>
            </w:tcBorders>
            <w:vAlign w:val="center"/>
          </w:tcPr>
          <w:p w:rsidR="005D2CBC" w:rsidRDefault="008175EC">
            <w:pPr>
              <w:rPr>
                <w:rStyle w:val="Strong"/>
                <w:noProof/>
                <w:sz w:val="20"/>
                <w:szCs w:val="20"/>
              </w:rPr>
            </w:pPr>
            <w:r>
              <w:rPr>
                <w:rFonts w:ascii="Times New Roman" w:hAnsi="Times New Roman" w:cs="Times New Roman"/>
                <w:b/>
                <w:smallCaps/>
                <w:noProof/>
                <w:sz w:val="20"/>
                <w:szCs w:val="20"/>
              </w:rPr>
              <w:t>Reception capacity</w:t>
            </w: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The ongoing work on the reform of the asylum and reception system should continue and lead</w:t>
            </w:r>
            <w:r>
              <w:rPr>
                <w:rFonts w:ascii="Times New Roman" w:hAnsi="Times New Roman" w:cs="Times New Roman"/>
                <w:noProof/>
                <w:color w:val="000000"/>
                <w:sz w:val="20"/>
                <w:szCs w:val="20"/>
                <w:lang w:eastAsia="en-GB"/>
              </w:rPr>
              <w:t xml:space="preserve"> to a leaner asylum procedure in particular concerning the appeal process and to reduce the </w:t>
            </w:r>
            <w:r>
              <w:rPr>
                <w:rFonts w:ascii="Times New Roman" w:hAnsi="Times New Roman" w:cs="Times New Roman"/>
                <w:noProof/>
                <w:color w:val="000000"/>
                <w:sz w:val="20"/>
                <w:szCs w:val="20"/>
                <w:lang w:eastAsia="en-GB"/>
              </w:rPr>
              <w:lastRenderedPageBreak/>
              <w:t xml:space="preserve">fragmentation in the quality of decision making across the country. </w:t>
            </w:r>
          </w:p>
          <w:p w:rsidR="005D2CBC" w:rsidRDefault="005D2CBC">
            <w:pPr>
              <w:pStyle w:val="NormalWeb"/>
              <w:spacing w:before="0" w:beforeAutospacing="0" w:after="0" w:afterAutospacing="0"/>
              <w:rPr>
                <w:rFonts w:eastAsiaTheme="minorHAnsi"/>
                <w:noProof/>
                <w:sz w:val="20"/>
                <w:szCs w:val="20"/>
                <w:lang w:eastAsia="en-US"/>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lastRenderedPageBreak/>
              <w:t xml:space="preserve">X  A working group for asylum reform has been set up at the Ministry of Interior to propose a new asylum law to address shortcomings and accelerate procedures. </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 xml:space="preserve">X  The works towards the reform should be completed before the summer period also in view of </w:t>
            </w:r>
            <w:r>
              <w:rPr>
                <w:rFonts w:ascii="Times New Roman" w:hAnsi="Times New Roman" w:cs="Times New Roman"/>
                <w:noProof/>
                <w:sz w:val="20"/>
                <w:szCs w:val="20"/>
              </w:rPr>
              <w:lastRenderedPageBreak/>
              <w:t>ad</w:t>
            </w:r>
            <w:r>
              <w:rPr>
                <w:rFonts w:ascii="Times New Roman" w:hAnsi="Times New Roman" w:cs="Times New Roman"/>
                <w:noProof/>
                <w:sz w:val="20"/>
                <w:szCs w:val="20"/>
              </w:rPr>
              <w:t>dressing the concerns expressed by the Commission in the context of the ongoing infringement procedures.</w:t>
            </w:r>
          </w:p>
        </w:tc>
      </w:tr>
      <w:tr w:rsidR="005D2CBC">
        <w:trPr>
          <w:trHeight w:val="384"/>
        </w:trPr>
        <w:tc>
          <w:tcPr>
            <w:tcW w:w="1652" w:type="dxa"/>
            <w:vMerge/>
            <w:tcBorders>
              <w:left w:val="single" w:sz="4" w:space="0" w:color="auto"/>
              <w:right w:val="single" w:sz="4" w:space="0" w:color="auto"/>
            </w:tcBorders>
            <w:vAlign w:val="center"/>
          </w:tcPr>
          <w:p w:rsidR="005D2CBC" w:rsidRDefault="005D2CBC">
            <w:pPr>
              <w:rPr>
                <w:rFonts w:ascii="Times New Roman" w:hAnsi="Times New Roman" w:cs="Times New Roman"/>
                <w:b/>
                <w:smallCaps/>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Monitoring systems should be enhanced in order to reduce the differences in the quality of the reception conditions across the country and to avoid r</w:t>
            </w:r>
            <w:r>
              <w:rPr>
                <w:rFonts w:ascii="Times New Roman" w:hAnsi="Times New Roman" w:cs="Times New Roman"/>
                <w:noProof/>
                <w:color w:val="000000"/>
                <w:sz w:val="20"/>
                <w:szCs w:val="20"/>
                <w:lang w:eastAsia="en-GB"/>
              </w:rPr>
              <w:t xml:space="preserve">isks of corruption in the management of reception. </w:t>
            </w:r>
          </w:p>
          <w:p w:rsidR="005D2CBC" w:rsidRDefault="008175EC">
            <w:pPr>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 </w:t>
            </w: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lang w:val="en-US"/>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The </w:t>
            </w:r>
            <w:r>
              <w:rPr>
                <w:rFonts w:ascii="Times New Roman" w:hAnsi="Times New Roman" w:cs="Times New Roman"/>
                <w:noProof/>
                <w:sz w:val="20"/>
                <w:szCs w:val="20"/>
                <w:lang w:val="en-US"/>
              </w:rPr>
              <w:t>Italian authorities have indicated that the Italian monitoring system for reception conditions has been enhanced already in 2015 through agreements with the UNHCR and the IOM to carry out further</w:t>
            </w:r>
            <w:r>
              <w:rPr>
                <w:rFonts w:ascii="Times New Roman" w:hAnsi="Times New Roman" w:cs="Times New Roman"/>
                <w:noProof/>
                <w:sz w:val="20"/>
                <w:szCs w:val="20"/>
                <w:lang w:val="en-US"/>
              </w:rPr>
              <w:t xml:space="preserve"> monitoring visits in addition to those already carried out by Italian Prefectures. During 2016 new initiatives will be undertaken to further enhance the monitoring system.</w:t>
            </w:r>
          </w:p>
          <w:p w:rsidR="005D2CBC" w:rsidRDefault="005D2CBC">
            <w:pPr>
              <w:ind w:left="151" w:firstLine="2"/>
              <w:rPr>
                <w:rFonts w:ascii="Times New Roman" w:hAnsi="Times New Roman" w:cs="Times New Roman"/>
                <w:noProof/>
                <w:sz w:val="20"/>
                <w:szCs w:val="20"/>
                <w:highlight w:val="yellow"/>
              </w:rPr>
            </w:pPr>
          </w:p>
        </w:tc>
      </w:tr>
      <w:tr w:rsidR="005D2CBC">
        <w:trPr>
          <w:trHeight w:val="384"/>
        </w:trPr>
        <w:tc>
          <w:tcPr>
            <w:tcW w:w="1652" w:type="dxa"/>
            <w:vMerge/>
            <w:tcBorders>
              <w:left w:val="single" w:sz="4" w:space="0" w:color="auto"/>
              <w:right w:val="single" w:sz="4" w:space="0" w:color="auto"/>
            </w:tcBorders>
            <w:vAlign w:val="center"/>
          </w:tcPr>
          <w:p w:rsidR="005D2CBC" w:rsidRDefault="005D2CBC">
            <w:pPr>
              <w:rPr>
                <w:rFonts w:ascii="Times New Roman" w:hAnsi="Times New Roman" w:cs="Times New Roman"/>
                <w:b/>
                <w:smallCaps/>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A single database should be established linking the asylum and reception processes in order to facilitate the management of the flow. </w:t>
            </w: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The new national database for registering migrants for the planning of their distribution and the reception system is</w:t>
            </w:r>
            <w:r>
              <w:rPr>
                <w:rFonts w:ascii="Times New Roman" w:hAnsi="Times New Roman" w:cs="Times New Roman"/>
                <w:noProof/>
                <w:sz w:val="20"/>
                <w:szCs w:val="20"/>
              </w:rPr>
              <w:t xml:space="preserve"> not yet in force, although it is being finalised in view of becoming operational in the second semester of 2016. </w:t>
            </w:r>
          </w:p>
          <w:p w:rsidR="005D2CBC" w:rsidRDefault="008175EC">
            <w:pPr>
              <w:ind w:left="292" w:hanging="290"/>
              <w:rPr>
                <w:rFonts w:ascii="Times New Roman" w:hAnsi="Times New Roman" w:cs="Times New Roman"/>
                <w:noProof/>
                <w:sz w:val="20"/>
                <w:szCs w:val="20"/>
              </w:rPr>
            </w:pPr>
            <w:r>
              <w:rPr>
                <w:rFonts w:ascii="Times New Roman" w:hAnsi="Times New Roman" w:cs="Times New Roman"/>
                <w:noProof/>
                <w:sz w:val="20"/>
                <w:szCs w:val="20"/>
              </w:rPr>
              <w:t>X  IT solutions to link the database for reception, for asylum and the new system monitoring migrant's presence should be developed.</w:t>
            </w:r>
          </w:p>
          <w:p w:rsidR="005D2CBC" w:rsidRDefault="005D2CBC">
            <w:pPr>
              <w:ind w:left="151" w:firstLine="2"/>
              <w:rPr>
                <w:rFonts w:ascii="Times New Roman" w:hAnsi="Times New Roman" w:cs="Times New Roman"/>
                <w:noProof/>
                <w:sz w:val="20"/>
                <w:szCs w:val="20"/>
                <w:highlight w:val="yellow"/>
              </w:rPr>
            </w:pPr>
          </w:p>
        </w:tc>
      </w:tr>
      <w:tr w:rsidR="005D2CBC">
        <w:trPr>
          <w:trHeight w:val="384"/>
        </w:trPr>
        <w:tc>
          <w:tcPr>
            <w:tcW w:w="1652" w:type="dxa"/>
            <w:vMerge/>
            <w:tcBorders>
              <w:left w:val="single" w:sz="4" w:space="0" w:color="auto"/>
              <w:right w:val="single" w:sz="4" w:space="0" w:color="auto"/>
            </w:tcBorders>
            <w:vAlign w:val="center"/>
          </w:tcPr>
          <w:p w:rsidR="005D2CBC" w:rsidRDefault="005D2CBC">
            <w:pPr>
              <w:rPr>
                <w:rFonts w:ascii="Times New Roman" w:hAnsi="Times New Roman" w:cs="Times New Roman"/>
                <w:b/>
                <w:smallCaps/>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The Italian authorities should conclude without delays the tender for the establishment of a system of flights for the transfer of migrants. The European Commission may consider supporting the scheme as a stopgap measure and for a limited period of time un</w:t>
            </w:r>
            <w:r>
              <w:rPr>
                <w:rFonts w:ascii="Times New Roman" w:hAnsi="Times New Roman" w:cs="Times New Roman"/>
                <w:noProof/>
                <w:color w:val="000000"/>
                <w:sz w:val="20"/>
                <w:szCs w:val="20"/>
                <w:lang w:eastAsia="en-GB"/>
              </w:rPr>
              <w:t xml:space="preserve">til the full tender is in place. </w:t>
            </w: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ind w:left="292" w:hanging="290"/>
              <w:rPr>
                <w:rFonts w:ascii="Times New Roman" w:hAnsi="Times New Roman" w:cs="Times New Roman"/>
                <w:noProof/>
                <w:sz w:val="20"/>
                <w:szCs w:val="20"/>
                <w:highlight w:val="yellow"/>
                <w:lang w:val="en-US"/>
              </w:rPr>
            </w:pPr>
            <w:r>
              <w:rPr>
                <w:rFonts w:ascii="Times New Roman" w:hAnsi="Times New Roman" w:cs="Times New Roman"/>
                <w:noProof/>
                <w:sz w:val="20"/>
                <w:szCs w:val="20"/>
                <w:lang w:val="en-US"/>
              </w:rPr>
              <w:t>X  The tendering procedure has not been finalised so far and its enactment should be accelerated.</w:t>
            </w:r>
          </w:p>
        </w:tc>
      </w:tr>
      <w:tr w:rsidR="005D2CBC">
        <w:trPr>
          <w:trHeight w:val="313"/>
        </w:trPr>
        <w:tc>
          <w:tcPr>
            <w:tcW w:w="1652" w:type="dxa"/>
            <w:vMerge/>
            <w:tcBorders>
              <w:left w:val="single" w:sz="4" w:space="0" w:color="auto"/>
              <w:right w:val="single" w:sz="4" w:space="0" w:color="auto"/>
            </w:tcBorders>
            <w:vAlign w:val="center"/>
          </w:tcPr>
          <w:p w:rsidR="005D2CBC" w:rsidRDefault="005D2CBC">
            <w:pPr>
              <w:rPr>
                <w:rFonts w:ascii="Times New Roman" w:hAnsi="Times New Roman" w:cs="Times New Roman"/>
                <w:b/>
                <w:smallCaps/>
                <w:noProof/>
                <w:sz w:val="20"/>
                <w:szCs w:val="20"/>
              </w:rPr>
            </w:pPr>
          </w:p>
        </w:tc>
        <w:tc>
          <w:tcPr>
            <w:tcW w:w="7704" w:type="dxa"/>
            <w:gridSpan w:val="2"/>
            <w:tcBorders>
              <w:top w:val="single" w:sz="4" w:space="0" w:color="auto"/>
              <w:left w:val="single" w:sz="4" w:space="0" w:color="auto"/>
              <w:bottom w:val="single" w:sz="4" w:space="0" w:color="auto"/>
              <w:right w:val="single" w:sz="4" w:space="0" w:color="auto"/>
            </w:tcBorders>
          </w:tcPr>
          <w:p w:rsidR="005D2CBC" w:rsidRDefault="008175EC">
            <w:pPr>
              <w:ind w:left="151" w:firstLine="2"/>
              <w:rPr>
                <w:rFonts w:ascii="Times New Roman" w:hAnsi="Times New Roman" w:cs="Times New Roman"/>
                <w:noProof/>
                <w:sz w:val="20"/>
                <w:szCs w:val="20"/>
                <w:highlight w:val="yellow"/>
              </w:rPr>
            </w:pPr>
            <w:r>
              <w:rPr>
                <w:rFonts w:ascii="Times New Roman" w:hAnsi="Times New Roman" w:cs="Times New Roman"/>
                <w:i/>
                <w:noProof/>
                <w:sz w:val="20"/>
                <w:szCs w:val="20"/>
              </w:rPr>
              <w:t>Additional measures identified after the adoption of the Communication in December</w:t>
            </w:r>
          </w:p>
        </w:tc>
      </w:tr>
      <w:tr w:rsidR="005D2CBC">
        <w:trPr>
          <w:trHeight w:val="384"/>
        </w:trPr>
        <w:tc>
          <w:tcPr>
            <w:tcW w:w="1652" w:type="dxa"/>
            <w:vMerge/>
            <w:tcBorders>
              <w:left w:val="single" w:sz="4" w:space="0" w:color="auto"/>
              <w:right w:val="single" w:sz="4" w:space="0" w:color="auto"/>
            </w:tcBorders>
            <w:vAlign w:val="center"/>
          </w:tcPr>
          <w:p w:rsidR="005D2CBC" w:rsidRDefault="005D2CBC">
            <w:pPr>
              <w:rPr>
                <w:rFonts w:ascii="Times New Roman" w:hAnsi="Times New Roman" w:cs="Times New Roman"/>
                <w:b/>
                <w:smallCaps/>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First Reception places for Unaccompanied Minors. </w:t>
            </w:r>
          </w:p>
          <w:p w:rsidR="005D2CBC" w:rsidRDefault="005D2CBC">
            <w:pPr>
              <w:rPr>
                <w:rFonts w:ascii="Times New Roman" w:hAnsi="Times New Roman" w:cs="Times New Roman"/>
                <w:noProof/>
                <w:sz w:val="20"/>
                <w:szCs w:val="20"/>
              </w:rPr>
            </w:pP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pStyle w:val="ListParagraph"/>
              <w:ind w:left="292" w:hanging="290"/>
              <w:rPr>
                <w:rFonts w:ascii="Times New Roman" w:hAnsi="Times New Roman" w:cs="Times New Roman"/>
                <w:bCs/>
                <w:noProof/>
                <w:sz w:val="20"/>
                <w:szCs w:val="20"/>
              </w:rPr>
            </w:pPr>
            <w:r>
              <w:rPr>
                <w:rFonts w:ascii="Times New Roman" w:hAnsi="Times New Roman" w:cs="Times New Roman"/>
                <w:noProof/>
                <w:sz w:val="20"/>
                <w:szCs w:val="20"/>
              </w:rPr>
              <w:t xml:space="preserve">X  </w:t>
            </w:r>
            <w:r>
              <w:rPr>
                <w:rFonts w:ascii="Times New Roman" w:hAnsi="Times New Roman" w:cs="Times New Roman"/>
                <w:bCs/>
                <w:noProof/>
                <w:sz w:val="20"/>
                <w:szCs w:val="20"/>
              </w:rPr>
              <w:t>2014 AMIF emergency funding projects, which allowed the creation of a new system of first level reception centres under the responsibility of the Ministry, will end in February 2016. The Italian authori</w:t>
            </w:r>
            <w:r>
              <w:rPr>
                <w:rFonts w:ascii="Times New Roman" w:hAnsi="Times New Roman" w:cs="Times New Roman"/>
                <w:bCs/>
                <w:noProof/>
                <w:sz w:val="20"/>
                <w:szCs w:val="20"/>
              </w:rPr>
              <w:t>ties should provide clear indication concerning the plans to ensure continued assistance to unaccompanied minors in first reception.</w:t>
            </w:r>
          </w:p>
          <w:p w:rsidR="005D2CBC" w:rsidRDefault="005D2CBC">
            <w:pPr>
              <w:pStyle w:val="ListParagraph"/>
              <w:ind w:left="151" w:firstLine="2"/>
              <w:rPr>
                <w:rFonts w:ascii="Times New Roman" w:hAnsi="Times New Roman" w:cs="Times New Roman"/>
                <w:bCs/>
                <w:noProof/>
                <w:sz w:val="20"/>
                <w:szCs w:val="20"/>
              </w:rPr>
            </w:pPr>
          </w:p>
        </w:tc>
      </w:tr>
      <w:tr w:rsidR="005D2CBC">
        <w:trPr>
          <w:trHeight w:val="384"/>
        </w:trPr>
        <w:tc>
          <w:tcPr>
            <w:tcW w:w="1652" w:type="dxa"/>
            <w:vMerge/>
            <w:tcBorders>
              <w:left w:val="single" w:sz="4" w:space="0" w:color="auto"/>
              <w:right w:val="single" w:sz="4" w:space="0" w:color="auto"/>
            </w:tcBorders>
            <w:vAlign w:val="center"/>
          </w:tcPr>
          <w:p w:rsidR="005D2CBC" w:rsidRDefault="005D2CBC">
            <w:pPr>
              <w:rPr>
                <w:rFonts w:ascii="Times New Roman" w:hAnsi="Times New Roman" w:cs="Times New Roman"/>
                <w:b/>
                <w:smallCaps/>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rsidR="005D2CBC" w:rsidRDefault="008175EC">
            <w:pPr>
              <w:autoSpaceDE w:val="0"/>
              <w:autoSpaceDN w:val="0"/>
              <w:adjustRightInd w:val="0"/>
              <w:rPr>
                <w:rFonts w:ascii="Times New Roman" w:hAnsi="Times New Roman" w:cs="Times New Roman"/>
                <w:noProof/>
                <w:color w:val="000000"/>
                <w:sz w:val="20"/>
                <w:szCs w:val="20"/>
                <w:lang w:eastAsia="en-GB"/>
              </w:rPr>
            </w:pPr>
            <w:r>
              <w:rPr>
                <w:rFonts w:ascii="Times New Roman" w:hAnsi="Times New Roman" w:cs="Times New Roman"/>
                <w:noProof/>
                <w:color w:val="000000"/>
                <w:sz w:val="20"/>
                <w:szCs w:val="20"/>
                <w:lang w:eastAsia="en-GB"/>
              </w:rPr>
              <w:t xml:space="preserve">Second level reception system for unaccompanied minors. </w:t>
            </w:r>
          </w:p>
        </w:tc>
        <w:tc>
          <w:tcPr>
            <w:tcW w:w="4653" w:type="dxa"/>
            <w:tcBorders>
              <w:top w:val="single" w:sz="4" w:space="0" w:color="auto"/>
              <w:left w:val="single" w:sz="4" w:space="0" w:color="auto"/>
              <w:bottom w:val="single" w:sz="4" w:space="0" w:color="auto"/>
              <w:right w:val="single" w:sz="4" w:space="0" w:color="auto"/>
            </w:tcBorders>
          </w:tcPr>
          <w:p w:rsidR="005D2CBC" w:rsidRDefault="008175EC">
            <w:pPr>
              <w:pStyle w:val="ListParagraph"/>
              <w:suppressAutoHyphens/>
              <w:ind w:left="292" w:hanging="292"/>
              <w:rPr>
                <w:rFonts w:ascii="Times New Roman" w:hAnsi="Times New Roman" w:cs="Times New Roman"/>
                <w:bCs/>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w:t>
            </w:r>
            <w:r>
              <w:rPr>
                <w:rFonts w:ascii="Times New Roman" w:hAnsi="Times New Roman" w:cs="Times New Roman"/>
                <w:bCs/>
                <w:noProof/>
                <w:sz w:val="20"/>
                <w:szCs w:val="20"/>
              </w:rPr>
              <w:t xml:space="preserve">961 places for second level reception for Unaccompanied Minors available </w:t>
            </w:r>
          </w:p>
          <w:p w:rsidR="005D2CBC" w:rsidRDefault="008175EC">
            <w:pPr>
              <w:pStyle w:val="ListParagraph"/>
              <w:suppressAutoHyphens/>
              <w:ind w:left="292" w:hanging="292"/>
              <w:rPr>
                <w:rFonts w:ascii="Times New Roman" w:hAnsi="Times New Roman" w:cs="Times New Roman"/>
                <w:bCs/>
                <w:noProof/>
                <w:sz w:val="20"/>
                <w:szCs w:val="20"/>
              </w:rPr>
            </w:pPr>
            <w:r>
              <w:rPr>
                <w:rFonts w:ascii="Times New Roman" w:hAnsi="Times New Roman" w:cs="Times New Roman"/>
                <w:noProof/>
                <w:sz w:val="20"/>
                <w:szCs w:val="20"/>
              </w:rPr>
              <w:sym w:font="Wingdings" w:char="F0FC"/>
            </w:r>
            <w:r>
              <w:rPr>
                <w:rFonts w:ascii="Times New Roman" w:hAnsi="Times New Roman" w:cs="Times New Roman"/>
                <w:noProof/>
                <w:sz w:val="20"/>
                <w:szCs w:val="20"/>
              </w:rPr>
              <w:t xml:space="preserve">  </w:t>
            </w:r>
            <w:r>
              <w:rPr>
                <w:rFonts w:ascii="Times New Roman" w:hAnsi="Times New Roman" w:cs="Times New Roman"/>
                <w:bCs/>
                <w:noProof/>
                <w:sz w:val="20"/>
                <w:szCs w:val="20"/>
              </w:rPr>
              <w:t>A Call for tender for additional 1010 places for Unaccompanied Minors independently from their legal status (SPRAR system) has been concluded in December 2015 and the additional p</w:t>
            </w:r>
            <w:r>
              <w:rPr>
                <w:rFonts w:ascii="Times New Roman" w:hAnsi="Times New Roman" w:cs="Times New Roman"/>
                <w:bCs/>
                <w:noProof/>
                <w:sz w:val="20"/>
                <w:szCs w:val="20"/>
              </w:rPr>
              <w:t>laces have been allocated.</w:t>
            </w:r>
          </w:p>
          <w:p w:rsidR="005D2CBC" w:rsidRDefault="008175EC">
            <w:pPr>
              <w:pStyle w:val="ListParagraph"/>
              <w:suppressAutoHyphens/>
              <w:ind w:left="292" w:hanging="292"/>
              <w:rPr>
                <w:rFonts w:ascii="Times New Roman" w:hAnsi="Times New Roman" w:cs="Times New Roman"/>
                <w:noProof/>
                <w:sz w:val="20"/>
                <w:szCs w:val="20"/>
              </w:rPr>
            </w:pPr>
            <w:r>
              <w:rPr>
                <w:rFonts w:ascii="Times New Roman" w:hAnsi="Times New Roman" w:cs="Times New Roman"/>
                <w:bCs/>
                <w:noProof/>
                <w:sz w:val="20"/>
                <w:szCs w:val="20"/>
              </w:rPr>
              <w:t xml:space="preserve"> </w:t>
            </w:r>
          </w:p>
        </w:tc>
      </w:tr>
    </w:tbl>
    <w:p w:rsidR="005D2CBC" w:rsidRDefault="005D2CBC">
      <w:pPr>
        <w:spacing w:line="240" w:lineRule="auto"/>
        <w:rPr>
          <w:rFonts w:ascii="Times New Roman" w:hAnsi="Times New Roman" w:cs="Times New Roman"/>
          <w:noProof/>
          <w:color w:val="1F497D"/>
          <w:sz w:val="20"/>
          <w:szCs w:val="20"/>
        </w:rPr>
      </w:pPr>
    </w:p>
    <w:sectPr w:rsidR="005D2CB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BC" w:rsidRDefault="008175EC">
      <w:pPr>
        <w:spacing w:after="0" w:line="240" w:lineRule="auto"/>
      </w:pPr>
      <w:r>
        <w:separator/>
      </w:r>
    </w:p>
  </w:endnote>
  <w:endnote w:type="continuationSeparator" w:id="0">
    <w:p w:rsidR="005D2CBC" w:rsidRDefault="0081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EC" w:rsidRPr="008175EC" w:rsidRDefault="008175EC" w:rsidP="00817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EC" w:rsidRPr="008175EC" w:rsidRDefault="008175EC" w:rsidP="008175EC">
    <w:pPr>
      <w:pStyle w:val="FooterCoverPage"/>
      <w:rPr>
        <w:rFonts w:ascii="Arial" w:hAnsi="Arial" w:cs="Arial"/>
        <w:b/>
        <w:sz w:val="48"/>
      </w:rPr>
    </w:pPr>
    <w:r w:rsidRPr="008175EC">
      <w:rPr>
        <w:rFonts w:ascii="Arial" w:hAnsi="Arial" w:cs="Arial"/>
        <w:b/>
        <w:sz w:val="48"/>
      </w:rPr>
      <w:t>EN</w:t>
    </w:r>
    <w:r w:rsidRPr="008175EC">
      <w:rPr>
        <w:rFonts w:ascii="Arial" w:hAnsi="Arial" w:cs="Arial"/>
        <w:b/>
        <w:sz w:val="48"/>
      </w:rPr>
      <w:tab/>
    </w:r>
    <w:r w:rsidRPr="008175EC">
      <w:rPr>
        <w:rFonts w:ascii="Arial" w:hAnsi="Arial" w:cs="Arial"/>
        <w:b/>
        <w:sz w:val="48"/>
      </w:rPr>
      <w:tab/>
    </w:r>
    <w:fldSimple w:instr=" DOCVARIABLE &quot;LW_Confidence&quot; \* MERGEFORMAT ">
      <w:r>
        <w:t xml:space="preserve"> </w:t>
      </w:r>
    </w:fldSimple>
    <w:r w:rsidRPr="008175EC">
      <w:tab/>
    </w:r>
    <w:r w:rsidRPr="008175E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EC" w:rsidRPr="008175EC" w:rsidRDefault="008175EC" w:rsidP="008175E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BC" w:rsidRDefault="005D2C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57407"/>
      <w:docPartObj>
        <w:docPartGallery w:val="Page Numbers (Bottom of Page)"/>
        <w:docPartUnique/>
      </w:docPartObj>
    </w:sdtPr>
    <w:sdtEndPr>
      <w:rPr>
        <w:noProof/>
      </w:rPr>
    </w:sdtEndPr>
    <w:sdtContent>
      <w:p w:rsidR="005D2CBC" w:rsidRDefault="008175EC">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rsidR="005D2CBC" w:rsidRDefault="005D2C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BC" w:rsidRDefault="005D2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BC" w:rsidRDefault="008175EC">
      <w:pPr>
        <w:spacing w:after="0" w:line="240" w:lineRule="auto"/>
      </w:pPr>
      <w:r>
        <w:separator/>
      </w:r>
    </w:p>
  </w:footnote>
  <w:footnote w:type="continuationSeparator" w:id="0">
    <w:p w:rsidR="005D2CBC" w:rsidRDefault="00817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EC" w:rsidRPr="008175EC" w:rsidRDefault="008175EC" w:rsidP="00817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EC" w:rsidRPr="008175EC" w:rsidRDefault="008175EC" w:rsidP="008175E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EC" w:rsidRPr="008175EC" w:rsidRDefault="008175EC" w:rsidP="008175E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BC" w:rsidRDefault="005D2C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BC" w:rsidRDefault="005D2C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BC" w:rsidRDefault="005D2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01D"/>
    <w:multiLevelType w:val="hybridMultilevel"/>
    <w:tmpl w:val="471C7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007AE5"/>
    <w:multiLevelType w:val="hybridMultilevel"/>
    <w:tmpl w:val="EC1ED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164DC8"/>
    <w:multiLevelType w:val="hybridMultilevel"/>
    <w:tmpl w:val="A394E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B4E82"/>
    <w:multiLevelType w:val="hybridMultilevel"/>
    <w:tmpl w:val="27C62410"/>
    <w:lvl w:ilvl="0" w:tplc="ED7423E0">
      <w:start w:val="1"/>
      <w:numFmt w:val="bullet"/>
      <w:lvlText w:val=""/>
      <w:lvlJc w:val="left"/>
      <w:pPr>
        <w:ind w:left="1080" w:hanging="360"/>
      </w:pPr>
      <w:rPr>
        <w:rFonts w:ascii="Wingdings" w:hAnsi="Wingdings" w:hint="default"/>
        <w:sz w:val="28"/>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3CA78DE"/>
    <w:multiLevelType w:val="hybridMultilevel"/>
    <w:tmpl w:val="C9D2FC1C"/>
    <w:lvl w:ilvl="0" w:tplc="0809000F">
      <w:start w:val="1"/>
      <w:numFmt w:val="decimal"/>
      <w:lvlText w:val="%1."/>
      <w:lvlJc w:val="left"/>
      <w:pPr>
        <w:ind w:left="720" w:hanging="720"/>
      </w:pPr>
      <w:rPr>
        <w:rFonts w:hint="default"/>
      </w:rPr>
    </w:lvl>
    <w:lvl w:ilvl="1" w:tplc="D9587D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AB61FE"/>
    <w:multiLevelType w:val="hybridMultilevel"/>
    <w:tmpl w:val="09F691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F0436DE"/>
    <w:multiLevelType w:val="hybridMultilevel"/>
    <w:tmpl w:val="37C4D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07247A"/>
    <w:multiLevelType w:val="hybridMultilevel"/>
    <w:tmpl w:val="4420D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BE01D6F"/>
    <w:multiLevelType w:val="hybridMultilevel"/>
    <w:tmpl w:val="68E6C1A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0260FB7"/>
    <w:multiLevelType w:val="hybridMultilevel"/>
    <w:tmpl w:val="4C0607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4A0187"/>
    <w:multiLevelType w:val="hybridMultilevel"/>
    <w:tmpl w:val="13A034B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476074"/>
    <w:multiLevelType w:val="hybridMultilevel"/>
    <w:tmpl w:val="1D06B586"/>
    <w:lvl w:ilvl="0" w:tplc="0809000D">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nsid w:val="5D711493"/>
    <w:multiLevelType w:val="hybridMultilevel"/>
    <w:tmpl w:val="D1BA8CF8"/>
    <w:lvl w:ilvl="0" w:tplc="0809000D">
      <w:start w:val="1"/>
      <w:numFmt w:val="bullet"/>
      <w:lvlText w:val=""/>
      <w:lvlJc w:val="left"/>
      <w:pPr>
        <w:ind w:left="675" w:hanging="360"/>
      </w:pPr>
      <w:rPr>
        <w:rFonts w:ascii="Wingdings" w:hAnsi="Wingdings"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3">
    <w:nsid w:val="65314646"/>
    <w:multiLevelType w:val="hybridMultilevel"/>
    <w:tmpl w:val="734C9A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070ACD"/>
    <w:multiLevelType w:val="hybridMultilevel"/>
    <w:tmpl w:val="10FA9C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A56875"/>
    <w:multiLevelType w:val="hybridMultilevel"/>
    <w:tmpl w:val="2B6427AA"/>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nsid w:val="7A7C4D09"/>
    <w:multiLevelType w:val="hybridMultilevel"/>
    <w:tmpl w:val="8DD00E4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16"/>
  </w:num>
  <w:num w:numId="5">
    <w:abstractNumId w:val="5"/>
  </w:num>
  <w:num w:numId="6">
    <w:abstractNumId w:val="7"/>
  </w:num>
  <w:num w:numId="7">
    <w:abstractNumId w:val="9"/>
  </w:num>
  <w:num w:numId="8">
    <w:abstractNumId w:val="6"/>
  </w:num>
  <w:num w:numId="9">
    <w:abstractNumId w:val="11"/>
  </w:num>
  <w:num w:numId="10">
    <w:abstractNumId w:val="12"/>
  </w:num>
  <w:num w:numId="11">
    <w:abstractNumId w:val="14"/>
  </w:num>
  <w:num w:numId="12">
    <w:abstractNumId w:val="13"/>
  </w:num>
  <w:num w:numId="13">
    <w:abstractNumId w:val="15"/>
  </w:num>
  <w:num w:numId="14">
    <w:abstractNumId w:val="10"/>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lt;UNUSED&gt;"/>
    <w:docVar w:name="LW_COVERPAGE_GUID" w:val="92641574A2E84B33936165D3C09AB5D4"/>
    <w:docVar w:name="LW_CROSSREFERENCE" w:val="&lt;UNUSED&gt;"/>
    <w:docVar w:name="LW_DocType" w:val="NORMAL"/>
    <w:docVar w:name="LW_EMISSION" w:val="10.2.2016"/>
    <w:docVar w:name="LW_EMISSION_ISODATE" w:val="2016-02-1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Italy - State of Play Report"/>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_x000b_"/>
    <w:docVar w:name="LW_TYPEACTEPRINCIPAL.CP" w:val="Communication from the Commission to the European Parliament and the Council on the State of Play of Implementation of the Priority Actions under the European Agenda on Migration"/>
  </w:docVars>
  <w:rsids>
    <w:rsidRoot w:val="005D2CBC"/>
    <w:rsid w:val="005D2CBC"/>
    <w:rsid w:val="0081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Leipteksti">
    <w:name w:val="Leipäteksti"/>
    <w:uiPriority w:val="99"/>
    <w:pPr>
      <w:spacing w:after="0" w:line="240" w:lineRule="auto"/>
    </w:pPr>
    <w:rPr>
      <w:rFonts w:ascii="Calibri" w:eastAsia="Calibri" w:hAnsi="Calibri" w:cs="Calibri"/>
      <w:color w:val="000000"/>
      <w:sz w:val="24"/>
      <w:szCs w:val="24"/>
      <w:u w:color="000000"/>
      <w:lang w:eastAsia="en-GB"/>
    </w:rPr>
  </w:style>
  <w:style w:type="table" w:styleId="TableGrid">
    <w:name w:val="Table Grid"/>
    <w:basedOn w:val="TableNormal"/>
    <w:uiPriority w:val="59"/>
    <w:pPr>
      <w:spacing w:after="0" w:line="240" w:lineRule="auto"/>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lang w:val="en-US" w:eastAsia="nl-NL"/>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Leipteksti">
    <w:name w:val="Leipäteksti"/>
    <w:uiPriority w:val="99"/>
    <w:pPr>
      <w:spacing w:after="0" w:line="240" w:lineRule="auto"/>
    </w:pPr>
    <w:rPr>
      <w:rFonts w:ascii="Calibri" w:eastAsia="Calibri" w:hAnsi="Calibri" w:cs="Calibri"/>
      <w:color w:val="000000"/>
      <w:sz w:val="24"/>
      <w:szCs w:val="24"/>
      <w:u w:color="000000"/>
      <w:lang w:eastAsia="en-GB"/>
    </w:rPr>
  </w:style>
  <w:style w:type="table" w:styleId="TableGrid">
    <w:name w:val="Table Grid"/>
    <w:basedOn w:val="TableNormal"/>
    <w:uiPriority w:val="59"/>
    <w:pPr>
      <w:spacing w:after="0" w:line="240" w:lineRule="auto"/>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lang w:val="en-US" w:eastAsia="nl-NL"/>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878165">
      <w:bodyDiv w:val="1"/>
      <w:marLeft w:val="0"/>
      <w:marRight w:val="0"/>
      <w:marTop w:val="0"/>
      <w:marBottom w:val="0"/>
      <w:divBdr>
        <w:top w:val="none" w:sz="0" w:space="0" w:color="auto"/>
        <w:left w:val="none" w:sz="0" w:space="0" w:color="auto"/>
        <w:bottom w:val="none" w:sz="0" w:space="0" w:color="auto"/>
        <w:right w:val="none" w:sz="0" w:space="0" w:color="auto"/>
      </w:divBdr>
    </w:div>
    <w:div w:id="17537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D3F4-12F8-4BB9-8DCA-756BFD66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2983</Words>
  <Characters>16628</Characters>
  <Application>Microsoft Office Word</Application>
  <DocSecurity>0</DocSecurity>
  <Lines>587</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DE LANDA Rosa Maria (SG)</dc:creator>
  <cp:lastModifiedBy>PAREDES ECHAURI Cristina (CAB-ALMUNIA)</cp:lastModifiedBy>
  <cp:revision>8</cp:revision>
  <cp:lastPrinted>2016-02-09T16:46:00Z</cp:lastPrinted>
  <dcterms:created xsi:type="dcterms:W3CDTF">2016-02-09T17:22:00Z</dcterms:created>
  <dcterms:modified xsi:type="dcterms:W3CDTF">2016-02-10T09:54:00Z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