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EB" w:rsidRDefault="002B4621" w:rsidP="002B4621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B192603ADE004DBDA526283C554DA36B" style="width:450.8pt;height:393.2pt">
            <v:imagedata r:id="rId12" o:title=""/>
          </v:shape>
        </w:pict>
      </w:r>
    </w:p>
    <w:bookmarkEnd w:id="0"/>
    <w:p w:rsidR="00D574EB" w:rsidRDefault="00D574EB">
      <w:pPr>
        <w:rPr>
          <w:rFonts w:ascii="Times New Roman" w:hAnsi="Times New Roman" w:cs="Times New Roman"/>
          <w:noProof/>
          <w:sz w:val="24"/>
          <w:szCs w:val="24"/>
        </w:rPr>
        <w:sectPr w:rsidR="00D574EB" w:rsidSect="002B462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574EB" w:rsidRDefault="002B4621">
      <w:pPr>
        <w:jc w:val="center"/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Relocation – State of Play: Greece</w:t>
      </w:r>
    </w:p>
    <w:tbl>
      <w:tblPr>
        <w:tblStyle w:val="TableGrid"/>
        <w:tblW w:w="9948" w:type="dxa"/>
        <w:tblLayout w:type="fixed"/>
        <w:tblLook w:val="04A0" w:firstRow="1" w:lastRow="0" w:firstColumn="1" w:lastColumn="0" w:noHBand="0" w:noVBand="1"/>
      </w:tblPr>
      <w:tblGrid>
        <w:gridCol w:w="1526"/>
        <w:gridCol w:w="1462"/>
        <w:gridCol w:w="1373"/>
        <w:gridCol w:w="1276"/>
        <w:gridCol w:w="1134"/>
        <w:gridCol w:w="1137"/>
        <w:gridCol w:w="1272"/>
        <w:gridCol w:w="768"/>
      </w:tblGrid>
      <w:tr w:rsidR="00D574EB">
        <w:trPr>
          <w:trHeight w:val="547"/>
        </w:trPr>
        <w:tc>
          <w:tcPr>
            <w:tcW w:w="1526" w:type="dxa"/>
            <w:shd w:val="clear" w:color="auto" w:fill="C6D9F1" w:themeFill="text2" w:themeFillTint="33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574EB" w:rsidRDefault="00D574E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Member State</w:t>
            </w:r>
          </w:p>
        </w:tc>
        <w:tc>
          <w:tcPr>
            <w:tcW w:w="1462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Indications by the Member States of relocation total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in the short term</w:t>
            </w:r>
          </w:p>
          <w:p w:rsidR="00D574EB" w:rsidRDefault="00D574E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Indications by the Member States of relocation to Greece</w:t>
            </w:r>
          </w:p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(Art 5.2)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Cases ready for submission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Submitted to the Member States of relocation by Greece</w:t>
            </w:r>
          </w:p>
        </w:tc>
        <w:tc>
          <w:tcPr>
            <w:tcW w:w="1137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Relocated</w:t>
            </w:r>
          </w:p>
        </w:tc>
        <w:tc>
          <w:tcPr>
            <w:tcW w:w="1272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Remaining quota**</w:t>
            </w:r>
          </w:p>
        </w:tc>
        <w:tc>
          <w:tcPr>
            <w:tcW w:w="768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NCP/LO</w:t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Austria</w:t>
            </w:r>
          </w:p>
        </w:tc>
        <w:tc>
          <w:tcPr>
            <w:tcW w:w="146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1491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Belgium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30</w:t>
            </w: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2415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Bulgaria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1302 (up to 2017)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831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Croatia</w:t>
            </w:r>
          </w:p>
        </w:tc>
        <w:tc>
          <w:tcPr>
            <w:tcW w:w="146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594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Cyprus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181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Czech Republic</w:t>
            </w:r>
          </w:p>
        </w:tc>
        <w:tc>
          <w:tcPr>
            <w:tcW w:w="146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1655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Estonia</w:t>
            </w:r>
          </w:p>
        </w:tc>
        <w:tc>
          <w:tcPr>
            <w:tcW w:w="146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204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Finland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220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44</w:t>
            </w: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1255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France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1100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370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12505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Germany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17199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Hungary</w:t>
            </w:r>
          </w:p>
        </w:tc>
        <w:tc>
          <w:tcPr>
            <w:tcW w:w="146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988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Ireland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230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i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Italy</w:t>
            </w:r>
          </w:p>
        </w:tc>
        <w:tc>
          <w:tcPr>
            <w:tcW w:w="146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Latvia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481 (up to 2017)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289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X</w:t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Liechtenstein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43</w:t>
            </w: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68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Lithuania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416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Luxembourg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279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Malta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131 (up to 2017)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78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Netherlands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3797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Norway</w:t>
            </w:r>
          </w:p>
        </w:tc>
        <w:tc>
          <w:tcPr>
            <w:tcW w:w="146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68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Poland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4321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Portugal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1758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Romania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315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125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2572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Slovenia</w:t>
            </w:r>
          </w:p>
        </w:tc>
        <w:tc>
          <w:tcPr>
            <w:tcW w:w="146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349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Slovakia</w:t>
            </w:r>
          </w:p>
        </w:tc>
        <w:tc>
          <w:tcPr>
            <w:tcW w:w="146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652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Spain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6647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Switzerland</w:t>
            </w:r>
          </w:p>
        </w:tc>
        <w:tc>
          <w:tcPr>
            <w:tcW w:w="146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68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Sweden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300</w:t>
            </w:r>
          </w:p>
        </w:tc>
        <w:tc>
          <w:tcPr>
            <w:tcW w:w="1373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</w:tc>
        <w:tc>
          <w:tcPr>
            <w:tcW w:w="1137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2378</w:t>
            </w:r>
          </w:p>
        </w:tc>
        <w:tc>
          <w:tcPr>
            <w:tcW w:w="768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</w:t>
            </w:r>
          </w:p>
        </w:tc>
        <w:tc>
          <w:tcPr>
            <w:tcW w:w="146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4582</w:t>
            </w:r>
          </w:p>
        </w:tc>
        <w:tc>
          <w:tcPr>
            <w:tcW w:w="1373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1081</w:t>
            </w:r>
          </w:p>
        </w:tc>
        <w:tc>
          <w:tcPr>
            <w:tcW w:w="127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142***</w:t>
            </w:r>
          </w:p>
        </w:tc>
        <w:tc>
          <w:tcPr>
            <w:tcW w:w="113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618***</w:t>
            </w:r>
          </w:p>
        </w:tc>
        <w:tc>
          <w:tcPr>
            <w:tcW w:w="113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218</w:t>
            </w:r>
          </w:p>
        </w:tc>
        <w:tc>
          <w:tcPr>
            <w:tcW w:w="1272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63084</w:t>
            </w:r>
          </w:p>
        </w:tc>
        <w:tc>
          <w:tcPr>
            <w:tcW w:w="768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D574EB" w:rsidRDefault="00D574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noProof/>
          <w:color w:val="000000"/>
          <w:sz w:val="16"/>
          <w:szCs w:val="16"/>
        </w:rPr>
      </w:pPr>
    </w:p>
    <w:p w:rsidR="00D574EB" w:rsidRDefault="002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fr-FR"/>
        </w:rPr>
        <w:t xml:space="preserve">(*) National Contact Points/Liaison officers. </w:t>
      </w: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t>Situation as of 8 February 2016.</w:t>
      </w:r>
    </w:p>
    <w:p w:rsidR="00D574EB" w:rsidRDefault="002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t>(**) Please note that some cases ready for submission may have not yet been attributed to any Member State. The situation concerning Sweden is currently pending due to the reque</w:t>
      </w: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t xml:space="preserve">st of Sweden to be considered beneficiary of relocation and the figures have to be updated to take into account Ireland’s participation in the Relocation Decision 2015/1601 of 22 September 2015. </w:t>
      </w:r>
    </w:p>
    <w:p w:rsidR="00D574EB" w:rsidRDefault="002B4621">
      <w:pPr>
        <w:spacing w:line="240" w:lineRule="auto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t xml:space="preserve">(***) According to data provided by Greece outside the EASO </w:t>
      </w: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t>EPS data collection system. Situation as of 8 February 2016. The cases ready for submission is the total number of relocation applications registered by the Asylum Service up to 8 February 2016 minus the sent relocation requests up to 8 February 2016. Subm</w:t>
      </w: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t>itted to the Member States of relocation by Greece is the total number relocation requests submitted up to 8 February 2016 minus the relocated.</w:t>
      </w:r>
    </w:p>
    <w:p w:rsidR="00D574EB" w:rsidRDefault="00D574EB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75"/>
        <w:tblW w:w="9948" w:type="dxa"/>
        <w:tblLook w:val="04A0" w:firstRow="1" w:lastRow="0" w:firstColumn="1" w:lastColumn="0" w:noHBand="0" w:noVBand="1"/>
      </w:tblPr>
      <w:tblGrid>
        <w:gridCol w:w="2054"/>
        <w:gridCol w:w="2157"/>
        <w:gridCol w:w="1981"/>
        <w:gridCol w:w="3756"/>
      </w:tblGrid>
      <w:tr w:rsidR="00D574EB">
        <w:trPr>
          <w:tblHeader/>
        </w:trPr>
        <w:tc>
          <w:tcPr>
            <w:tcW w:w="2054" w:type="dxa"/>
            <w:shd w:val="clear" w:color="auto" w:fill="C6D9F1" w:themeFill="text2" w:themeFillTint="33"/>
            <w:vAlign w:val="center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Relocations completed (dates)</w:t>
            </w:r>
          </w:p>
          <w:p w:rsidR="00D574EB" w:rsidRDefault="00D574E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Destination</w:t>
            </w:r>
          </w:p>
        </w:tc>
        <w:tc>
          <w:tcPr>
            <w:tcW w:w="1981" w:type="dxa"/>
            <w:shd w:val="clear" w:color="auto" w:fill="C6D9F1" w:themeFill="text2" w:themeFillTint="33"/>
            <w:vAlign w:val="center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Number of persons</w:t>
            </w:r>
          </w:p>
        </w:tc>
        <w:tc>
          <w:tcPr>
            <w:tcW w:w="3756" w:type="dxa"/>
            <w:shd w:val="clear" w:color="auto" w:fill="C6D9F1" w:themeFill="text2" w:themeFillTint="33"/>
            <w:vAlign w:val="center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Nationalities/Vulnerabilities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 November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Luxembourg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Syrians and Iraqis, including children with special needs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December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Finland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Eritreans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December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Germany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 Iraqi families, 1 Syrian family, 3 single men (relatives)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December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Lithuania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 Iraqi family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December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Portugal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 Iraqi and 2 Syrians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 January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Portugal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 Eritrean and 1 Iraqi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22 January 2016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Ireland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 Syrian family (2 adults and 8 children)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 January 2016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Finland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Syrian, Iraqis and Eritreans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 January 2016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France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43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Syrian, Iraqis and Eritreans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29 </w:t>
            </w:r>
            <w:r>
              <w:rPr>
                <w:rFonts w:ascii="Times New Roman" w:hAnsi="Times New Roman" w:cs="Times New Roman"/>
                <w:noProof/>
              </w:rPr>
              <w:t>January 2016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France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45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Syrian, Iraqis and Eritreans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 February 2016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Latvia 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Syrians and Eritreans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 February 2016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Portugal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Syrians</w:t>
            </w:r>
          </w:p>
        </w:tc>
      </w:tr>
      <w:tr w:rsidR="00D574EB">
        <w:tc>
          <w:tcPr>
            <w:tcW w:w="205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 February 2016</w:t>
            </w:r>
          </w:p>
        </w:tc>
        <w:tc>
          <w:tcPr>
            <w:tcW w:w="2157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France</w:t>
            </w:r>
          </w:p>
        </w:tc>
        <w:tc>
          <w:tcPr>
            <w:tcW w:w="1981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75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Syrians</w:t>
            </w:r>
          </w:p>
        </w:tc>
      </w:tr>
    </w:tbl>
    <w:p w:rsidR="00D574EB" w:rsidRDefault="002B462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D574EB" w:rsidRDefault="002B462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Relocation – State of play: Italy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276"/>
        <w:gridCol w:w="1134"/>
        <w:gridCol w:w="1134"/>
        <w:gridCol w:w="1275"/>
        <w:gridCol w:w="709"/>
      </w:tblGrid>
      <w:tr w:rsidR="00D574EB">
        <w:trPr>
          <w:trHeight w:val="1671"/>
        </w:trPr>
        <w:tc>
          <w:tcPr>
            <w:tcW w:w="1526" w:type="dxa"/>
            <w:shd w:val="clear" w:color="auto" w:fill="C6D9F1" w:themeFill="text2" w:themeFillTint="33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D574EB" w:rsidRDefault="00D574E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Member State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Indications by the Member States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of relocation total in the short term*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Indications by the Member States of relocation to Italy</w:t>
            </w:r>
          </w:p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(Art 5.2)*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Cases ready for submission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Submitted to the Member States of relocation by Italy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Relocated</w:t>
            </w:r>
          </w:p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*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Remaining quota* ***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NCP/LO*</w:t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Austria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462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Belgium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1383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Bulgaria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1302 (up to 2017)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471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Croatia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374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Cyprus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139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Czech Republic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1036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Estonia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125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Finland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220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96</w:t>
            </w: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684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France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1100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7073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Germany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10316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Greece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Hungary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306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/X</w:t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Ireland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360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Latvia 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481 (up to 2017)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186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Liechtenstein 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43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Lithuania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251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Luxembourg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248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Malta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131 (up to 2017)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53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Netherlands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2100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Norway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X/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Poland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35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1861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Portugal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1163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Romania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315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1608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Slovenia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218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Slovakia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250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Spain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2658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60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Switzerland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Sweden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300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39</w:t>
            </w: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1349</w:t>
            </w:r>
          </w:p>
        </w:tc>
        <w:tc>
          <w:tcPr>
            <w:tcW w:w="709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  <w:r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sym w:font="Wingdings" w:char="F0FC"/>
            </w:r>
          </w:p>
        </w:tc>
      </w:tr>
      <w:tr w:rsidR="00D574EB">
        <w:trPr>
          <w:trHeight w:val="274"/>
        </w:trPr>
        <w:tc>
          <w:tcPr>
            <w:tcW w:w="1526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</w:t>
            </w:r>
          </w:p>
        </w:tc>
        <w:tc>
          <w:tcPr>
            <w:tcW w:w="1417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4582</w:t>
            </w:r>
          </w:p>
        </w:tc>
        <w:tc>
          <w:tcPr>
            <w:tcW w:w="1418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966</w:t>
            </w:r>
          </w:p>
        </w:tc>
        <w:tc>
          <w:tcPr>
            <w:tcW w:w="1276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53</w:t>
            </w:r>
          </w:p>
        </w:tc>
        <w:tc>
          <w:tcPr>
            <w:tcW w:w="1134" w:type="dxa"/>
            <w:shd w:val="clear" w:color="auto" w:fill="FFFFFF" w:themeFill="background1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200**</w:t>
            </w:r>
          </w:p>
        </w:tc>
        <w:tc>
          <w:tcPr>
            <w:tcW w:w="1134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  <w:lang w:val="mt-MT"/>
              </w:rPr>
            </w:pPr>
            <w:r>
              <w:rPr>
                <w:rFonts w:ascii="Times New Roman" w:hAnsi="Times New Roman" w:cs="Times New Roman"/>
                <w:b/>
                <w:noProof/>
                <w:lang w:val="mt-MT"/>
              </w:rPr>
              <w:t>279</w:t>
            </w:r>
          </w:p>
          <w:p w:rsidR="00D574EB" w:rsidRDefault="00D574E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75" w:type="dxa"/>
          </w:tcPr>
          <w:p w:rsidR="00D574EB" w:rsidRDefault="002B462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34674</w:t>
            </w:r>
          </w:p>
        </w:tc>
        <w:tc>
          <w:tcPr>
            <w:tcW w:w="709" w:type="dxa"/>
          </w:tcPr>
          <w:p w:rsidR="00D574EB" w:rsidRDefault="00D574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D574EB" w:rsidRDefault="002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  <w:lang w:val="fr-FR"/>
        </w:rPr>
        <w:t xml:space="preserve">(*) National Contact Points/Liaison officers. </w:t>
      </w: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t>Situation as of 8 February 2016.</w:t>
      </w:r>
    </w:p>
    <w:p w:rsidR="00D574EB" w:rsidRDefault="002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t>(**) It refers to the number of applicants for whom a relocation request has been made by the Italian Dublin Units where a transfer has not yet been made (requests sent but not yet approved and requests approved but not yet relocated). Situation on 5 Febru</w:t>
      </w: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t xml:space="preserve">ary 2016. </w:t>
      </w:r>
    </w:p>
    <w:p w:rsidR="00D574EB" w:rsidRDefault="002B462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t>(***) The figures have to be updated to take into account Ireland’s participation in the Relocation Decision 2015/1601 of 22 September 2015.</w:t>
      </w:r>
    </w:p>
    <w:p w:rsidR="00D574EB" w:rsidRDefault="002B4621">
      <w:pP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br w:type="page"/>
      </w:r>
    </w:p>
    <w:p w:rsidR="00D574EB" w:rsidRDefault="00D574E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9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111"/>
        <w:gridCol w:w="1988"/>
        <w:gridCol w:w="3636"/>
      </w:tblGrid>
      <w:tr w:rsidR="00D574EB">
        <w:trPr>
          <w:trHeight w:val="619"/>
          <w:tblHeader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t>Relocation completed (dates)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t>Destination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t>Number of persons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t>Nationalities/Vulnerabilities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9 October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Sweden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19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15 men, 4 women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21 October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Sweden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19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Syrians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21 October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Finland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49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Eritreans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5 November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France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19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Eritreans: 18 men, 4 women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8 November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Spain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12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11 Eritreans, 1 Syrian (8 men, 4 women)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13 November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Germany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11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 xml:space="preserve">10 Syrians and 1 Eritrean (3 </w:t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minors)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19 November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Sweden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Eritrean woman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11 December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Finland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14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Eritreans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17 December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Portugal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10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Mixed nationalities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18 December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Belgium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6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3 women, 3 men (all single)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21 December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Finland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24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20 Eritreans, 4 Syrians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22 December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Spain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6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6 Eritreans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15 January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Netherlands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50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Eritreans and one Syrian family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18 January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Finland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9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Eritreans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21 January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Belgium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8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Eritreans</w:t>
            </w:r>
          </w:p>
        </w:tc>
      </w:tr>
      <w:tr w:rsidR="00D574E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3 February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France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22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4EB" w:rsidRDefault="002B46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Cs/>
                <w:noProof/>
              </w:rPr>
              <w:t>Eritreans</w:t>
            </w:r>
          </w:p>
        </w:tc>
      </w:tr>
    </w:tbl>
    <w:p w:rsidR="00D574EB" w:rsidRDefault="00D574EB">
      <w:pPr>
        <w:pStyle w:val="ListParagraph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D574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EB" w:rsidRDefault="002B4621">
      <w:pPr>
        <w:spacing w:after="0" w:line="240" w:lineRule="auto"/>
      </w:pPr>
      <w:r>
        <w:separator/>
      </w:r>
    </w:p>
  </w:endnote>
  <w:endnote w:type="continuationSeparator" w:id="0">
    <w:p w:rsidR="00D574EB" w:rsidRDefault="002B4621">
      <w:pPr>
        <w:spacing w:after="0" w:line="240" w:lineRule="auto"/>
      </w:pPr>
      <w:r>
        <w:continuationSeparator/>
      </w:r>
    </w:p>
  </w:endnote>
  <w:endnote w:type="continuationNotice" w:id="1">
    <w:p w:rsidR="00D574EB" w:rsidRDefault="00D57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21" w:rsidRPr="002B4621" w:rsidRDefault="002B4621" w:rsidP="002B46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21" w:rsidRPr="002B4621" w:rsidRDefault="002B4621" w:rsidP="002B4621">
    <w:pPr>
      <w:pStyle w:val="FooterCoverPage"/>
      <w:rPr>
        <w:rFonts w:ascii="Arial" w:hAnsi="Arial" w:cs="Arial"/>
        <w:b/>
        <w:sz w:val="48"/>
      </w:rPr>
    </w:pPr>
    <w:r w:rsidRPr="002B4621">
      <w:rPr>
        <w:rFonts w:ascii="Arial" w:hAnsi="Arial" w:cs="Arial"/>
        <w:b/>
        <w:sz w:val="48"/>
      </w:rPr>
      <w:t>EN</w:t>
    </w:r>
    <w:r w:rsidRPr="002B4621">
      <w:rPr>
        <w:rFonts w:ascii="Arial" w:hAnsi="Arial" w:cs="Arial"/>
        <w:b/>
        <w:sz w:val="48"/>
      </w:rPr>
      <w:tab/>
    </w:r>
    <w:r w:rsidRPr="002B4621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2B4621">
      <w:tab/>
    </w:r>
    <w:r w:rsidRPr="002B4621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21" w:rsidRPr="002B4621" w:rsidRDefault="002B4621" w:rsidP="002B4621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EB" w:rsidRDefault="00D574E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48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4EB" w:rsidRDefault="002B4621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574EB" w:rsidRDefault="00D574E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EB" w:rsidRDefault="00D57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EB" w:rsidRDefault="002B4621">
      <w:pPr>
        <w:spacing w:after="0" w:line="240" w:lineRule="auto"/>
      </w:pPr>
      <w:r>
        <w:separator/>
      </w:r>
    </w:p>
  </w:footnote>
  <w:footnote w:type="continuationSeparator" w:id="0">
    <w:p w:rsidR="00D574EB" w:rsidRDefault="002B4621">
      <w:pPr>
        <w:spacing w:after="0" w:line="240" w:lineRule="auto"/>
      </w:pPr>
      <w:r>
        <w:continuationSeparator/>
      </w:r>
    </w:p>
  </w:footnote>
  <w:footnote w:type="continuationNotice" w:id="1">
    <w:p w:rsidR="00D574EB" w:rsidRDefault="00D57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21" w:rsidRPr="002B4621" w:rsidRDefault="002B4621" w:rsidP="002B46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21" w:rsidRPr="002B4621" w:rsidRDefault="002B4621" w:rsidP="002B4621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21" w:rsidRPr="002B4621" w:rsidRDefault="002B4621" w:rsidP="002B4621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EB" w:rsidRDefault="00D574E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EB" w:rsidRDefault="00D574E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EB" w:rsidRDefault="00D57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F38"/>
    <w:multiLevelType w:val="hybridMultilevel"/>
    <w:tmpl w:val="81F4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2C2"/>
    <w:multiLevelType w:val="hybridMultilevel"/>
    <w:tmpl w:val="FE887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C352F"/>
    <w:multiLevelType w:val="hybridMultilevel"/>
    <w:tmpl w:val="3092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C752E"/>
    <w:multiLevelType w:val="hybridMultilevel"/>
    <w:tmpl w:val="3D0A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A6E4E"/>
    <w:multiLevelType w:val="hybridMultilevel"/>
    <w:tmpl w:val="FE9E9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982B74"/>
    <w:multiLevelType w:val="hybridMultilevel"/>
    <w:tmpl w:val="876A4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5B6A35"/>
    <w:multiLevelType w:val="hybridMultilevel"/>
    <w:tmpl w:val="7A744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996626"/>
    <w:multiLevelType w:val="hybridMultilevel"/>
    <w:tmpl w:val="167E1E8A"/>
    <w:lvl w:ilvl="0" w:tplc="1F961EDC">
      <w:start w:val="1"/>
      <w:numFmt w:val="bullet"/>
      <w:pStyle w:val="Briefinglis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C0D86"/>
    <w:multiLevelType w:val="hybridMultilevel"/>
    <w:tmpl w:val="F594E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191B09"/>
    <w:multiLevelType w:val="hybridMultilevel"/>
    <w:tmpl w:val="DC96F4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330C2"/>
    <w:multiLevelType w:val="hybridMultilevel"/>
    <w:tmpl w:val="78DE4384"/>
    <w:lvl w:ilvl="0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2CEC2882"/>
    <w:multiLevelType w:val="hybridMultilevel"/>
    <w:tmpl w:val="5A7E19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911060"/>
    <w:multiLevelType w:val="hybridMultilevel"/>
    <w:tmpl w:val="4956C3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723C3"/>
    <w:multiLevelType w:val="hybridMultilevel"/>
    <w:tmpl w:val="3C1082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99404E"/>
    <w:multiLevelType w:val="hybridMultilevel"/>
    <w:tmpl w:val="6016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21038"/>
    <w:multiLevelType w:val="hybridMultilevel"/>
    <w:tmpl w:val="A956B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1E0281"/>
    <w:multiLevelType w:val="hybridMultilevel"/>
    <w:tmpl w:val="6C8CC5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1813F68"/>
    <w:multiLevelType w:val="hybridMultilevel"/>
    <w:tmpl w:val="15CA2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8B6838"/>
    <w:multiLevelType w:val="hybridMultilevel"/>
    <w:tmpl w:val="22F6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052FC"/>
    <w:multiLevelType w:val="hybridMultilevel"/>
    <w:tmpl w:val="CA0A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8136E"/>
    <w:multiLevelType w:val="hybridMultilevel"/>
    <w:tmpl w:val="14FEA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100D3"/>
    <w:multiLevelType w:val="hybridMultilevel"/>
    <w:tmpl w:val="AAC83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F73CE"/>
    <w:multiLevelType w:val="hybridMultilevel"/>
    <w:tmpl w:val="098A2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7352B"/>
    <w:multiLevelType w:val="hybridMultilevel"/>
    <w:tmpl w:val="703C38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4A1AF1"/>
    <w:multiLevelType w:val="hybridMultilevel"/>
    <w:tmpl w:val="677C8478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6CF5B75"/>
    <w:multiLevelType w:val="hybridMultilevel"/>
    <w:tmpl w:val="4B4057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A6202"/>
    <w:multiLevelType w:val="hybridMultilevel"/>
    <w:tmpl w:val="C4B27CF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69D562EC"/>
    <w:multiLevelType w:val="hybridMultilevel"/>
    <w:tmpl w:val="6912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03B2C"/>
    <w:multiLevelType w:val="hybridMultilevel"/>
    <w:tmpl w:val="6DB2A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056F7A"/>
    <w:multiLevelType w:val="hybridMultilevel"/>
    <w:tmpl w:val="CD9C95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43F23"/>
    <w:multiLevelType w:val="hybridMultilevel"/>
    <w:tmpl w:val="5AA6EE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A415DC"/>
    <w:multiLevelType w:val="hybridMultilevel"/>
    <w:tmpl w:val="0D4EC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31"/>
  </w:num>
  <w:num w:numId="5">
    <w:abstractNumId w:val="23"/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1"/>
  </w:num>
  <w:num w:numId="11">
    <w:abstractNumId w:val="26"/>
  </w:num>
  <w:num w:numId="12">
    <w:abstractNumId w:val="12"/>
  </w:num>
  <w:num w:numId="13">
    <w:abstractNumId w:val="28"/>
  </w:num>
  <w:num w:numId="14">
    <w:abstractNumId w:val="4"/>
  </w:num>
  <w:num w:numId="15">
    <w:abstractNumId w:val="5"/>
  </w:num>
  <w:num w:numId="16">
    <w:abstractNumId w:val="21"/>
  </w:num>
  <w:num w:numId="17">
    <w:abstractNumId w:val="30"/>
  </w:num>
  <w:num w:numId="18">
    <w:abstractNumId w:val="2"/>
  </w:num>
  <w:num w:numId="19">
    <w:abstractNumId w:val="0"/>
  </w:num>
  <w:num w:numId="20">
    <w:abstractNumId w:val="14"/>
  </w:num>
  <w:num w:numId="21">
    <w:abstractNumId w:val="7"/>
  </w:num>
  <w:num w:numId="22">
    <w:abstractNumId w:val="24"/>
  </w:num>
  <w:num w:numId="23">
    <w:abstractNumId w:val="9"/>
  </w:num>
  <w:num w:numId="24">
    <w:abstractNumId w:val="25"/>
  </w:num>
  <w:num w:numId="25">
    <w:abstractNumId w:val="29"/>
  </w:num>
  <w:num w:numId="26">
    <w:abstractNumId w:val="27"/>
  </w:num>
  <w:num w:numId="27">
    <w:abstractNumId w:val="16"/>
  </w:num>
  <w:num w:numId="28">
    <w:abstractNumId w:val="15"/>
  </w:num>
  <w:num w:numId="29">
    <w:abstractNumId w:val="11"/>
  </w:num>
  <w:num w:numId="30">
    <w:abstractNumId w:val="13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4"/>
    <w:docVar w:name="LW_ANNEX_NBR_LAST" w:val="4"/>
    <w:docVar w:name="LW_CONFIDENCE" w:val=" "/>
    <w:docVar w:name="LW_CONST_RESTREINT_UE" w:val="RESTREINT UE/EU RESTRICTED"/>
    <w:docVar w:name="LW_CORRIGENDUM" w:val="&lt;UNUSED&gt;"/>
    <w:docVar w:name="LW_COVERPAGE_GUID" w:val="B192603ADE004DBDA526283C554DA36B"/>
    <w:docVar w:name="LW_CROSSREFERENCE" w:val="&lt;UNUSED&gt;"/>
    <w:docVar w:name="LW_DocType" w:val="NORMAL"/>
    <w:docVar w:name="LW_EMISSION" w:val="10.2.2016"/>
    <w:docVar w:name="LW_EMISSION_ISODATE" w:val="2016-02-10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Relocation - State of Play Table"/>
    <w:docVar w:name="LW_PART_NBR" w:val="1"/>
    <w:docVar w:name="LW_PART_NBR_TOTAL" w:val="1"/>
    <w:docVar w:name="LW_REF.INST.NEW" w:val="COM"/>
    <w:docVar w:name="LW_REF.INST.NEW_ADOPTED" w:val="final"/>
    <w:docVar w:name="LW_REF.INST.NEW_TEXT" w:val="(2016) 8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 and the Council on the State of Play of Implementation of the Priority Actions under the European Agenda on Migration"/>
  </w:docVars>
  <w:rsids>
    <w:rsidRoot w:val="00D574EB"/>
    <w:rsid w:val="002B4621"/>
    <w:rsid w:val="00D5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Briefinglist1Char">
    <w:name w:val="Briefing list 1 Char"/>
    <w:basedOn w:val="DefaultParagraphFont"/>
    <w:link w:val="Briefinglist1"/>
    <w:locked/>
    <w:rPr>
      <w:rFonts w:ascii="Arial" w:hAnsi="Arial" w:cs="Arial"/>
    </w:rPr>
  </w:style>
  <w:style w:type="paragraph" w:customStyle="1" w:styleId="Briefinglist1">
    <w:name w:val="Briefing list 1"/>
    <w:basedOn w:val="Normal"/>
    <w:link w:val="Briefinglist1Char"/>
    <w:pPr>
      <w:numPr>
        <w:numId w:val="21"/>
      </w:numPr>
      <w:spacing w:after="120" w:line="240" w:lineRule="auto"/>
      <w:jc w:val="both"/>
    </w:pPr>
    <w:rPr>
      <w:rFonts w:ascii="Arial" w:hAnsi="Arial" w:cs="Arial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Briefinglist1Char">
    <w:name w:val="Briefing list 1 Char"/>
    <w:basedOn w:val="DefaultParagraphFont"/>
    <w:link w:val="Briefinglist1"/>
    <w:locked/>
    <w:rPr>
      <w:rFonts w:ascii="Arial" w:hAnsi="Arial" w:cs="Arial"/>
    </w:rPr>
  </w:style>
  <w:style w:type="paragraph" w:customStyle="1" w:styleId="Briefinglist1">
    <w:name w:val="Briefing list 1"/>
    <w:basedOn w:val="Normal"/>
    <w:link w:val="Briefinglist1Char"/>
    <w:pPr>
      <w:numPr>
        <w:numId w:val="21"/>
      </w:numPr>
      <w:spacing w:after="120" w:line="240" w:lineRule="auto"/>
      <w:jc w:val="both"/>
    </w:pPr>
    <w:rPr>
      <w:rFonts w:ascii="Arial" w:hAnsi="Arial" w:cs="Arial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2016-01-21T15:00:00+00:00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2016-01-20T23:00:00+00:00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A035-8479-4CFC-8642-38FD5AE60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95E9B-6DE8-476D-BE8B-C73A96F6A2BC}">
  <ds:schemaRefs>
    <ds:schemaRef ds:uri="http://schemas.openxmlformats.org/package/2006/metadata/core-properties"/>
    <ds:schemaRef ds:uri="http://purl.org/dc/terms/"/>
    <ds:schemaRef ds:uri="http://schemas.microsoft.com/sharepoint/v3/fields"/>
    <ds:schemaRef ds:uri="http://schemas.microsoft.com/office/2006/documentManagement/types"/>
    <ds:schemaRef ds:uri="47eefe9a-f81e-47cf-b703-dc75e53a6b2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287DE8-D130-4C25-A53A-65233CF93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A4EF5-CE1C-4180-9D8A-506B4B27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898</Words>
  <Characters>4287</Characters>
  <Application>Microsoft Office Word</Application>
  <DocSecurity>0</DocSecurity>
  <Lines>857</Lines>
  <Paragraphs>518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MOUSNIER Julien (SG)</dc:creator>
  <cp:lastModifiedBy>PAREDES ECHAURI Cristina (CAB-ALMUNIA)</cp:lastModifiedBy>
  <cp:revision>8</cp:revision>
  <cp:lastPrinted>2016-02-09T16:47:00Z</cp:lastPrinted>
  <dcterms:created xsi:type="dcterms:W3CDTF">2016-02-09T17:28:00Z</dcterms:created>
  <dcterms:modified xsi:type="dcterms:W3CDTF">2016-02-10T09:54:00Z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4</vt:lpwstr>
  </property>
  <property fmtid="{D5CDD505-2E9C-101B-9397-08002B2CF9AE}" pid="4" name="Last annex">
    <vt:lpwstr>4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DocStatus">
    <vt:lpwstr>Green</vt:lpwstr>
  </property>
  <property fmtid="{D5CDD505-2E9C-101B-9397-08002B2CF9AE}" pid="8" name="Classification">
    <vt:lpwstr> </vt:lpwstr>
  </property>
</Properties>
</file>