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0BC" w:rsidRDefault="00AC28A4" w:rsidP="00AC28A4">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320F70BC8D64582B333E423F78EA519" style="width:450.8pt;height:393.2pt">
            <v:imagedata r:id="rId9" o:title=""/>
          </v:shape>
        </w:pict>
      </w:r>
    </w:p>
    <w:bookmarkEnd w:id="0"/>
    <w:p w:rsidR="00D110BC" w:rsidRDefault="00D110BC">
      <w:pPr>
        <w:spacing w:line="240" w:lineRule="auto"/>
        <w:rPr>
          <w:noProof/>
        </w:rPr>
        <w:sectPr w:rsidR="00D110BC" w:rsidSect="00AC28A4">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D110BC" w:rsidRDefault="00AC28A4">
      <w:pPr>
        <w:spacing w:after="0" w:line="240" w:lineRule="auto"/>
        <w:jc w:val="center"/>
        <w:rPr>
          <w:rFonts w:ascii="Times New Roman" w:hAnsi="Times New Roman" w:cs="Times New Roman"/>
          <w:b/>
          <w:noProof/>
          <w:sz w:val="24"/>
          <w:szCs w:val="24"/>
          <w:lang w:val="fr-FR"/>
        </w:rPr>
      </w:pPr>
      <w:bookmarkStart w:id="1" w:name="_GoBack"/>
      <w:bookmarkEnd w:id="1"/>
      <w:r>
        <w:rPr>
          <w:rFonts w:ascii="Times New Roman" w:hAnsi="Times New Roman" w:cs="Times New Roman"/>
          <w:b/>
          <w:noProof/>
          <w:sz w:val="24"/>
          <w:szCs w:val="24"/>
          <w:lang w:val="fr-FR"/>
        </w:rPr>
        <w:lastRenderedPageBreak/>
        <w:t>EU-Turkey Joint Action Plan: Implementation Report</w:t>
      </w:r>
    </w:p>
    <w:p w:rsidR="00D110BC" w:rsidRDefault="00D110BC">
      <w:pPr>
        <w:spacing w:after="0" w:line="240" w:lineRule="auto"/>
        <w:jc w:val="center"/>
        <w:rPr>
          <w:rFonts w:ascii="Times New Roman" w:hAnsi="Times New Roman" w:cs="Times New Roman"/>
          <w:b/>
          <w:noProof/>
          <w:sz w:val="24"/>
          <w:szCs w:val="24"/>
          <w:lang w:val="fr-FR"/>
        </w:rPr>
      </w:pPr>
    </w:p>
    <w:p w:rsidR="00D110BC" w:rsidRDefault="00AC28A4">
      <w:pPr>
        <w:spacing w:after="0" w:line="240" w:lineRule="auto"/>
        <w:jc w:val="center"/>
        <w:rPr>
          <w:rFonts w:ascii="Times New Roman" w:hAnsi="Times New Roman" w:cs="Times New Roman"/>
          <w:b/>
          <w:i/>
          <w:noProof/>
          <w:sz w:val="24"/>
          <w:szCs w:val="24"/>
        </w:rPr>
      </w:pPr>
      <w:r>
        <w:rPr>
          <w:rFonts w:ascii="Times New Roman" w:hAnsi="Times New Roman" w:cs="Times New Roman"/>
          <w:b/>
          <w:i/>
          <w:noProof/>
          <w:sz w:val="24"/>
          <w:szCs w:val="24"/>
        </w:rPr>
        <w:t>Period: 17 December 2015 to 31</w:t>
      </w:r>
      <w:r>
        <w:rPr>
          <w:rFonts w:ascii="Times New Roman" w:hAnsi="Times New Roman" w:cs="Times New Roman"/>
          <w:b/>
          <w:i/>
          <w:noProof/>
          <w:sz w:val="24"/>
          <w:szCs w:val="24"/>
          <w:vertAlign w:val="superscript"/>
        </w:rPr>
        <w:t xml:space="preserve"> </w:t>
      </w:r>
      <w:r>
        <w:rPr>
          <w:rFonts w:ascii="Times New Roman" w:hAnsi="Times New Roman" w:cs="Times New Roman"/>
          <w:b/>
          <w:i/>
          <w:noProof/>
          <w:sz w:val="24"/>
          <w:szCs w:val="24"/>
        </w:rPr>
        <w:t>January 2016</w:t>
      </w:r>
    </w:p>
    <w:p w:rsidR="00D110BC" w:rsidRDefault="00AC28A4">
      <w:pPr>
        <w:spacing w:after="0" w:line="240" w:lineRule="auto"/>
        <w:jc w:val="center"/>
        <w:rPr>
          <w:rFonts w:ascii="Times New Roman" w:hAnsi="Times New Roman" w:cs="Times New Roman"/>
          <w:b/>
          <w:i/>
          <w:noProof/>
          <w:sz w:val="24"/>
          <w:szCs w:val="24"/>
        </w:rPr>
      </w:pPr>
      <w:r>
        <w:rPr>
          <w:rFonts w:ascii="Times New Roman" w:hAnsi="Times New Roman" w:cs="Times New Roman"/>
          <w:b/>
          <w:i/>
          <w:noProof/>
          <w:sz w:val="24"/>
          <w:szCs w:val="24"/>
        </w:rPr>
        <w:t xml:space="preserve"> </w:t>
      </w:r>
    </w:p>
    <w:p w:rsidR="00D110BC" w:rsidRDefault="00AC28A4">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Introduction</w:t>
      </w:r>
    </w:p>
    <w:p w:rsidR="00D110BC" w:rsidRDefault="00AC28A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29 November 2015, at the EU-Turkey summit, Turkey and the EU activated the Joint Action Plan (JAP) that had been agreed ad referenda on 15 October 2015. The aim of the JAP is to step up cooperation for the support of Syrian refugees under </w:t>
      </w:r>
      <w:r>
        <w:rPr>
          <w:rFonts w:ascii="Times New Roman" w:hAnsi="Times New Roman" w:cs="Times New Roman"/>
          <w:noProof/>
          <w:sz w:val="24"/>
          <w:szCs w:val="24"/>
        </w:rPr>
        <w:t>temporary protection and</w:t>
      </w:r>
      <w:r>
        <w:rPr>
          <w:noProof/>
        </w:rPr>
        <w:t xml:space="preserve"> </w:t>
      </w:r>
      <w:r>
        <w:rPr>
          <w:rFonts w:ascii="Times New Roman" w:hAnsi="Times New Roman" w:cs="Times New Roman"/>
          <w:noProof/>
          <w:sz w:val="24"/>
          <w:szCs w:val="24"/>
        </w:rPr>
        <w:t xml:space="preserve">their host communities in Turkey and to strengthen cooperation to prevent irregular migration flows to the EU. The implementation of the JAP should thus bring order into migratory flows and help to stem irregular migration. </w:t>
      </w:r>
    </w:p>
    <w:p w:rsidR="00D110BC" w:rsidRDefault="00AC28A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ai</w:t>
      </w:r>
      <w:r>
        <w:rPr>
          <w:rFonts w:ascii="Times New Roman" w:hAnsi="Times New Roman" w:cs="Times New Roman"/>
          <w:noProof/>
          <w:sz w:val="24"/>
          <w:szCs w:val="24"/>
        </w:rPr>
        <w:t xml:space="preserve">m of this second JAP implementation report, two months after its activation, is to inform on the effective follow up given by Turkey and the EU to their respective commitments since the first report issued on 17 December 2015. These reports are part of an </w:t>
      </w:r>
      <w:r>
        <w:rPr>
          <w:rFonts w:ascii="Times New Roman" w:hAnsi="Times New Roman" w:cs="Times New Roman"/>
          <w:noProof/>
          <w:sz w:val="24"/>
          <w:szCs w:val="24"/>
        </w:rPr>
        <w:t xml:space="preserve">overall effort to monitor the situation closely. </w:t>
      </w:r>
    </w:p>
    <w:p w:rsidR="00D110BC" w:rsidRDefault="00AC28A4">
      <w:pPr>
        <w:pStyle w:val="ListParagraph"/>
        <w:numPr>
          <w:ilvl w:val="0"/>
          <w:numId w:val="10"/>
        </w:numPr>
        <w:spacing w:after="120" w:line="240" w:lineRule="auto"/>
        <w:ind w:left="357" w:hanging="357"/>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 xml:space="preserve">Part 1 </w:t>
      </w:r>
    </w:p>
    <w:p w:rsidR="00D110BC" w:rsidRDefault="00AC28A4">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1.1.</w:t>
      </w:r>
      <w:r>
        <w:rPr>
          <w:rFonts w:ascii="Times New Roman" w:hAnsi="Times New Roman" w:cs="Times New Roman"/>
          <w:b/>
          <w:noProof/>
          <w:sz w:val="24"/>
          <w:szCs w:val="24"/>
        </w:rPr>
        <w:tab/>
        <w:t xml:space="preserve"> Statistical data (in the EU)</w:t>
      </w:r>
    </w:p>
    <w:p w:rsidR="00D110BC" w:rsidRDefault="00AC28A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One of the key objectives of the JAP is to achieve results in particular in stemming the influx of irregular migrants. </w:t>
      </w:r>
    </w:p>
    <w:p w:rsidR="00D110BC" w:rsidRDefault="00AC28A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number of people arriving irregularly to the EU from Turkey is still high for this period of the year when winter weather conditions were expected to contribute to a decrease in the number of arrivals. More specifically, in the </w:t>
      </w:r>
      <w:r>
        <w:rPr>
          <w:rFonts w:ascii="Times New Roman" w:hAnsi="Times New Roman" w:cs="Times New Roman"/>
          <w:i/>
          <w:noProof/>
          <w:sz w:val="24"/>
          <w:szCs w:val="24"/>
        </w:rPr>
        <w:t>46 days of the reporting</w:t>
      </w:r>
      <w:r>
        <w:rPr>
          <w:rFonts w:ascii="Times New Roman" w:hAnsi="Times New Roman" w:cs="Times New Roman"/>
          <w:i/>
          <w:noProof/>
          <w:sz w:val="24"/>
          <w:szCs w:val="24"/>
        </w:rPr>
        <w:t xml:space="preserve"> period</w:t>
      </w:r>
      <w:r>
        <w:rPr>
          <w:rFonts w:ascii="Times New Roman" w:hAnsi="Times New Roman" w:cs="Times New Roman"/>
          <w:noProof/>
          <w:sz w:val="24"/>
          <w:szCs w:val="24"/>
        </w:rPr>
        <w:t xml:space="preserve"> (i.e. from 17 December to 31 January):</w:t>
      </w:r>
    </w:p>
    <w:p w:rsidR="00D110BC" w:rsidRDefault="00AC28A4">
      <w:pPr>
        <w:pStyle w:val="ListParagraph"/>
        <w:numPr>
          <w:ilvl w:val="0"/>
          <w:numId w:val="16"/>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 total number of irregular migrants who have reached the EU by sea and land (i.e. via Greece and Bulgaria) was 110,211. Most of them i.e. 109,336 or 99.2% crossed the Aegean Sea. </w:t>
      </w:r>
    </w:p>
    <w:p w:rsidR="00D110BC" w:rsidRDefault="00AC28A4">
      <w:pPr>
        <w:pStyle w:val="ListParagraph"/>
        <w:numPr>
          <w:ilvl w:val="0"/>
          <w:numId w:val="16"/>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daily average of irreg</w:t>
      </w:r>
      <w:r>
        <w:rPr>
          <w:rFonts w:ascii="Times New Roman" w:hAnsi="Times New Roman" w:cs="Times New Roman"/>
          <w:noProof/>
          <w:sz w:val="24"/>
          <w:szCs w:val="24"/>
        </w:rPr>
        <w:t xml:space="preserve">ular crossings via Greece was 2,377, via Bulgaria 19 and the total 2,396. </w:t>
      </w:r>
    </w:p>
    <w:p w:rsidR="00D110BC" w:rsidRDefault="00AC28A4">
      <w:pPr>
        <w:pStyle w:val="ListParagraph"/>
        <w:numPr>
          <w:ilvl w:val="0"/>
          <w:numId w:val="16"/>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On a weekly basis arrivals via Greece were on average 16,437.  </w:t>
      </w:r>
    </w:p>
    <w:p w:rsidR="00D110BC" w:rsidRDefault="00AC28A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For the sake of comparison with previous months:</w:t>
      </w:r>
    </w:p>
    <w:p w:rsidR="00D110BC" w:rsidRDefault="00AC28A4">
      <w:pPr>
        <w:pStyle w:val="ListParagraph"/>
        <w:numPr>
          <w:ilvl w:val="0"/>
          <w:numId w:val="16"/>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total numbers of irregular arrivals from Turkey to Greece in Sep</w:t>
      </w:r>
      <w:r>
        <w:rPr>
          <w:rFonts w:ascii="Times New Roman" w:hAnsi="Times New Roman" w:cs="Times New Roman"/>
          <w:noProof/>
          <w:sz w:val="24"/>
          <w:szCs w:val="24"/>
        </w:rPr>
        <w:t xml:space="preserve">tember, October, November, December 2015 and January 2016 were respectively 147,639, 214,792, 154,381, 110,835 and 67,756. </w:t>
      </w:r>
    </w:p>
    <w:p w:rsidR="00D110BC" w:rsidRDefault="00AC28A4">
      <w:pPr>
        <w:pStyle w:val="ListParagraph"/>
        <w:numPr>
          <w:ilvl w:val="0"/>
          <w:numId w:val="16"/>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For the same months the corresponding daily averages were 4,921, 6,929, 5,146, 3,575 and 2,186 persons.  </w:t>
      </w:r>
    </w:p>
    <w:p w:rsidR="00D110BC" w:rsidRDefault="00AC28A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irregular entries from</w:t>
      </w:r>
      <w:r>
        <w:rPr>
          <w:rFonts w:ascii="Times New Roman" w:hAnsi="Times New Roman" w:cs="Times New Roman"/>
          <w:noProof/>
          <w:sz w:val="24"/>
          <w:szCs w:val="24"/>
        </w:rPr>
        <w:t xml:space="preserve"> Turkey to Greece (via sea) in </w:t>
      </w:r>
      <w:r>
        <w:rPr>
          <w:rFonts w:ascii="Times New Roman" w:hAnsi="Times New Roman" w:cs="Times New Roman"/>
          <w:i/>
          <w:noProof/>
          <w:sz w:val="24"/>
          <w:szCs w:val="24"/>
        </w:rPr>
        <w:t>December and January</w:t>
      </w:r>
      <w:r>
        <w:rPr>
          <w:rFonts w:ascii="Times New Roman" w:hAnsi="Times New Roman" w:cs="Times New Roman"/>
          <w:noProof/>
          <w:sz w:val="24"/>
          <w:szCs w:val="24"/>
        </w:rPr>
        <w:t xml:space="preserve"> are presented in the following graphs: graph 1 illustrates the number of irregular arrivals per day and graph 2 presents the irregular arrivals per week</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w:t>
      </w:r>
    </w:p>
    <w:p w:rsidR="00D110BC" w:rsidRDefault="00AC28A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Graph 3 illustrates the number of irregular arri</w:t>
      </w:r>
      <w:r>
        <w:rPr>
          <w:rFonts w:ascii="Times New Roman" w:hAnsi="Times New Roman" w:cs="Times New Roman"/>
          <w:noProof/>
          <w:sz w:val="24"/>
          <w:szCs w:val="24"/>
        </w:rPr>
        <w:t xml:space="preserve">vals per month from Turkey to Greece from </w:t>
      </w:r>
      <w:r>
        <w:rPr>
          <w:rFonts w:ascii="Times New Roman" w:hAnsi="Times New Roman" w:cs="Times New Roman"/>
          <w:i/>
          <w:noProof/>
          <w:sz w:val="24"/>
          <w:szCs w:val="24"/>
        </w:rPr>
        <w:t>September 2015 to January 2016</w:t>
      </w:r>
      <w:r>
        <w:rPr>
          <w:rFonts w:ascii="Times New Roman" w:hAnsi="Times New Roman" w:cs="Times New Roman"/>
          <w:noProof/>
          <w:sz w:val="24"/>
          <w:szCs w:val="24"/>
        </w:rPr>
        <w:t>. Graph 4 shows the irregular arrivals in the same period i.e. from September 2015 to January 2016, broken down by the predominant nationalities (based on the declaration of migrants u</w:t>
      </w:r>
      <w:r>
        <w:rPr>
          <w:rFonts w:ascii="Times New Roman" w:hAnsi="Times New Roman" w:cs="Times New Roman"/>
          <w:noProof/>
          <w:sz w:val="24"/>
          <w:szCs w:val="24"/>
        </w:rPr>
        <w:t>pon their arrival) i.e. Syrians followed by Afghanis and Iraqis. The broken down figures reveal a diminishing percentage - as compared to the total - of Syrians (from 69 to 38%) and an increasing percentage of Afghanis (from 18% to 24%) and Iraqis (from 8%</w:t>
      </w:r>
      <w:r>
        <w:rPr>
          <w:rFonts w:ascii="Times New Roman" w:hAnsi="Times New Roman" w:cs="Times New Roman"/>
          <w:noProof/>
          <w:sz w:val="24"/>
          <w:szCs w:val="24"/>
        </w:rPr>
        <w:t xml:space="preserve"> to 15%).</w:t>
      </w:r>
    </w:p>
    <w:p w:rsidR="00D110BC" w:rsidRDefault="00AC28A4">
      <w:pPr>
        <w:spacing w:line="240" w:lineRule="auto"/>
        <w:jc w:val="center"/>
        <w:rPr>
          <w:noProof/>
          <w:color w:val="1F497D"/>
        </w:rPr>
      </w:pPr>
      <w:r>
        <w:rPr>
          <w:noProof/>
          <w:lang w:eastAsia="en-GB"/>
        </w:rPr>
        <w:drawing>
          <wp:inline distT="0" distB="0" distL="0" distR="0" wp14:anchorId="03D1E834" wp14:editId="26C5BC7A">
            <wp:extent cx="6172200" cy="3362325"/>
            <wp:effectExtent l="0" t="0" r="1905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110BC" w:rsidRDefault="00AC28A4">
      <w:pPr>
        <w:spacing w:line="240" w:lineRule="auto"/>
        <w:rPr>
          <w:rFonts w:ascii="Times New Roman" w:hAnsi="Times New Roman" w:cs="Times New Roman"/>
          <w:i/>
          <w:noProof/>
          <w:sz w:val="24"/>
          <w:szCs w:val="24"/>
        </w:rPr>
      </w:pPr>
      <w:r>
        <w:rPr>
          <w:rFonts w:ascii="Times New Roman" w:hAnsi="Times New Roman" w:cs="Times New Roman"/>
          <w:i/>
          <w:noProof/>
          <w:sz w:val="24"/>
          <w:szCs w:val="24"/>
        </w:rPr>
        <w:t xml:space="preserve">Graph 1: Daily irregular arrivals from Turkey to Greece – December 2015 and January 2016 – Source: Frontex </w:t>
      </w:r>
    </w:p>
    <w:p w:rsidR="00D110BC" w:rsidRDefault="00AC28A4">
      <w:pPr>
        <w:spacing w:line="240" w:lineRule="auto"/>
        <w:jc w:val="both"/>
        <w:rPr>
          <w:rFonts w:ascii="Times New Roman" w:hAnsi="Times New Roman" w:cs="Times New Roman"/>
          <w:noProof/>
          <w:sz w:val="24"/>
          <w:szCs w:val="24"/>
        </w:rPr>
      </w:pPr>
      <w:r>
        <w:rPr>
          <w:noProof/>
          <w:lang w:eastAsia="en-GB"/>
        </w:rPr>
        <w:drawing>
          <wp:inline distT="0" distB="0" distL="0" distR="0" wp14:anchorId="0ADC66E5" wp14:editId="4464191C">
            <wp:extent cx="5676900" cy="2924175"/>
            <wp:effectExtent l="0" t="0" r="1905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110BC" w:rsidRDefault="00AC28A4">
      <w:pPr>
        <w:spacing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Graph 2: Irregular arrivals from Turkey to Greece per month – December 2015 and January 2016 – Source: Frontex</w:t>
      </w:r>
      <w:r>
        <w:rPr>
          <w:noProof/>
        </w:rPr>
        <w:t xml:space="preserve"> </w:t>
      </w:r>
    </w:p>
    <w:p w:rsidR="00D110BC" w:rsidRDefault="00AC28A4">
      <w:pPr>
        <w:spacing w:line="240" w:lineRule="auto"/>
        <w:jc w:val="center"/>
        <w:rPr>
          <w:noProof/>
        </w:rPr>
      </w:pPr>
      <w:r>
        <w:rPr>
          <w:noProof/>
          <w:lang w:eastAsia="en-GB"/>
        </w:rPr>
        <w:lastRenderedPageBreak/>
        <w:drawing>
          <wp:inline distT="0" distB="0" distL="0" distR="0" wp14:anchorId="4F2430AC" wp14:editId="3A6C06BC">
            <wp:extent cx="5760720" cy="2445519"/>
            <wp:effectExtent l="0" t="0" r="11430" b="1206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noProof/>
        </w:rPr>
        <w:t xml:space="preserve"> </w:t>
      </w:r>
    </w:p>
    <w:p w:rsidR="00D110BC" w:rsidRDefault="00AC28A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Commission Graph 3:</w:t>
      </w:r>
      <w:r>
        <w:rPr>
          <w:rFonts w:ascii="Times New Roman" w:hAnsi="Times New Roman" w:cs="Times New Roman"/>
          <w:noProof/>
          <w:sz w:val="24"/>
          <w:szCs w:val="24"/>
        </w:rPr>
        <w:t xml:space="preserve"> Irregular arrivals from Turkey to Greece per month – September 2015 to January 2016 – Source: Frontex FRAN data (2015) and JORA data (January 2016) as of 8 February 2016. JORA data are preliminary operational data that are subject to change.</w:t>
      </w:r>
    </w:p>
    <w:p w:rsidR="00D110BC" w:rsidRDefault="00AC28A4">
      <w:pPr>
        <w:spacing w:line="240" w:lineRule="auto"/>
        <w:jc w:val="center"/>
        <w:rPr>
          <w:rFonts w:ascii="Times New Roman" w:hAnsi="Times New Roman" w:cs="Times New Roman"/>
          <w:i/>
          <w:noProof/>
          <w:sz w:val="24"/>
          <w:szCs w:val="24"/>
        </w:rPr>
      </w:pPr>
      <w:r>
        <w:rPr>
          <w:noProof/>
          <w:lang w:eastAsia="en-GB"/>
        </w:rPr>
        <w:drawing>
          <wp:inline distT="0" distB="0" distL="0" distR="0" wp14:anchorId="5D4B2260" wp14:editId="2672B30A">
            <wp:extent cx="6048375" cy="412432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110BC" w:rsidRDefault="00D110BC">
      <w:pPr>
        <w:spacing w:line="240" w:lineRule="auto"/>
        <w:jc w:val="center"/>
        <w:rPr>
          <w:rFonts w:ascii="Times New Roman" w:hAnsi="Times New Roman" w:cs="Times New Roman"/>
          <w:i/>
          <w:noProof/>
          <w:sz w:val="24"/>
          <w:szCs w:val="24"/>
        </w:rPr>
      </w:pPr>
    </w:p>
    <w:p w:rsidR="00D110BC" w:rsidRDefault="00AC28A4">
      <w:pPr>
        <w:spacing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Commission</w:t>
      </w:r>
      <w:r>
        <w:rPr>
          <w:rFonts w:ascii="Times New Roman" w:hAnsi="Times New Roman" w:cs="Times New Roman"/>
          <w:i/>
          <w:noProof/>
          <w:sz w:val="24"/>
          <w:szCs w:val="24"/>
        </w:rPr>
        <w:t xml:space="preserve"> Graph 4: Irregular arrivals from Turkey to Greece by nationalities (i.e. Syrians, Afghanis and Iraqis) - September 2015 to January 2016 – Source: Frontex FRAN data (2015) and JORA data (January 2016) as of 8 February 2016. JORA data are preliminary operat</w:t>
      </w:r>
      <w:r>
        <w:rPr>
          <w:rFonts w:ascii="Times New Roman" w:hAnsi="Times New Roman" w:cs="Times New Roman"/>
          <w:i/>
          <w:noProof/>
          <w:sz w:val="24"/>
          <w:szCs w:val="24"/>
        </w:rPr>
        <w:t>ional data that are subject to change.</w:t>
      </w:r>
    </w:p>
    <w:p w:rsidR="00D110BC" w:rsidRDefault="00AC28A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The total irregular arrivals from Turkey to Greece present a changing pattern although the numbers are declining (see graphs 2 and 3). However, this declining trend has been within the range that might already be expe</w:t>
      </w:r>
      <w:r>
        <w:rPr>
          <w:rFonts w:ascii="Times New Roman" w:hAnsi="Times New Roman" w:cs="Times New Roman"/>
          <w:noProof/>
          <w:sz w:val="24"/>
          <w:szCs w:val="24"/>
        </w:rPr>
        <w:t>cted due to winter conditions. Taking into account the winter season, figures remain high for this period of the year.</w:t>
      </w:r>
    </w:p>
    <w:p w:rsidR="00D110BC" w:rsidRDefault="00AC28A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legislative and operational measures taken by the Turkish authorities to stem irregular migration appear to have had some first – if </w:t>
      </w:r>
      <w:r>
        <w:rPr>
          <w:rFonts w:ascii="Times New Roman" w:hAnsi="Times New Roman" w:cs="Times New Roman"/>
          <w:noProof/>
          <w:sz w:val="24"/>
          <w:szCs w:val="24"/>
        </w:rPr>
        <w:t>limited - impact on the migratory flows. We are not yet able to quantify their precise short-term impact.</w:t>
      </w:r>
    </w:p>
    <w:p w:rsidR="00D110BC" w:rsidRDefault="00AC28A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It has also to be noted that, due to deteriorating weather conditions, the number of people who perished while irregularly crossing to Greece is on th</w:t>
      </w:r>
      <w:r>
        <w:rPr>
          <w:rFonts w:ascii="Times New Roman" w:hAnsi="Times New Roman" w:cs="Times New Roman"/>
          <w:noProof/>
          <w:sz w:val="24"/>
          <w:szCs w:val="24"/>
        </w:rPr>
        <w:t>e rise</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w:t>
      </w:r>
    </w:p>
    <w:p w:rsidR="00D110BC" w:rsidRDefault="00AC28A4">
      <w:pPr>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1.2. Statistical data (in Turkey)</w:t>
      </w:r>
    </w:p>
    <w:p w:rsidR="00D110BC" w:rsidRDefault="00AC28A4">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Turkey is currently hosting 2,582,600 Syrian refugees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to whom it is granting temporary protection status as a group. This status provides access to public services such as education and health care. Since 15 Jan</w:t>
      </w:r>
      <w:r>
        <w:rPr>
          <w:rFonts w:ascii="Times New Roman" w:hAnsi="Times New Roman" w:cs="Times New Roman"/>
          <w:noProof/>
          <w:sz w:val="24"/>
          <w:szCs w:val="24"/>
        </w:rPr>
        <w:t>uary 2016 it also provides – under certain conditions (see below for more details) – access to the labour market. On 22 January, 269,207 Syrians were hosted in refugee camps where they are provided with a wide range of support.</w:t>
      </w:r>
    </w:p>
    <w:p w:rsidR="00D110BC" w:rsidRDefault="00AC28A4">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Since the issuance of the fi</w:t>
      </w:r>
      <w:r>
        <w:rPr>
          <w:rFonts w:ascii="Times New Roman" w:hAnsi="Times New Roman" w:cs="Times New Roman"/>
          <w:noProof/>
          <w:sz w:val="24"/>
          <w:szCs w:val="24"/>
        </w:rPr>
        <w:t>rst JAP implementation report on 17 December 2015, the EU decided to collect EU and Turkish data on the JAP implementation in the framework of the</w:t>
      </w:r>
      <w:r>
        <w:rPr>
          <w:noProof/>
        </w:rPr>
        <w:t xml:space="preserve"> </w:t>
      </w:r>
      <w:r>
        <w:rPr>
          <w:rFonts w:ascii="Times New Roman" w:hAnsi="Times New Roman" w:cs="Times New Roman"/>
          <w:noProof/>
          <w:sz w:val="24"/>
          <w:szCs w:val="24"/>
        </w:rPr>
        <w:t>Integrated Political Crisis Response (IPCR) process. In this context and following discussions with Turkey, o</w:t>
      </w:r>
      <w:r>
        <w:rPr>
          <w:rFonts w:ascii="Times New Roman" w:hAnsi="Times New Roman" w:cs="Times New Roman"/>
          <w:noProof/>
          <w:sz w:val="24"/>
          <w:szCs w:val="24"/>
        </w:rPr>
        <w:t>n 22 January, Turkey agreed to provide data for a set of indicators regarding the implementation of the EU-Turkey JAP on the basis of an agreed template. In this regard, on 22 January the Turkish authorities provided the following information:</w:t>
      </w:r>
    </w:p>
    <w:p w:rsidR="00D110BC" w:rsidRDefault="00AC28A4">
      <w:pPr>
        <w:pStyle w:val="ListParagraph"/>
        <w:numPr>
          <w:ilvl w:val="0"/>
          <w:numId w:val="17"/>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350,000 Syri</w:t>
      </w:r>
      <w:r>
        <w:rPr>
          <w:rFonts w:ascii="Times New Roman" w:hAnsi="Times New Roman" w:cs="Times New Roman"/>
          <w:noProof/>
          <w:sz w:val="24"/>
          <w:szCs w:val="24"/>
        </w:rPr>
        <w:t>an children under temporary protection were enrolled to school.</w:t>
      </w:r>
    </w:p>
    <w:p w:rsidR="00D110BC" w:rsidRDefault="00AC28A4">
      <w:pPr>
        <w:pStyle w:val="ListParagraph"/>
        <w:numPr>
          <w:ilvl w:val="0"/>
          <w:numId w:val="17"/>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151,746 babies were born (to 22 January).</w:t>
      </w:r>
    </w:p>
    <w:p w:rsidR="00D110BC" w:rsidRDefault="00AC28A4">
      <w:pPr>
        <w:pStyle w:val="ListParagraph"/>
        <w:numPr>
          <w:ilvl w:val="0"/>
          <w:numId w:val="17"/>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As of 18 January, Turkey had registered 217,952 non-Syrians while registration was pending for another 138,912 persons.</w:t>
      </w:r>
    </w:p>
    <w:p w:rsidR="00D110BC" w:rsidRDefault="00AC28A4">
      <w:pPr>
        <w:pStyle w:val="ListParagraph"/>
        <w:numPr>
          <w:ilvl w:val="0"/>
          <w:numId w:val="17"/>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For the period 1 to 15 January</w:t>
      </w:r>
      <w:r>
        <w:rPr>
          <w:rFonts w:ascii="Times New Roman" w:hAnsi="Times New Roman" w:cs="Times New Roman"/>
          <w:noProof/>
          <w:sz w:val="24"/>
          <w:szCs w:val="24"/>
        </w:rPr>
        <w:t>, 42,936 Syrians entered regularly Turkey and 13,887 exited Turkey. The corresponding regular entries and exits for Iranians were 24,896 and 32,268; for Iraqis 12,525 and 16,300; for Lebanese 2,778 and 5,449 and for Jordanians 2,032 and 2,527. Depending on</w:t>
      </w:r>
      <w:r>
        <w:rPr>
          <w:rFonts w:ascii="Times New Roman" w:hAnsi="Times New Roman" w:cs="Times New Roman"/>
          <w:noProof/>
          <w:sz w:val="24"/>
          <w:szCs w:val="24"/>
        </w:rPr>
        <w:t xml:space="preserve"> visa duration, foreigners can stay in Turkey from 30 to 90 days. Foreigners who are entitled to enter Turkey without visa can stay in the country up to 90 days within a period of 180 days.   </w:t>
      </w:r>
    </w:p>
    <w:p w:rsidR="00D110BC" w:rsidRDefault="00AC28A4">
      <w:pPr>
        <w:pStyle w:val="ListParagraph"/>
        <w:numPr>
          <w:ilvl w:val="0"/>
          <w:numId w:val="17"/>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In the period from 1 to 15 January, Greece submitted to Turkey </w:t>
      </w:r>
      <w:r>
        <w:rPr>
          <w:rFonts w:ascii="Times New Roman" w:hAnsi="Times New Roman" w:cs="Times New Roman"/>
          <w:noProof/>
          <w:sz w:val="24"/>
          <w:szCs w:val="24"/>
        </w:rPr>
        <w:t>322 readmission requests. Bulgaria did not submit any. Turkey is currently assessing the Greek requests</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w:t>
      </w:r>
    </w:p>
    <w:p w:rsidR="00D110BC" w:rsidRDefault="00AC28A4">
      <w:pPr>
        <w:pStyle w:val="ListParagraph"/>
        <w:numPr>
          <w:ilvl w:val="0"/>
          <w:numId w:val="17"/>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In the same period from 1 to 15 January, the Turkish law enforcement border agencies prevented 2,541 migrants from sea borders and 4,671 from land </w:t>
      </w:r>
      <w:r>
        <w:rPr>
          <w:rFonts w:ascii="Times New Roman" w:hAnsi="Times New Roman" w:cs="Times New Roman"/>
          <w:noProof/>
          <w:sz w:val="24"/>
          <w:szCs w:val="24"/>
        </w:rPr>
        <w:t>borders from irregularly exiting from the Turkish territory towards the EU.</w:t>
      </w:r>
    </w:p>
    <w:p w:rsidR="00D110BC" w:rsidRDefault="00AC28A4">
      <w:pPr>
        <w:pStyle w:val="ListParagraph"/>
        <w:numPr>
          <w:ilvl w:val="0"/>
          <w:numId w:val="17"/>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lastRenderedPageBreak/>
        <w:t>In 2015, 64,109 asylum requests were registered in Turkey (of which 11,383 were introduced by Afghan citizens and 42,105 by Iraqi citizens)</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In the same year, only 459 asylum proc</w:t>
      </w:r>
      <w:r>
        <w:rPr>
          <w:rFonts w:ascii="Times New Roman" w:hAnsi="Times New Roman" w:cs="Times New Roman"/>
          <w:noProof/>
          <w:sz w:val="24"/>
          <w:szCs w:val="24"/>
        </w:rPr>
        <w:t xml:space="preserve">edures were concluded, either by granting a refugee status or with a clear rejection of the asylum request. The remaining requests remain pending. </w:t>
      </w:r>
    </w:p>
    <w:p w:rsidR="00D110BC" w:rsidRDefault="00AC28A4">
      <w:pPr>
        <w:pStyle w:val="ListParagraph"/>
        <w:numPr>
          <w:ilvl w:val="0"/>
          <w:numId w:val="17"/>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Between 1 and 15 January, the Turkish Coast Guard, Police and Gendarmerie carried out seven specific joint o</w:t>
      </w:r>
      <w:r>
        <w:rPr>
          <w:rFonts w:ascii="Times New Roman" w:hAnsi="Times New Roman" w:cs="Times New Roman"/>
          <w:noProof/>
          <w:sz w:val="24"/>
          <w:szCs w:val="24"/>
        </w:rPr>
        <w:t xml:space="preserve">perations aimed at arresting irregular migrants, facilitators/smugglers and preventing irregular departures. This resulted in the apprehension of 230 smugglers. </w:t>
      </w:r>
    </w:p>
    <w:p w:rsidR="00D110BC" w:rsidRDefault="00AC28A4">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Turkey has indicated that its law enforcement agencies have stepped up efforts to</w:t>
      </w:r>
      <w:r>
        <w:rPr>
          <w:rFonts w:ascii="Times New Roman" w:hAnsi="Times New Roman" w:cs="Times New Roman"/>
          <w:noProof/>
          <w:sz w:val="24"/>
          <w:szCs w:val="24"/>
        </w:rPr>
        <w:t xml:space="preserve"> prevent irregular departures, arrest smugglers and rescue migrants at sea. In particular, Turkey reported that in December 2015 it apprehended an average of 514 illegal migrants a day as compared with 450 in November 2015. The total number of smugglers ar</w:t>
      </w:r>
      <w:r>
        <w:rPr>
          <w:rFonts w:ascii="Times New Roman" w:hAnsi="Times New Roman" w:cs="Times New Roman"/>
          <w:noProof/>
          <w:sz w:val="24"/>
          <w:szCs w:val="24"/>
        </w:rPr>
        <w:t xml:space="preserve">rested in 2015 was 3,700. The Turkish Coast Guard, the Gendarmerie and all other law enforcement agencies play a key role in the apprehension of irregular migrants and smugglers. </w:t>
      </w:r>
    </w:p>
    <w:p w:rsidR="00D110BC" w:rsidRDefault="00AC28A4">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Turkey promised to provide more information on the basis of the agreed templ</w:t>
      </w:r>
      <w:r>
        <w:rPr>
          <w:rFonts w:ascii="Times New Roman" w:hAnsi="Times New Roman" w:cs="Times New Roman"/>
          <w:noProof/>
          <w:sz w:val="24"/>
          <w:szCs w:val="24"/>
        </w:rPr>
        <w:t>ate in February.</w:t>
      </w:r>
    </w:p>
    <w:p w:rsidR="00D110BC" w:rsidRDefault="00D110BC">
      <w:pPr>
        <w:spacing w:after="0" w:line="240" w:lineRule="auto"/>
        <w:jc w:val="both"/>
        <w:rPr>
          <w:rFonts w:ascii="Times New Roman" w:hAnsi="Times New Roman" w:cs="Times New Roman"/>
          <w:b/>
          <w:noProof/>
          <w:sz w:val="24"/>
          <w:szCs w:val="24"/>
          <w:u w:val="single"/>
        </w:rPr>
      </w:pPr>
    </w:p>
    <w:p w:rsidR="00D110BC" w:rsidRDefault="00AC28A4">
      <w:pPr>
        <w:spacing w:line="24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 xml:space="preserve">Part 2: </w:t>
      </w:r>
    </w:p>
    <w:p w:rsidR="00D110BC" w:rsidRDefault="00AC28A4">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Implementation of Turkey’s commitments under the EU-Turkey Joint Action Plan </w:t>
      </w:r>
    </w:p>
    <w:p w:rsidR="00D110BC" w:rsidRDefault="00AC28A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8 January, Turkey introduced visa obligations for Syrians travelling to a Turkish airport or seaport coming from a third country with the aim to </w:t>
      </w:r>
      <w:r>
        <w:rPr>
          <w:rFonts w:ascii="Times New Roman" w:hAnsi="Times New Roman" w:cs="Times New Roman"/>
          <w:noProof/>
          <w:sz w:val="24"/>
          <w:szCs w:val="24"/>
        </w:rPr>
        <w:t>reduce transit migration directed towards the EU. The measure produced an immediate effect as the number of Syrians that eventually were admitted into Turkey from Lebanon and Jordan dropped sharply after the introduction of the measure, passing from 41,781</w:t>
      </w:r>
      <w:r>
        <w:rPr>
          <w:rFonts w:ascii="Times New Roman" w:hAnsi="Times New Roman" w:cs="Times New Roman"/>
          <w:noProof/>
          <w:sz w:val="24"/>
          <w:szCs w:val="24"/>
        </w:rPr>
        <w:t xml:space="preserve"> in the last eight days (i.e. 1-8 January) before the introduction of the visa to 1,155 in the ten days (i.e. 9-18 January) that followed. This represents a reduction of more than 40,000 persons.</w:t>
      </w:r>
    </w:p>
    <w:p w:rsidR="00D110BC" w:rsidRDefault="00AC28A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On 15 January, Turkey adopted a regulation giving the Syrian</w:t>
      </w:r>
      <w:r>
        <w:rPr>
          <w:rFonts w:ascii="Times New Roman" w:hAnsi="Times New Roman" w:cs="Times New Roman"/>
          <w:noProof/>
          <w:sz w:val="24"/>
          <w:szCs w:val="24"/>
        </w:rPr>
        <w:t>s under temporary protection effective access to the labour market, although under some conditions and limitations fulfilling thus a key commitment of the JAP. The aim of the measure is to make Turkey a more attractive asylum country for Syrians addressing</w:t>
      </w:r>
      <w:r>
        <w:rPr>
          <w:rFonts w:ascii="Times New Roman" w:hAnsi="Times New Roman" w:cs="Times New Roman"/>
          <w:noProof/>
          <w:sz w:val="24"/>
          <w:szCs w:val="24"/>
        </w:rPr>
        <w:t xml:space="preserve"> thus one of the main factors pushing Syrians to cross irregularly to the EU in search of better perspectives. According to the regulation, a Syrian can introduce a work permit application only six months following the acceptance of his temporary protectio</w:t>
      </w:r>
      <w:r>
        <w:rPr>
          <w:rFonts w:ascii="Times New Roman" w:hAnsi="Times New Roman" w:cs="Times New Roman"/>
          <w:noProof/>
          <w:sz w:val="24"/>
          <w:szCs w:val="24"/>
        </w:rPr>
        <w:t>n status. Work permits can be granted only within the provinces where the refugee under temporary protection is allowed to dwell. The regulation foresees no limitations to economic sectors although it provides for a 10% limit for Syrian refugees with the e</w:t>
      </w:r>
      <w:r>
        <w:rPr>
          <w:rFonts w:ascii="Times New Roman" w:hAnsi="Times New Roman" w:cs="Times New Roman"/>
          <w:noProof/>
          <w:sz w:val="24"/>
          <w:szCs w:val="24"/>
        </w:rPr>
        <w:t>xception of the sectors of agriculture and animal husbandry. The regulation is immediately applicable but its general nature may require further implementing rules. The adoption of the regulation is undoubtedly a very positive step; however, its real impac</w:t>
      </w:r>
      <w:r>
        <w:rPr>
          <w:rFonts w:ascii="Times New Roman" w:hAnsi="Times New Roman" w:cs="Times New Roman"/>
          <w:noProof/>
          <w:sz w:val="24"/>
          <w:szCs w:val="24"/>
        </w:rPr>
        <w:t>t will depend on quick and effective enforcement.</w:t>
      </w:r>
    </w:p>
    <w:p w:rsidR="00D110BC" w:rsidRDefault="00AC28A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Turkey prepared and submitted to the Parliament draft legislation on personal data protection. If compatible with European standards, such legislation would enable Turkey to cooperate more closely with Euro</w:t>
      </w:r>
      <w:r>
        <w:rPr>
          <w:rFonts w:ascii="Times New Roman" w:hAnsi="Times New Roman" w:cs="Times New Roman"/>
          <w:noProof/>
          <w:sz w:val="24"/>
          <w:szCs w:val="24"/>
        </w:rPr>
        <w:t xml:space="preserve">pol, Eurojust and Member States enforcement agencies. The current draft law still needs to be improved mainly with regard to the independence of the data </w:t>
      </w:r>
      <w:r>
        <w:rPr>
          <w:rFonts w:ascii="Times New Roman" w:hAnsi="Times New Roman" w:cs="Times New Roman"/>
          <w:noProof/>
          <w:sz w:val="24"/>
          <w:szCs w:val="24"/>
        </w:rPr>
        <w:lastRenderedPageBreak/>
        <w:t>protection authority and the exclusion of law enforcement authorities and intelligence activities from</w:t>
      </w:r>
      <w:r>
        <w:rPr>
          <w:rFonts w:ascii="Times New Roman" w:hAnsi="Times New Roman" w:cs="Times New Roman"/>
          <w:noProof/>
          <w:sz w:val="24"/>
          <w:szCs w:val="24"/>
        </w:rPr>
        <w:t xml:space="preserve"> the scope of the law. The EU shared its concerns with Turkey in the hope that these shortcomings may still be addressed in the parliamentary process. </w:t>
      </w:r>
    </w:p>
    <w:p w:rsidR="00D110BC" w:rsidRDefault="00AC28A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On 8 January, the Turkish government submitted the Turkey-Bulgaria-Greece tripartite agreement to the Pa</w:t>
      </w:r>
      <w:r>
        <w:rPr>
          <w:rFonts w:ascii="Times New Roman" w:hAnsi="Times New Roman" w:cs="Times New Roman"/>
          <w:noProof/>
          <w:sz w:val="24"/>
          <w:szCs w:val="24"/>
        </w:rPr>
        <w:t xml:space="preserve">rliament for ratification. </w:t>
      </w:r>
    </w:p>
    <w:p w:rsidR="00D110BC" w:rsidRDefault="00AC28A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Turkey expressed readiness to improve the implementation of the Turkey-Greece readmission obligations and open more readmission points in addition to Dikili. The main problem for the implementation of this bilateral agreement re</w:t>
      </w:r>
      <w:r>
        <w:rPr>
          <w:rFonts w:ascii="Times New Roman" w:hAnsi="Times New Roman" w:cs="Times New Roman"/>
          <w:noProof/>
          <w:sz w:val="24"/>
          <w:szCs w:val="24"/>
        </w:rPr>
        <w:t>mains the long delays for processing the Greek readmission applications. In late December 2015 and end January 2016, Turkish officials visited Athens and discussed with the Greek authorities means and ways to improve the implementation of the bilateral rea</w:t>
      </w:r>
      <w:r>
        <w:rPr>
          <w:rFonts w:ascii="Times New Roman" w:hAnsi="Times New Roman" w:cs="Times New Roman"/>
          <w:noProof/>
          <w:sz w:val="24"/>
          <w:szCs w:val="24"/>
        </w:rPr>
        <w:t>dmission agreement.</w:t>
      </w:r>
    </w:p>
    <w:p w:rsidR="00D110BC" w:rsidRDefault="00AC28A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January, Turkish Police organised an information campaign in the country's southern resort town of Bodrum. Leaflets were prepared by the Directorate of Provincial Police to discourage migrants from taking dangerous journeys to Europe</w:t>
      </w:r>
      <w:r>
        <w:rPr>
          <w:rFonts w:ascii="Times New Roman" w:hAnsi="Times New Roman" w:cs="Times New Roman"/>
          <w:noProof/>
          <w:sz w:val="24"/>
          <w:szCs w:val="24"/>
        </w:rPr>
        <w:t>. Some 5,000 leaflets were printed in Turkish, Arabic and English and handed over for distribution to the Gendarmerie.</w:t>
      </w:r>
    </w:p>
    <w:p w:rsidR="00D110BC" w:rsidRDefault="00D110BC">
      <w:pPr>
        <w:spacing w:after="0" w:line="240" w:lineRule="auto"/>
        <w:jc w:val="both"/>
        <w:rPr>
          <w:rFonts w:ascii="Times New Roman" w:hAnsi="Times New Roman" w:cs="Times New Roman"/>
          <w:noProof/>
          <w:sz w:val="24"/>
          <w:szCs w:val="24"/>
        </w:rPr>
      </w:pPr>
    </w:p>
    <w:p w:rsidR="00D110BC" w:rsidRDefault="00AC28A4">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u w:val="single"/>
        </w:rPr>
        <w:t>Part 3:</w:t>
      </w:r>
      <w:r>
        <w:rPr>
          <w:rFonts w:ascii="Times New Roman" w:hAnsi="Times New Roman" w:cs="Times New Roman"/>
          <w:b/>
          <w:noProof/>
          <w:sz w:val="24"/>
          <w:szCs w:val="24"/>
        </w:rPr>
        <w:t xml:space="preserve"> </w:t>
      </w:r>
    </w:p>
    <w:p w:rsidR="00D110BC" w:rsidRDefault="00AC28A4">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Implementation of EU commitments under the EU-Turkey Joint Action Plan </w:t>
      </w:r>
    </w:p>
    <w:p w:rsidR="00D110BC" w:rsidRDefault="00AC28A4">
      <w:pPr>
        <w:pStyle w:val="ListBullet"/>
        <w:numPr>
          <w:ilvl w:val="0"/>
          <w:numId w:val="0"/>
        </w:num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On 24 November 2015, the Commission adopted a decision </w:t>
      </w:r>
      <w:r>
        <w:rPr>
          <w:rFonts w:ascii="Times New Roman" w:hAnsi="Times New Roman" w:cs="Times New Roman"/>
          <w:noProof/>
          <w:sz w:val="24"/>
          <w:szCs w:val="24"/>
        </w:rPr>
        <w:t>creating the Facility for Refugees in Turkey and setting up a coordination mechanism of the actions of the Union and of the Member States supporting the efforts of Turkey in hosting over 2 million of Syrian refugees. The Commission and the Member States ar</w:t>
      </w:r>
      <w:r>
        <w:rPr>
          <w:rFonts w:ascii="Times New Roman" w:hAnsi="Times New Roman" w:cs="Times New Roman"/>
          <w:noProof/>
          <w:sz w:val="24"/>
          <w:szCs w:val="24"/>
        </w:rPr>
        <w:t>e committed to provide an initial €3 billion over the years 2016 and 2017 that will be channelled through the Facility. Member States welcomed the setting up of the Facility, while underlining the link between the implementation by Turkey of its commitment</w:t>
      </w:r>
      <w:r>
        <w:rPr>
          <w:rFonts w:ascii="Times New Roman" w:hAnsi="Times New Roman" w:cs="Times New Roman"/>
          <w:noProof/>
          <w:sz w:val="24"/>
          <w:szCs w:val="24"/>
        </w:rPr>
        <w:t>s under the Joint Action Plan and the delivery of the assistance. It was subsequently decided that the EU budget will contribute €1 billion to the Facility while Member States will provide the remaining €2 billion, according to their GNI share. A political</w:t>
      </w:r>
      <w:r>
        <w:rPr>
          <w:rFonts w:ascii="Times New Roman" w:hAnsi="Times New Roman" w:cs="Times New Roman"/>
          <w:noProof/>
          <w:sz w:val="24"/>
          <w:szCs w:val="24"/>
        </w:rPr>
        <w:t xml:space="preserve"> agreement was reached between Member States on 3 February on funding sources and operating modalities for the Facility. The Commission subsequently amended its decision to reflect the agreement with Member States. The Commission is responsible for the imp</w:t>
      </w:r>
      <w:r>
        <w:rPr>
          <w:rFonts w:ascii="Times New Roman" w:hAnsi="Times New Roman" w:cs="Times New Roman"/>
          <w:noProof/>
          <w:sz w:val="24"/>
          <w:szCs w:val="24"/>
        </w:rPr>
        <w:t>lementation of the resources coordinated through the Facility using the external assistance financial instruments fitting best the type of assistance to be delivered. The Facility is managed by a steering committee, chaired by the Commission. Member States</w:t>
      </w:r>
      <w:r>
        <w:rPr>
          <w:rFonts w:ascii="Times New Roman" w:hAnsi="Times New Roman" w:cs="Times New Roman"/>
          <w:noProof/>
          <w:sz w:val="24"/>
          <w:szCs w:val="24"/>
        </w:rPr>
        <w:t xml:space="preserve"> are members of the steering committee, in which Turkey has an observer status. The Steering Committee will convene for the first time on 17 February. </w:t>
      </w:r>
      <w:r>
        <w:rPr>
          <w:rFonts w:ascii="Times New Roman" w:hAnsi="Times New Roman" w:cs="Times New Roman"/>
          <w:noProof/>
          <w:sz w:val="24"/>
          <w:szCs w:val="24"/>
          <w:lang w:val="en-US"/>
        </w:rPr>
        <w:t>The Facility will deliver assistance as soon as possible with the prime objective to provide assistance i</w:t>
      </w:r>
      <w:r>
        <w:rPr>
          <w:rFonts w:ascii="Times New Roman" w:hAnsi="Times New Roman" w:cs="Times New Roman"/>
          <w:noProof/>
          <w:sz w:val="24"/>
          <w:szCs w:val="24"/>
          <w:lang w:val="en-US"/>
        </w:rPr>
        <w:t xml:space="preserve">n order to address, in a dignified manner, the basic needs of the most vulnerable refugee population living in Turkey, including food, shelter, health in emergency and protection. Informal education will also be covered in order to avoid a lost generation </w:t>
      </w:r>
      <w:r>
        <w:rPr>
          <w:rFonts w:ascii="Times New Roman" w:hAnsi="Times New Roman" w:cs="Times New Roman"/>
          <w:noProof/>
          <w:sz w:val="24"/>
          <w:szCs w:val="24"/>
          <w:lang w:val="en-US"/>
        </w:rPr>
        <w:t>of Syrian children, in complementarity with the long-term actions provided. Today, about 400,000 Syrian children cannot go to school. This is an important push factor jeopardizing not only their immediate well-being but also their chance to build a future.</w:t>
      </w:r>
      <w:r>
        <w:rPr>
          <w:rFonts w:ascii="Times New Roman" w:hAnsi="Times New Roman" w:cs="Times New Roman"/>
          <w:noProof/>
          <w:sz w:val="24"/>
          <w:szCs w:val="24"/>
          <w:lang w:val="en-US"/>
        </w:rPr>
        <w:t xml:space="preserve"> </w:t>
      </w:r>
    </w:p>
    <w:p w:rsidR="00D110BC" w:rsidRDefault="00AC28A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At the end of 2015, in cooperation with the Turkish authorities the Commission launched a needs assessment for Syrians under temporary protection in Turkey. A first overview of the needs assessment is expected by mid-February while completion of the stud</w:t>
      </w:r>
      <w:r>
        <w:rPr>
          <w:rFonts w:ascii="Times New Roman" w:hAnsi="Times New Roman" w:cs="Times New Roman"/>
          <w:noProof/>
          <w:sz w:val="24"/>
          <w:szCs w:val="24"/>
        </w:rPr>
        <w:t xml:space="preserve">y is foreseen in </w:t>
      </w:r>
      <w:r>
        <w:rPr>
          <w:rFonts w:ascii="Times New Roman" w:hAnsi="Times New Roman" w:cs="Times New Roman"/>
          <w:noProof/>
          <w:sz w:val="24"/>
          <w:szCs w:val="24"/>
        </w:rPr>
        <w:lastRenderedPageBreak/>
        <w:t>early spring. The needs assessment will help identify projects to be funded through the Facility. In the meantime, the Commission has already identified education, improvement of the employability of Syrian refugees and resettlement as pri</w:t>
      </w:r>
      <w:r>
        <w:rPr>
          <w:rFonts w:ascii="Times New Roman" w:hAnsi="Times New Roman" w:cs="Times New Roman"/>
          <w:noProof/>
          <w:sz w:val="24"/>
          <w:szCs w:val="24"/>
        </w:rPr>
        <w:t>ority areas for immediate support (see annex with priority areas of intervention). The current provisional estimate is that humanitarian needs could cover a third of the assistance, while two thirds could support access to education (big focus), local infr</w:t>
      </w:r>
      <w:r>
        <w:rPr>
          <w:rFonts w:ascii="Times New Roman" w:hAnsi="Times New Roman" w:cs="Times New Roman"/>
          <w:noProof/>
          <w:sz w:val="24"/>
          <w:szCs w:val="24"/>
        </w:rPr>
        <w:t>astructures and job opportunities.</w:t>
      </w:r>
    </w:p>
    <w:p w:rsidR="00D110BC" w:rsidRDefault="00AC28A4">
      <w:pPr>
        <w:spacing w:line="240" w:lineRule="auto"/>
        <w:jc w:val="both"/>
        <w:rPr>
          <w:rFonts w:ascii="Times New Roman" w:hAnsi="Times New Roman" w:cs="Times New Roman"/>
          <w:bCs/>
          <w:iCs/>
          <w:noProof/>
          <w:sz w:val="24"/>
          <w:szCs w:val="24"/>
        </w:rPr>
      </w:pPr>
      <w:r>
        <w:rPr>
          <w:rFonts w:ascii="Times New Roman" w:hAnsi="Times New Roman" w:cs="Times New Roman"/>
          <w:bCs/>
          <w:iCs/>
          <w:noProof/>
          <w:sz w:val="24"/>
          <w:szCs w:val="24"/>
        </w:rPr>
        <w:t>On 11 January, Commission First Vice-President Timmermans visited Turkey and discussed with Turkish interlocutors about the effective implementation of the JAP.</w:t>
      </w:r>
    </w:p>
    <w:p w:rsidR="00D110BC" w:rsidRDefault="00AC28A4">
      <w:pPr>
        <w:spacing w:line="240" w:lineRule="auto"/>
        <w:jc w:val="both"/>
        <w:rPr>
          <w:rFonts w:ascii="Times New Roman" w:hAnsi="Times New Roman" w:cs="Times New Roman"/>
          <w:bCs/>
          <w:iCs/>
          <w:noProof/>
          <w:sz w:val="24"/>
          <w:szCs w:val="24"/>
        </w:rPr>
      </w:pPr>
      <w:r>
        <w:rPr>
          <w:rFonts w:ascii="Times New Roman" w:hAnsi="Times New Roman" w:cs="Times New Roman"/>
          <w:bCs/>
          <w:iCs/>
          <w:noProof/>
          <w:sz w:val="24"/>
          <w:szCs w:val="24"/>
        </w:rPr>
        <w:t xml:space="preserve">On 25 January, High Representative/Vice-President Mogherini and Commissioner Hahn held discussions about JAP implementation in the framework of high-level political dialogue.   </w:t>
      </w:r>
    </w:p>
    <w:p w:rsidR="00D110BC" w:rsidRDefault="00AC28A4">
      <w:pPr>
        <w:spacing w:line="240" w:lineRule="auto"/>
        <w:jc w:val="both"/>
        <w:rPr>
          <w:rFonts w:ascii="Times New Roman" w:hAnsi="Times New Roman" w:cs="Times New Roman"/>
          <w:bCs/>
          <w:iCs/>
          <w:noProof/>
          <w:sz w:val="24"/>
          <w:szCs w:val="24"/>
        </w:rPr>
      </w:pPr>
      <w:r>
        <w:rPr>
          <w:rFonts w:ascii="Times New Roman" w:hAnsi="Times New Roman" w:cs="Times New Roman"/>
          <w:bCs/>
          <w:iCs/>
          <w:noProof/>
          <w:sz w:val="24"/>
          <w:szCs w:val="24"/>
        </w:rPr>
        <w:t>On 28 January an EU delegation met the Turkish authorities in Ankara to discus</w:t>
      </w:r>
      <w:r>
        <w:rPr>
          <w:rFonts w:ascii="Times New Roman" w:hAnsi="Times New Roman" w:cs="Times New Roman"/>
          <w:bCs/>
          <w:iCs/>
          <w:noProof/>
          <w:sz w:val="24"/>
          <w:szCs w:val="24"/>
        </w:rPr>
        <w:t xml:space="preserve">s and agree concrete ways to improve the implementation and effectiveness of the JAP and reduce the migratory flows. They identified twelve priority actions which should be further explored as a matter of urgency. The list of actions includes </w:t>
      </w:r>
      <w:r>
        <w:rPr>
          <w:rFonts w:ascii="Times New Roman" w:hAnsi="Times New Roman" w:cs="Times New Roman"/>
          <w:bCs/>
          <w:i/>
          <w:iCs/>
          <w:noProof/>
          <w:sz w:val="24"/>
          <w:szCs w:val="24"/>
        </w:rPr>
        <w:t>inter alia</w:t>
      </w:r>
      <w:r>
        <w:rPr>
          <w:rFonts w:ascii="Times New Roman" w:hAnsi="Times New Roman" w:cs="Times New Roman"/>
          <w:bCs/>
          <w:iCs/>
          <w:noProof/>
          <w:sz w:val="24"/>
          <w:szCs w:val="24"/>
        </w:rPr>
        <w:t xml:space="preserve"> th</w:t>
      </w:r>
      <w:r>
        <w:rPr>
          <w:rFonts w:ascii="Times New Roman" w:hAnsi="Times New Roman" w:cs="Times New Roman"/>
          <w:bCs/>
          <w:iCs/>
          <w:noProof/>
          <w:sz w:val="24"/>
          <w:szCs w:val="24"/>
        </w:rPr>
        <w:t>e following:</w:t>
      </w:r>
    </w:p>
    <w:p w:rsidR="00D110BC" w:rsidRDefault="00AC28A4">
      <w:pPr>
        <w:pStyle w:val="ListParagraph"/>
        <w:numPr>
          <w:ilvl w:val="0"/>
          <w:numId w:val="17"/>
        </w:numPr>
        <w:spacing w:after="120" w:line="240" w:lineRule="auto"/>
        <w:ind w:left="714" w:hanging="357"/>
        <w:contextualSpacing w:val="0"/>
        <w:jc w:val="both"/>
        <w:rPr>
          <w:rFonts w:ascii="Times New Roman" w:hAnsi="Times New Roman" w:cs="Times New Roman"/>
          <w:bCs/>
          <w:iCs/>
          <w:noProof/>
          <w:sz w:val="24"/>
          <w:szCs w:val="24"/>
        </w:rPr>
      </w:pPr>
      <w:r>
        <w:rPr>
          <w:rFonts w:ascii="Times New Roman" w:hAnsi="Times New Roman" w:cs="Times New Roman"/>
          <w:bCs/>
          <w:iCs/>
          <w:noProof/>
          <w:sz w:val="24"/>
          <w:szCs w:val="24"/>
        </w:rPr>
        <w:t>To strengthen Turkey’s capacity to implement the EU-Turkey readmission agreement as of 1 June 2016;</w:t>
      </w:r>
    </w:p>
    <w:p w:rsidR="00D110BC" w:rsidRDefault="00AC28A4">
      <w:pPr>
        <w:pStyle w:val="ListParagraph"/>
        <w:numPr>
          <w:ilvl w:val="0"/>
          <w:numId w:val="17"/>
        </w:numPr>
        <w:spacing w:after="120" w:line="240" w:lineRule="auto"/>
        <w:ind w:left="714" w:hanging="357"/>
        <w:contextualSpacing w:val="0"/>
        <w:jc w:val="both"/>
        <w:rPr>
          <w:rFonts w:ascii="Times New Roman" w:hAnsi="Times New Roman" w:cs="Times New Roman"/>
          <w:bCs/>
          <w:iCs/>
          <w:noProof/>
          <w:sz w:val="24"/>
          <w:szCs w:val="24"/>
        </w:rPr>
      </w:pPr>
      <w:r>
        <w:rPr>
          <w:rFonts w:ascii="Times New Roman" w:hAnsi="Times New Roman" w:cs="Times New Roman"/>
          <w:bCs/>
          <w:iCs/>
          <w:noProof/>
          <w:sz w:val="24"/>
          <w:szCs w:val="24"/>
        </w:rPr>
        <w:t xml:space="preserve">Turkey to conclude readmission agreements with countries that are sources of irregular migration to Turkey and the EU; </w:t>
      </w:r>
    </w:p>
    <w:p w:rsidR="00D110BC" w:rsidRDefault="00AC28A4">
      <w:pPr>
        <w:pStyle w:val="ListParagraph"/>
        <w:numPr>
          <w:ilvl w:val="0"/>
          <w:numId w:val="17"/>
        </w:numPr>
        <w:spacing w:after="120" w:line="240" w:lineRule="auto"/>
        <w:ind w:left="714" w:hanging="357"/>
        <w:contextualSpacing w:val="0"/>
        <w:jc w:val="both"/>
        <w:rPr>
          <w:rFonts w:ascii="Times New Roman" w:hAnsi="Times New Roman" w:cs="Times New Roman"/>
          <w:bCs/>
          <w:iCs/>
          <w:noProof/>
          <w:sz w:val="24"/>
          <w:szCs w:val="24"/>
        </w:rPr>
      </w:pPr>
      <w:r>
        <w:rPr>
          <w:rFonts w:ascii="Times New Roman" w:hAnsi="Times New Roman" w:cs="Times New Roman"/>
          <w:bCs/>
          <w:iCs/>
          <w:noProof/>
          <w:sz w:val="24"/>
          <w:szCs w:val="24"/>
        </w:rPr>
        <w:t>To improve the implemen</w:t>
      </w:r>
      <w:r>
        <w:rPr>
          <w:rFonts w:ascii="Times New Roman" w:hAnsi="Times New Roman" w:cs="Times New Roman"/>
          <w:bCs/>
          <w:iCs/>
          <w:noProof/>
          <w:sz w:val="24"/>
          <w:szCs w:val="24"/>
        </w:rPr>
        <w:t>tation of the Greece-Turkey bilateral agreement;</w:t>
      </w:r>
    </w:p>
    <w:p w:rsidR="00D110BC" w:rsidRDefault="00AC28A4">
      <w:pPr>
        <w:pStyle w:val="ListParagraph"/>
        <w:numPr>
          <w:ilvl w:val="0"/>
          <w:numId w:val="17"/>
        </w:numPr>
        <w:spacing w:after="120" w:line="240" w:lineRule="auto"/>
        <w:ind w:left="714" w:hanging="357"/>
        <w:contextualSpacing w:val="0"/>
        <w:jc w:val="both"/>
        <w:rPr>
          <w:rFonts w:ascii="Times New Roman" w:hAnsi="Times New Roman" w:cs="Times New Roman"/>
          <w:bCs/>
          <w:iCs/>
          <w:noProof/>
          <w:sz w:val="24"/>
          <w:szCs w:val="24"/>
        </w:rPr>
      </w:pPr>
      <w:r>
        <w:rPr>
          <w:rFonts w:ascii="Times New Roman" w:hAnsi="Times New Roman" w:cs="Times New Roman"/>
          <w:bCs/>
          <w:iCs/>
          <w:noProof/>
          <w:sz w:val="24"/>
          <w:szCs w:val="24"/>
        </w:rPr>
        <w:t>To adopt a personal data protection legislation in line with European standards which is necessary for closer cooperation of Turkey with Europol, Eurojust and Member States enforcement agencies;</w:t>
      </w:r>
    </w:p>
    <w:p w:rsidR="00D110BC" w:rsidRDefault="00AC28A4">
      <w:pPr>
        <w:pStyle w:val="ListParagraph"/>
        <w:numPr>
          <w:ilvl w:val="0"/>
          <w:numId w:val="17"/>
        </w:numPr>
        <w:spacing w:after="120" w:line="240" w:lineRule="auto"/>
        <w:ind w:left="714" w:hanging="357"/>
        <w:contextualSpacing w:val="0"/>
        <w:jc w:val="both"/>
        <w:rPr>
          <w:rFonts w:ascii="Times New Roman" w:hAnsi="Times New Roman" w:cs="Times New Roman"/>
          <w:bCs/>
          <w:iCs/>
          <w:noProof/>
          <w:sz w:val="24"/>
          <w:szCs w:val="24"/>
        </w:rPr>
      </w:pPr>
      <w:r>
        <w:rPr>
          <w:rFonts w:ascii="Times New Roman" w:hAnsi="Times New Roman" w:cs="Times New Roman"/>
          <w:bCs/>
          <w:iCs/>
          <w:noProof/>
          <w:sz w:val="24"/>
          <w:szCs w:val="24"/>
        </w:rPr>
        <w:t>To reinforce</w:t>
      </w:r>
      <w:r>
        <w:rPr>
          <w:rFonts w:ascii="Times New Roman" w:hAnsi="Times New Roman" w:cs="Times New Roman"/>
          <w:bCs/>
          <w:iCs/>
          <w:noProof/>
          <w:sz w:val="24"/>
          <w:szCs w:val="24"/>
        </w:rPr>
        <w:t xml:space="preserve"> the interception capacity of the Turkish Coast Guard;</w:t>
      </w:r>
    </w:p>
    <w:p w:rsidR="00D110BC" w:rsidRDefault="00AC28A4">
      <w:pPr>
        <w:pStyle w:val="ListParagraph"/>
        <w:numPr>
          <w:ilvl w:val="0"/>
          <w:numId w:val="17"/>
        </w:numPr>
        <w:spacing w:after="120" w:line="240" w:lineRule="auto"/>
        <w:ind w:left="714" w:hanging="357"/>
        <w:contextualSpacing w:val="0"/>
        <w:jc w:val="both"/>
        <w:rPr>
          <w:rFonts w:ascii="Times New Roman" w:hAnsi="Times New Roman" w:cs="Times New Roman"/>
          <w:bCs/>
          <w:iCs/>
          <w:noProof/>
          <w:sz w:val="24"/>
          <w:szCs w:val="24"/>
        </w:rPr>
      </w:pPr>
      <w:r>
        <w:rPr>
          <w:rFonts w:ascii="Times New Roman" w:hAnsi="Times New Roman" w:cs="Times New Roman"/>
          <w:bCs/>
          <w:iCs/>
          <w:noProof/>
          <w:sz w:val="24"/>
          <w:szCs w:val="24"/>
        </w:rPr>
        <w:t>To strengthen Turkey’s legislation, action and cooperation with EU Member States in the fight against smuggling and smugglers;</w:t>
      </w:r>
    </w:p>
    <w:p w:rsidR="00D110BC" w:rsidRDefault="00AC28A4">
      <w:pPr>
        <w:pStyle w:val="ListParagraph"/>
        <w:numPr>
          <w:ilvl w:val="0"/>
          <w:numId w:val="17"/>
        </w:numPr>
        <w:spacing w:after="120" w:line="240" w:lineRule="auto"/>
        <w:ind w:left="714" w:hanging="357"/>
        <w:contextualSpacing w:val="0"/>
        <w:jc w:val="both"/>
        <w:rPr>
          <w:rFonts w:ascii="Times New Roman" w:hAnsi="Times New Roman" w:cs="Times New Roman"/>
          <w:bCs/>
          <w:iCs/>
          <w:noProof/>
          <w:sz w:val="24"/>
          <w:szCs w:val="24"/>
        </w:rPr>
      </w:pPr>
      <w:r>
        <w:rPr>
          <w:rFonts w:ascii="Times New Roman" w:hAnsi="Times New Roman" w:cs="Times New Roman"/>
          <w:bCs/>
          <w:iCs/>
          <w:noProof/>
          <w:sz w:val="24"/>
          <w:szCs w:val="24"/>
        </w:rPr>
        <w:t xml:space="preserve">To support Turkey to better manage its eastern borders; </w:t>
      </w:r>
    </w:p>
    <w:p w:rsidR="00D110BC" w:rsidRDefault="00AC28A4">
      <w:pPr>
        <w:pStyle w:val="ListParagraph"/>
        <w:numPr>
          <w:ilvl w:val="0"/>
          <w:numId w:val="17"/>
        </w:numPr>
        <w:spacing w:after="120" w:line="240" w:lineRule="auto"/>
        <w:ind w:left="714" w:hanging="357"/>
        <w:contextualSpacing w:val="0"/>
        <w:jc w:val="both"/>
        <w:rPr>
          <w:rFonts w:ascii="Times New Roman" w:hAnsi="Times New Roman" w:cs="Times New Roman"/>
          <w:bCs/>
          <w:iCs/>
          <w:noProof/>
          <w:sz w:val="24"/>
          <w:szCs w:val="24"/>
        </w:rPr>
      </w:pPr>
      <w:r>
        <w:rPr>
          <w:rFonts w:ascii="Times New Roman" w:hAnsi="Times New Roman" w:cs="Times New Roman"/>
          <w:bCs/>
          <w:iCs/>
          <w:noProof/>
          <w:sz w:val="24"/>
          <w:szCs w:val="24"/>
        </w:rPr>
        <w:t>To step up inform</w:t>
      </w:r>
      <w:r>
        <w:rPr>
          <w:rFonts w:ascii="Times New Roman" w:hAnsi="Times New Roman" w:cs="Times New Roman"/>
          <w:bCs/>
          <w:iCs/>
          <w:noProof/>
          <w:sz w:val="24"/>
          <w:szCs w:val="24"/>
        </w:rPr>
        <w:t>ation campaigns for migrants discouraging them from taking perilous journeys to the EU;</w:t>
      </w:r>
    </w:p>
    <w:p w:rsidR="00D110BC" w:rsidRDefault="00AC28A4">
      <w:pPr>
        <w:pStyle w:val="ListParagraph"/>
        <w:numPr>
          <w:ilvl w:val="0"/>
          <w:numId w:val="17"/>
        </w:numPr>
        <w:spacing w:after="120" w:line="240" w:lineRule="auto"/>
        <w:ind w:left="714" w:hanging="357"/>
        <w:contextualSpacing w:val="0"/>
        <w:jc w:val="both"/>
        <w:rPr>
          <w:rFonts w:ascii="Times New Roman" w:hAnsi="Times New Roman" w:cs="Times New Roman"/>
          <w:bCs/>
          <w:iCs/>
          <w:noProof/>
          <w:sz w:val="24"/>
          <w:szCs w:val="24"/>
        </w:rPr>
      </w:pPr>
      <w:r>
        <w:rPr>
          <w:rFonts w:ascii="Times New Roman" w:hAnsi="Times New Roman" w:cs="Times New Roman"/>
          <w:bCs/>
          <w:iCs/>
          <w:noProof/>
          <w:sz w:val="24"/>
          <w:szCs w:val="24"/>
        </w:rPr>
        <w:t xml:space="preserve">To support Turkey in better identifying forged and/or falsified travel and other supporting documents.  </w:t>
      </w:r>
    </w:p>
    <w:p w:rsidR="00D110BC" w:rsidRDefault="00AC28A4">
      <w:pPr>
        <w:spacing w:line="240" w:lineRule="auto"/>
        <w:jc w:val="both"/>
        <w:rPr>
          <w:rFonts w:ascii="Times New Roman" w:hAnsi="Times New Roman" w:cs="Times New Roman"/>
          <w:bCs/>
          <w:iCs/>
          <w:noProof/>
          <w:sz w:val="24"/>
          <w:szCs w:val="24"/>
        </w:rPr>
      </w:pPr>
      <w:r>
        <w:rPr>
          <w:rFonts w:ascii="Times New Roman" w:hAnsi="Times New Roman" w:cs="Times New Roman"/>
          <w:bCs/>
          <w:iCs/>
          <w:noProof/>
          <w:sz w:val="24"/>
          <w:szCs w:val="24"/>
        </w:rPr>
        <w:t xml:space="preserve">The EU is already providing assistance in several of the </w:t>
      </w:r>
      <w:r>
        <w:rPr>
          <w:rFonts w:ascii="Times New Roman" w:hAnsi="Times New Roman" w:cs="Times New Roman"/>
          <w:bCs/>
          <w:iCs/>
          <w:noProof/>
          <w:sz w:val="24"/>
          <w:szCs w:val="24"/>
        </w:rPr>
        <w:t>above-mentioned areas, in particular through the Instrument for Pre-Accession Assistance (IPA) and the Instrument Contributing to Stability and Peace (IcSP), the delivery of which may need to be accelerated.</w:t>
      </w:r>
    </w:p>
    <w:p w:rsidR="00D110BC" w:rsidRDefault="00AC28A4">
      <w:pPr>
        <w:spacing w:line="240" w:lineRule="auto"/>
        <w:jc w:val="both"/>
        <w:rPr>
          <w:rFonts w:ascii="Times New Roman" w:hAnsi="Times New Roman" w:cs="Times New Roman"/>
          <w:bCs/>
          <w:iCs/>
          <w:noProof/>
          <w:sz w:val="24"/>
          <w:szCs w:val="24"/>
        </w:rPr>
      </w:pPr>
      <w:r>
        <w:rPr>
          <w:rFonts w:ascii="Times New Roman" w:hAnsi="Times New Roman" w:cs="Times New Roman"/>
          <w:bCs/>
          <w:iCs/>
          <w:noProof/>
          <w:sz w:val="24"/>
          <w:szCs w:val="24"/>
        </w:rPr>
        <w:t>On 2 February, the two sides conducted a first f</w:t>
      </w:r>
      <w:r>
        <w:rPr>
          <w:rFonts w:ascii="Times New Roman" w:hAnsi="Times New Roman" w:cs="Times New Roman"/>
          <w:bCs/>
          <w:iCs/>
          <w:noProof/>
          <w:sz w:val="24"/>
          <w:szCs w:val="24"/>
        </w:rPr>
        <w:t xml:space="preserve">ollow-up discussion on the above list of actions. </w:t>
      </w:r>
    </w:p>
    <w:p w:rsidR="00D110BC" w:rsidRDefault="00AC28A4">
      <w:pPr>
        <w:spacing w:line="240" w:lineRule="auto"/>
        <w:jc w:val="both"/>
        <w:rPr>
          <w:rFonts w:ascii="Times New Roman" w:hAnsi="Times New Roman" w:cs="Times New Roman"/>
          <w:noProof/>
          <w:sz w:val="24"/>
          <w:szCs w:val="24"/>
        </w:rPr>
      </w:pPr>
      <w:r>
        <w:rPr>
          <w:rFonts w:ascii="Times New Roman" w:hAnsi="Times New Roman" w:cs="Times New Roman"/>
          <w:bCs/>
          <w:iCs/>
          <w:noProof/>
          <w:sz w:val="24"/>
          <w:szCs w:val="24"/>
        </w:rPr>
        <w:t xml:space="preserve">The Commission and Turkey continued discussions on the priorities for the 2016 programme under the IPA assistance, with a clear focus on </w:t>
      </w:r>
      <w:r>
        <w:rPr>
          <w:rFonts w:ascii="Times New Roman" w:hAnsi="Times New Roman" w:cs="Times New Roman"/>
          <w:noProof/>
          <w:sz w:val="24"/>
          <w:szCs w:val="24"/>
        </w:rPr>
        <w:t>increasing the financial assistance to support Turkey in meeting the</w:t>
      </w:r>
      <w:r>
        <w:rPr>
          <w:rFonts w:ascii="Times New Roman" w:hAnsi="Times New Roman" w:cs="Times New Roman"/>
          <w:noProof/>
          <w:sz w:val="24"/>
          <w:szCs w:val="24"/>
        </w:rPr>
        <w:t xml:space="preserve"> requirement of the Visa Liberalisation Dialogue (Programming mission of DG NEAR on 9-11 December). </w:t>
      </w:r>
    </w:p>
    <w:p w:rsidR="00D110BC" w:rsidRDefault="00AC28A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meantime, the EU continued to provide immediate assistance in Turkey. Since the beginning of the crisis, an overall amount of €365 million from the </w:t>
      </w:r>
      <w:r>
        <w:rPr>
          <w:rFonts w:ascii="Times New Roman" w:hAnsi="Times New Roman" w:cs="Times New Roman"/>
          <w:noProof/>
          <w:sz w:val="24"/>
          <w:szCs w:val="24"/>
        </w:rPr>
        <w:t>EU budget has been provided to directly support Syrian refugees and Turkish host communities. Out of this amount, €71 million has been contracted so far for humanitarian aid purposes via relevant humanitarian organisations to primarily assist refugees in T</w:t>
      </w:r>
      <w:r>
        <w:rPr>
          <w:rFonts w:ascii="Times New Roman" w:hAnsi="Times New Roman" w:cs="Times New Roman"/>
          <w:noProof/>
          <w:sz w:val="24"/>
          <w:szCs w:val="24"/>
        </w:rPr>
        <w:t>urkey.</w:t>
      </w:r>
      <w:r>
        <w:rPr>
          <w:noProof/>
        </w:rPr>
        <w:t xml:space="preserve"> </w:t>
      </w:r>
      <w:r>
        <w:rPr>
          <w:rFonts w:ascii="Times New Roman" w:hAnsi="Times New Roman" w:cs="Times New Roman"/>
          <w:noProof/>
          <w:sz w:val="24"/>
          <w:szCs w:val="24"/>
        </w:rPr>
        <w:t xml:space="preserve">A first response programme worth €18 million from IPA was approved in May 2015 by the Board of the EU Trust Fund in response to the Syrian crisis to address immediate educational and food security needs of Syrian refugees in Turkey. Agreements with </w:t>
      </w:r>
      <w:r>
        <w:rPr>
          <w:rFonts w:ascii="Times New Roman" w:hAnsi="Times New Roman" w:cs="Times New Roman"/>
          <w:noProof/>
          <w:sz w:val="24"/>
          <w:szCs w:val="24"/>
        </w:rPr>
        <w:t>UNICEF and the World Food Programme (WFP) were signed in September 2015. All in all, some €173 million from IPA have been channelled through the EU Trust Fund in 2015. On 1 December 2015 the board of the EU Trust Fund for Syria adopted new financial decisi</w:t>
      </w:r>
      <w:r>
        <w:rPr>
          <w:rFonts w:ascii="Times New Roman" w:hAnsi="Times New Roman" w:cs="Times New Roman"/>
          <w:noProof/>
          <w:sz w:val="24"/>
          <w:szCs w:val="24"/>
        </w:rPr>
        <w:t xml:space="preserve">ons for actions in Turkey for a volume of up to €150 million. At the end of 2015, €165 million from the Instrument for Pre-Accession (IPA) 2012 funds at risk of de-commitment, including €25 million of Turkish co-financing, have been allocated to the Trust </w:t>
      </w:r>
      <w:r>
        <w:rPr>
          <w:rFonts w:ascii="Times New Roman" w:hAnsi="Times New Roman" w:cs="Times New Roman"/>
          <w:noProof/>
          <w:sz w:val="24"/>
          <w:szCs w:val="24"/>
        </w:rPr>
        <w:t>Fund for projects in Turkey. A project pipeline of 21 projects for a value of €383 million is currently under assessment. The identification of further actions in Turkey will be done on the basis of the needs analysis currently under way (see above).</w:t>
      </w:r>
    </w:p>
    <w:p w:rsidR="00D110BC" w:rsidRDefault="00AC28A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w:t>
      </w:r>
      <w:r>
        <w:rPr>
          <w:rFonts w:ascii="Times New Roman" w:hAnsi="Times New Roman" w:cs="Times New Roman"/>
          <w:noProof/>
          <w:sz w:val="24"/>
          <w:szCs w:val="24"/>
        </w:rPr>
        <w:t>dition, the EU continued providing significant assistance to Syrian refugees hosted in Lebanon, Jordan and Iraq as well as to Syrians displaced within Syria. In its second board meeting on 1 December 2015, the EU Trust Fund in response to the Syrian crisis</w:t>
      </w:r>
      <w:r>
        <w:rPr>
          <w:rFonts w:ascii="Times New Roman" w:hAnsi="Times New Roman" w:cs="Times New Roman"/>
          <w:noProof/>
          <w:sz w:val="24"/>
          <w:szCs w:val="24"/>
        </w:rPr>
        <w:t xml:space="preserve"> committed €350 million for urgently needed aid to 1.5 million refugees and overstretched host communities in Lebanon, Turkey, Jordan and Iraq. </w:t>
      </w:r>
    </w:p>
    <w:p w:rsidR="00D110BC" w:rsidRDefault="00AC28A4">
      <w:pPr>
        <w:tabs>
          <w:tab w:val="num" w:pos="720"/>
        </w:tabs>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On 7 December, the EU adopted the Annual Action Programme 2015 for Turkey under IPA II providing further suppor</w:t>
      </w:r>
      <w:r>
        <w:rPr>
          <w:rFonts w:ascii="Times New Roman" w:hAnsi="Times New Roman" w:cs="Times New Roman"/>
          <w:noProof/>
          <w:sz w:val="24"/>
          <w:szCs w:val="24"/>
        </w:rPr>
        <w:t>t to Turkey to strengthen its capacity to combat migrant smuggling, notably by reinforcing the Turkish Coast Guard patrolling and surveillance capacity with the purchase of 20 inflatable boats and six mobile radars, as well as other relevant Turkish author</w:t>
      </w:r>
      <w:r>
        <w:rPr>
          <w:rFonts w:ascii="Times New Roman" w:hAnsi="Times New Roman" w:cs="Times New Roman"/>
          <w:noProof/>
          <w:sz w:val="24"/>
          <w:szCs w:val="24"/>
        </w:rPr>
        <w:t>ities.  The programme also provides for supplies to enhance the capacity of the Turkish Coast Guard Command to fight against irregular immigration and organised crime by sea aiming at increasing the number of rescued/apprehended irregular migrants. A proje</w:t>
      </w:r>
      <w:r>
        <w:rPr>
          <w:rFonts w:ascii="Times New Roman" w:hAnsi="Times New Roman" w:cs="Times New Roman"/>
          <w:noProof/>
          <w:sz w:val="24"/>
          <w:szCs w:val="24"/>
        </w:rPr>
        <w:t>ct is currently being designed under IPA to support Turkey provide secure biometrical passports.</w:t>
      </w:r>
    </w:p>
    <w:p w:rsidR="00D110BC" w:rsidRDefault="00AC28A4">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has completed the selection procedure for the deployment of a FRONTEX liaison officer in Turkey. </w:t>
      </w:r>
    </w:p>
    <w:p w:rsidR="00D110BC" w:rsidRDefault="00D110BC">
      <w:pPr>
        <w:spacing w:after="0" w:line="240" w:lineRule="auto"/>
        <w:jc w:val="both"/>
        <w:rPr>
          <w:rFonts w:ascii="Times New Roman" w:hAnsi="Times New Roman" w:cs="Times New Roman"/>
          <w:b/>
          <w:noProof/>
          <w:sz w:val="24"/>
          <w:szCs w:val="24"/>
          <w:u w:val="single"/>
        </w:rPr>
      </w:pPr>
    </w:p>
    <w:p w:rsidR="00D110BC" w:rsidRDefault="00AC28A4">
      <w:pPr>
        <w:spacing w:line="24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 xml:space="preserve">Part 4 </w:t>
      </w:r>
    </w:p>
    <w:p w:rsidR="00D110BC" w:rsidRDefault="00AC28A4">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Conclusions and recommendations</w:t>
      </w:r>
    </w:p>
    <w:p w:rsidR="00D110BC" w:rsidRDefault="00AC28A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overall numbers of irregular migrants entering the EU from Turkey are in a decreasing trend since October 2015. However, they remain high for this period of the year. To address this worrying phenomenon Turkey needs as a matter of urgency to make signi</w:t>
      </w:r>
      <w:r>
        <w:rPr>
          <w:rFonts w:ascii="Times New Roman" w:hAnsi="Times New Roman" w:cs="Times New Roman"/>
          <w:noProof/>
          <w:sz w:val="24"/>
          <w:szCs w:val="24"/>
        </w:rPr>
        <w:t xml:space="preserve">ficant progress in preventing irregular departures of migrants and refugees from its territory. Particularly crucial is stepping up land based operations to prevent irregular departures. </w:t>
      </w:r>
    </w:p>
    <w:p w:rsidR="00D110BC" w:rsidRDefault="00AC28A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share of non-Syrians (e.g. Afghanis, Iraqis, Pakistanis, Iranian</w:t>
      </w:r>
      <w:r>
        <w:rPr>
          <w:rFonts w:ascii="Times New Roman" w:hAnsi="Times New Roman" w:cs="Times New Roman"/>
          <w:noProof/>
          <w:sz w:val="24"/>
          <w:szCs w:val="24"/>
        </w:rPr>
        <w:t>s, Moroccans, Bangladeshis) among the arriving irregular migrants is increasing since October. To address this phenomenon, Turkey needs to urgently take further steps to progressively align their visa policy with that of the EU prioritising those countries</w:t>
      </w:r>
      <w:r>
        <w:rPr>
          <w:rFonts w:ascii="Times New Roman" w:hAnsi="Times New Roman" w:cs="Times New Roman"/>
          <w:noProof/>
          <w:sz w:val="24"/>
          <w:szCs w:val="24"/>
        </w:rPr>
        <w:t xml:space="preserve"> that are a source of irregular migration to the EU. Turkey needs to ensure that applicable procedures are concluded swiftly as foreseen by its national legislation, either with a clear granting of a refugee status or with a rejection. Turkey needs also to</w:t>
      </w:r>
      <w:r>
        <w:rPr>
          <w:rFonts w:ascii="Times New Roman" w:hAnsi="Times New Roman" w:cs="Times New Roman"/>
          <w:noProof/>
          <w:sz w:val="24"/>
          <w:szCs w:val="24"/>
        </w:rPr>
        <w:t xml:space="preserve"> ensure that irregular migrants, who have been found not to be in need of international protection, are prevented from making irregular movements towards the EU.  </w:t>
      </w:r>
    </w:p>
    <w:p w:rsidR="00D110BC" w:rsidRDefault="00AC28A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Turkey is requested to review its draft law on personal data protection – which is now in th</w:t>
      </w:r>
      <w:r>
        <w:rPr>
          <w:rFonts w:ascii="Times New Roman" w:hAnsi="Times New Roman" w:cs="Times New Roman"/>
          <w:noProof/>
          <w:sz w:val="24"/>
          <w:szCs w:val="24"/>
        </w:rPr>
        <w:t>e Parliament – and fully align it with European standards. Swift adoption of an appropriate personal data protection law would allow closer operational cooperation of Turkey with Europol, Eurojust and Member States law enforcement agencies.</w:t>
      </w:r>
    </w:p>
    <w:p w:rsidR="00D110BC" w:rsidRDefault="00AC28A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Turkey and Gree</w:t>
      </w:r>
      <w:r>
        <w:rPr>
          <w:rFonts w:ascii="Times New Roman" w:hAnsi="Times New Roman" w:cs="Times New Roman"/>
          <w:noProof/>
          <w:sz w:val="24"/>
          <w:szCs w:val="24"/>
        </w:rPr>
        <w:t>ce need to step up their bilateral cooperation in border surveillance, fight against migrants smuggling and better implementation of the bilateral TR-EL readmission obligations.</w:t>
      </w:r>
    </w:p>
    <w:p w:rsidR="00D110BC" w:rsidRDefault="00AC28A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Turkey is also invited to prepare for the implementation of the EU-Turkey read</w:t>
      </w:r>
      <w:r>
        <w:rPr>
          <w:rFonts w:ascii="Times New Roman" w:hAnsi="Times New Roman" w:cs="Times New Roman"/>
          <w:noProof/>
          <w:sz w:val="24"/>
          <w:szCs w:val="24"/>
        </w:rPr>
        <w:t>mission agreement for third country nationals as of 1 June 2016.</w:t>
      </w:r>
    </w:p>
    <w:p w:rsidR="00D110BC" w:rsidRDefault="00AC28A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Turkey is urged to strengthen its action against migrants smuggling in coastal areas, including in cooperation with interested EU Member States.</w:t>
      </w:r>
    </w:p>
    <w:p w:rsidR="00D110BC" w:rsidRDefault="00AC28A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Following agreement on the Facility for Refuge</w:t>
      </w:r>
      <w:r>
        <w:rPr>
          <w:rFonts w:ascii="Times New Roman" w:hAnsi="Times New Roman" w:cs="Times New Roman"/>
          <w:noProof/>
          <w:sz w:val="24"/>
          <w:szCs w:val="24"/>
        </w:rPr>
        <w:t xml:space="preserve">es in Turkey, the EU on its side needs to start delivering assistance and addressing the needs of refugees under the Facility as soon as possible. In addition, the Commission and Turkey should stand ready to re-prioritise existing assistance programmes to </w:t>
      </w:r>
      <w:r>
        <w:rPr>
          <w:rFonts w:ascii="Times New Roman" w:hAnsi="Times New Roman" w:cs="Times New Roman"/>
          <w:noProof/>
          <w:sz w:val="24"/>
          <w:szCs w:val="24"/>
        </w:rPr>
        <w:t>Turkey in the area of migration to respond rapidly to newly emerging needs. As indicated in the Annex, the identified priority sectors for financial assistance to refugees in Turkey are humanitarian aid, education, labour market integration, health care an</w:t>
      </w:r>
      <w:r>
        <w:rPr>
          <w:rFonts w:ascii="Times New Roman" w:hAnsi="Times New Roman" w:cs="Times New Roman"/>
          <w:noProof/>
          <w:sz w:val="24"/>
          <w:szCs w:val="24"/>
        </w:rPr>
        <w:t>d social inclusion, municipal infrastructure and the management of refugee flows. The needs assessment which is on-going will provide a detailed funding gap analysis and serve to prioritise funding needs in all sectors. The Facility Steering Committee will</w:t>
      </w:r>
      <w:r>
        <w:rPr>
          <w:rFonts w:ascii="Times New Roman" w:hAnsi="Times New Roman" w:cs="Times New Roman"/>
          <w:noProof/>
          <w:sz w:val="24"/>
          <w:szCs w:val="24"/>
        </w:rPr>
        <w:t xml:space="preserve"> provide strategic guidance and will decide on specific actions, amounts and best financial instruments to be used. The first Steering Committee meeting will take place on 17 February 2016.</w:t>
      </w:r>
    </w:p>
    <w:p w:rsidR="00D110BC" w:rsidRDefault="00AC28A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Turkey and the EU need to continue and operationalise their work o</w:t>
      </w:r>
      <w:r>
        <w:rPr>
          <w:rFonts w:ascii="Times New Roman" w:hAnsi="Times New Roman" w:cs="Times New Roman"/>
          <w:noProof/>
          <w:sz w:val="24"/>
          <w:szCs w:val="24"/>
        </w:rPr>
        <w:t>n the 12 actions agreed on 28 January that support the effective implementation of the Joint Action Plan.</w:t>
      </w:r>
    </w:p>
    <w:p w:rsidR="00D110BC" w:rsidRDefault="00AC28A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To conclude, Turkey is urged to continue and indeed reinforce its steps towards full and effective implementation of the Joint Action Plan. It is impo</w:t>
      </w:r>
      <w:r>
        <w:rPr>
          <w:rFonts w:ascii="Times New Roman" w:hAnsi="Times New Roman" w:cs="Times New Roman"/>
          <w:noProof/>
          <w:sz w:val="24"/>
          <w:szCs w:val="24"/>
        </w:rPr>
        <w:t>rtant that the impact of the EU-Turkey coordinated efforts is rapidly reflected in results, in particular in stemming the influx of irregular migrants.</w:t>
      </w:r>
    </w:p>
    <w:p w:rsidR="00D110BC" w:rsidRDefault="00AC28A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continue its efforts to ensure speedy and effective implementation of the EU-Turkey </w:t>
      </w:r>
      <w:r>
        <w:rPr>
          <w:rFonts w:ascii="Times New Roman" w:hAnsi="Times New Roman" w:cs="Times New Roman"/>
          <w:noProof/>
          <w:sz w:val="24"/>
          <w:szCs w:val="24"/>
        </w:rPr>
        <w:t>Joint Action Plan. The Commission will monitor the implementation of the JAP closely and will report regularly on it.</w:t>
      </w:r>
    </w:p>
    <w:p w:rsidR="00D110BC" w:rsidRDefault="00AC28A4">
      <w:pPr>
        <w:spacing w:line="240" w:lineRule="auto"/>
        <w:rPr>
          <w:rFonts w:ascii="Times New Roman" w:hAnsi="Times New Roman" w:cs="Times New Roman"/>
          <w:noProof/>
          <w:sz w:val="24"/>
          <w:szCs w:val="24"/>
        </w:rPr>
      </w:pPr>
      <w:r>
        <w:rPr>
          <w:rFonts w:ascii="Times New Roman" w:hAnsi="Times New Roman" w:cs="Times New Roman"/>
          <w:noProof/>
          <w:sz w:val="24"/>
          <w:szCs w:val="24"/>
        </w:rPr>
        <w:br w:type="page"/>
      </w:r>
    </w:p>
    <w:p w:rsidR="00D110BC" w:rsidRDefault="00AC28A4">
      <w:pPr>
        <w:spacing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APPENDIX</w:t>
      </w:r>
    </w:p>
    <w:p w:rsidR="00D110BC" w:rsidRDefault="00AC28A4">
      <w:pPr>
        <w:spacing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List of currently foreseen Priorities and possible projects under the Facility for Refugees in Turkey</w:t>
      </w:r>
    </w:p>
    <w:p w:rsidR="00D110BC" w:rsidRDefault="00AC28A4">
      <w:pPr>
        <w:pStyle w:val="Point1letter"/>
        <w:numPr>
          <w:ilvl w:val="0"/>
          <w:numId w:val="0"/>
        </w:numPr>
        <w:pBdr>
          <w:top w:val="single" w:sz="4" w:space="1" w:color="auto"/>
          <w:left w:val="single" w:sz="4" w:space="4" w:color="auto"/>
          <w:bottom w:val="single" w:sz="4" w:space="1" w:color="auto"/>
          <w:right w:val="single" w:sz="4" w:space="4" w:color="auto"/>
        </w:pBdr>
        <w:ind w:left="1417" w:hanging="1417"/>
        <w:rPr>
          <w:b/>
          <w:noProof/>
        </w:rPr>
      </w:pPr>
      <w:r>
        <w:rPr>
          <w:b/>
          <w:noProof/>
        </w:rPr>
        <w:t xml:space="preserve">Priority 1: </w:t>
      </w:r>
      <w:r>
        <w:rPr>
          <w:b/>
          <w:noProof/>
        </w:rPr>
        <w:tab/>
        <w:t xml:space="preserve">Responding </w:t>
      </w:r>
      <w:r>
        <w:rPr>
          <w:b/>
          <w:noProof/>
        </w:rPr>
        <w:t>to basic needs</w:t>
      </w:r>
    </w:p>
    <w:p w:rsidR="00D110BC" w:rsidRDefault="00AC28A4">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1.1. Humanitarian assistance </w:t>
      </w:r>
    </w:p>
    <w:p w:rsidR="00D110BC" w:rsidRDefault="00AC28A4">
      <w:pPr>
        <w:spacing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rPr>
        <w:t>All humanitarian assistance will be administered and provided for in full respect of humanitarian principles and the European Consensus on Humanitarian Aid.</w:t>
      </w:r>
    </w:p>
    <w:p w:rsidR="00D110BC" w:rsidRDefault="00AC28A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u w:val="single"/>
        </w:rPr>
        <w:t>Objective</w:t>
      </w:r>
      <w:r>
        <w:rPr>
          <w:rFonts w:ascii="Times New Roman" w:hAnsi="Times New Roman" w:cs="Times New Roman"/>
          <w:noProof/>
          <w:sz w:val="24"/>
          <w:szCs w:val="24"/>
        </w:rPr>
        <w:t>: respond to the most urgent humanitarian nee</w:t>
      </w:r>
      <w:r>
        <w:rPr>
          <w:rFonts w:ascii="Times New Roman" w:hAnsi="Times New Roman" w:cs="Times New Roman"/>
          <w:noProof/>
          <w:sz w:val="24"/>
          <w:szCs w:val="24"/>
        </w:rPr>
        <w:t>ds in the five priority sectors, namely: food and non-food items, health, protection, shelter, water, sanitation and hygiene and enabling education.</w:t>
      </w:r>
    </w:p>
    <w:p w:rsidR="00D110BC" w:rsidRDefault="00AC28A4">
      <w:pPr>
        <w:spacing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Potential projects</w:t>
      </w:r>
    </w:p>
    <w:p w:rsidR="00D110BC" w:rsidRDefault="00AC28A4">
      <w:pPr>
        <w:pStyle w:val="ListParagraph"/>
        <w:numPr>
          <w:ilvl w:val="0"/>
          <w:numId w:val="20"/>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current humanitarian actions consist notably in resources- transfers schemes, imp</w:t>
      </w:r>
      <w:r>
        <w:rPr>
          <w:rFonts w:ascii="Times New Roman" w:hAnsi="Times New Roman" w:cs="Times New Roman"/>
          <w:noProof/>
          <w:sz w:val="24"/>
          <w:szCs w:val="24"/>
        </w:rPr>
        <w:t>lemented via a relatively large number of partners and focused on food and non-food needs, protection, health and actions enabling education in Turkey. These resource transfer schemes could be scaled up to reach up to 1 million people.</w:t>
      </w:r>
    </w:p>
    <w:p w:rsidR="00D110BC" w:rsidRDefault="00AC28A4">
      <w:pPr>
        <w:pStyle w:val="ListParagraph"/>
        <w:numPr>
          <w:ilvl w:val="0"/>
          <w:numId w:val="20"/>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Move towards the imp</w:t>
      </w:r>
      <w:r>
        <w:rPr>
          <w:rFonts w:ascii="Times New Roman" w:hAnsi="Times New Roman" w:cs="Times New Roman"/>
          <w:noProof/>
          <w:sz w:val="24"/>
          <w:szCs w:val="24"/>
        </w:rPr>
        <w:t xml:space="preserve">lementation of an </w:t>
      </w:r>
      <w:r>
        <w:rPr>
          <w:rFonts w:ascii="Times New Roman" w:hAnsi="Times New Roman" w:cs="Times New Roman"/>
          <w:b/>
          <w:noProof/>
          <w:sz w:val="24"/>
          <w:szCs w:val="24"/>
        </w:rPr>
        <w:t>Emergency Safety Net</w:t>
      </w:r>
      <w:r>
        <w:rPr>
          <w:rFonts w:ascii="Times New Roman" w:hAnsi="Times New Roman" w:cs="Times New Roman"/>
          <w:noProof/>
          <w:sz w:val="24"/>
          <w:szCs w:val="24"/>
        </w:rPr>
        <w:t>: a multi-purpose resource transfer scheme, with a basic needs approach (including food, non-food items, shelter) to decrease the push-factors forcing refugees' secondary displacement. This system will allow refugees t</w:t>
      </w:r>
      <w:r>
        <w:rPr>
          <w:rFonts w:ascii="Times New Roman" w:hAnsi="Times New Roman" w:cs="Times New Roman"/>
          <w:noProof/>
          <w:sz w:val="24"/>
          <w:szCs w:val="24"/>
        </w:rPr>
        <w:t>o sustain their basic needs, including food and items for daily use in a dignified manner.</w:t>
      </w:r>
    </w:p>
    <w:p w:rsidR="00D110BC" w:rsidRDefault="00AC28A4">
      <w:pPr>
        <w:pStyle w:val="ListParagraph"/>
        <w:numPr>
          <w:ilvl w:val="0"/>
          <w:numId w:val="20"/>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Continue implementing in-kind assistance and a far-reaching </w:t>
      </w:r>
      <w:r>
        <w:rPr>
          <w:rFonts w:ascii="Times New Roman" w:hAnsi="Times New Roman" w:cs="Times New Roman"/>
          <w:b/>
          <w:noProof/>
          <w:sz w:val="24"/>
          <w:szCs w:val="24"/>
        </w:rPr>
        <w:t>protection system</w:t>
      </w:r>
      <w:r>
        <w:rPr>
          <w:rFonts w:ascii="Times New Roman" w:hAnsi="Times New Roman" w:cs="Times New Roman"/>
          <w:noProof/>
          <w:sz w:val="24"/>
          <w:szCs w:val="24"/>
        </w:rPr>
        <w:t xml:space="preserve"> (Special Need Funds, case management, legal assistance, referral, outreach as well as c</w:t>
      </w:r>
      <w:r>
        <w:rPr>
          <w:rFonts w:ascii="Times New Roman" w:hAnsi="Times New Roman" w:cs="Times New Roman"/>
          <w:noProof/>
          <w:sz w:val="24"/>
          <w:szCs w:val="24"/>
        </w:rPr>
        <w:t xml:space="preserve">hild protection and gender-based violence programmes), and </w:t>
      </w:r>
      <w:r>
        <w:rPr>
          <w:rFonts w:ascii="Times New Roman" w:hAnsi="Times New Roman" w:cs="Times New Roman"/>
          <w:b/>
          <w:noProof/>
          <w:sz w:val="24"/>
          <w:szCs w:val="24"/>
        </w:rPr>
        <w:t>Linking Relief, Rehabilitation and Development</w:t>
      </w:r>
      <w:r>
        <w:rPr>
          <w:rFonts w:ascii="Times New Roman" w:hAnsi="Times New Roman" w:cs="Times New Roman"/>
          <w:noProof/>
          <w:sz w:val="24"/>
          <w:szCs w:val="24"/>
        </w:rPr>
        <w:t xml:space="preserve"> (LRRD). </w:t>
      </w:r>
    </w:p>
    <w:p w:rsidR="00D110BC" w:rsidRDefault="00AC28A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u w:val="single"/>
        </w:rPr>
        <w:t>Target group</w:t>
      </w:r>
      <w:r>
        <w:rPr>
          <w:rFonts w:ascii="Times New Roman" w:hAnsi="Times New Roman" w:cs="Times New Roman"/>
          <w:noProof/>
          <w:sz w:val="24"/>
          <w:szCs w:val="24"/>
        </w:rPr>
        <w:t>: A significant number of the most vulnerable refugees in Turkey, mostly Syrian, are targeted. The estimated number of refugees t</w:t>
      </w:r>
      <w:r>
        <w:rPr>
          <w:rFonts w:ascii="Times New Roman" w:hAnsi="Times New Roman" w:cs="Times New Roman"/>
          <w:noProof/>
          <w:sz w:val="24"/>
          <w:szCs w:val="24"/>
        </w:rPr>
        <w:t>o be reached via humanitarian assistance could go up to 1 million.</w:t>
      </w:r>
    </w:p>
    <w:p w:rsidR="00D110BC" w:rsidRDefault="00AC28A4">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Priority 2:</w:t>
      </w:r>
      <w:r>
        <w:rPr>
          <w:rFonts w:ascii="Times New Roman" w:hAnsi="Times New Roman" w:cs="Times New Roman"/>
          <w:b/>
          <w:noProof/>
          <w:sz w:val="24"/>
          <w:szCs w:val="24"/>
        </w:rPr>
        <w:tab/>
        <w:t>Socio-Economic support</w:t>
      </w:r>
    </w:p>
    <w:p w:rsidR="00D110BC" w:rsidRDefault="00AC28A4">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2.1 Education</w:t>
      </w:r>
    </w:p>
    <w:p w:rsidR="00D110BC" w:rsidRDefault="00AC28A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Despite current efforts there is still a gap of up to 400,000 children to be brought back to school in the school years 2015/16 and 2016/17. In addition, very little support is provided to facilitate access to upper secondary education, in particular to vo</w:t>
      </w:r>
      <w:r>
        <w:rPr>
          <w:rFonts w:ascii="Times New Roman" w:hAnsi="Times New Roman" w:cs="Times New Roman"/>
          <w:noProof/>
          <w:sz w:val="24"/>
          <w:szCs w:val="24"/>
        </w:rPr>
        <w:t xml:space="preserve">cational education and training, and nearly none to tertiary education enrolment of young refugees. </w:t>
      </w:r>
    </w:p>
    <w:p w:rsidR="00D110BC" w:rsidRDefault="00AC28A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u w:val="single"/>
        </w:rPr>
        <w:t>Objectives</w:t>
      </w:r>
      <w:r>
        <w:rPr>
          <w:rFonts w:ascii="Times New Roman" w:hAnsi="Times New Roman" w:cs="Times New Roman"/>
          <w:noProof/>
          <w:sz w:val="24"/>
          <w:szCs w:val="24"/>
        </w:rPr>
        <w:t>: Access to primary education for all Syrian children (400,000 children to be brought back to school in the school years 2015/16 and 2016/17); ac</w:t>
      </w:r>
      <w:r>
        <w:rPr>
          <w:rFonts w:ascii="Times New Roman" w:hAnsi="Times New Roman" w:cs="Times New Roman"/>
          <w:noProof/>
          <w:sz w:val="24"/>
          <w:szCs w:val="24"/>
        </w:rPr>
        <w:t>cess to secondary education, in particular vocational education and training; access to tertiary education.</w:t>
      </w:r>
    </w:p>
    <w:p w:rsidR="00D110BC" w:rsidRDefault="00AC28A4">
      <w:pPr>
        <w:spacing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Potential projects:</w:t>
      </w:r>
    </w:p>
    <w:p w:rsidR="00D110BC" w:rsidRDefault="00AC28A4">
      <w:pPr>
        <w:pStyle w:val="ListParagraph"/>
        <w:numPr>
          <w:ilvl w:val="0"/>
          <w:numId w:val="21"/>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Support access of all children to education</w:t>
      </w:r>
    </w:p>
    <w:p w:rsidR="00D110BC" w:rsidRDefault="00AC28A4">
      <w:pPr>
        <w:pStyle w:val="ListParagraph"/>
        <w:numPr>
          <w:ilvl w:val="0"/>
          <w:numId w:val="21"/>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Support access to secondary education, including vocational education and training </w:t>
      </w:r>
      <w:r>
        <w:rPr>
          <w:rFonts w:ascii="Times New Roman" w:hAnsi="Times New Roman" w:cs="Times New Roman"/>
          <w:noProof/>
          <w:sz w:val="24"/>
          <w:szCs w:val="24"/>
        </w:rPr>
        <w:t>and apprenticeship</w:t>
      </w:r>
    </w:p>
    <w:p w:rsidR="00D110BC" w:rsidRDefault="00AC28A4">
      <w:pPr>
        <w:pStyle w:val="ListParagraph"/>
        <w:numPr>
          <w:ilvl w:val="0"/>
          <w:numId w:val="21"/>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Support education enrolment and prevent early school leaving, including through language training when appropriate</w:t>
      </w:r>
    </w:p>
    <w:p w:rsidR="00D110BC" w:rsidRDefault="00AC28A4">
      <w:pPr>
        <w:pStyle w:val="ListParagraph"/>
        <w:numPr>
          <w:ilvl w:val="0"/>
          <w:numId w:val="21"/>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Support access to tertiary education</w:t>
      </w:r>
    </w:p>
    <w:p w:rsidR="00D110BC" w:rsidRDefault="00AC28A4">
      <w:pPr>
        <w:pStyle w:val="ListParagraph"/>
        <w:numPr>
          <w:ilvl w:val="0"/>
          <w:numId w:val="21"/>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Support enhancement of responsiveness of education and training to labour market need</w:t>
      </w:r>
      <w:r>
        <w:rPr>
          <w:rFonts w:ascii="Times New Roman" w:hAnsi="Times New Roman" w:cs="Times New Roman"/>
          <w:noProof/>
          <w:sz w:val="24"/>
          <w:szCs w:val="24"/>
        </w:rPr>
        <w:t>s</w:t>
      </w:r>
    </w:p>
    <w:p w:rsidR="00D110BC" w:rsidRDefault="00AC28A4">
      <w:pPr>
        <w:pStyle w:val="ListParagraph"/>
        <w:numPr>
          <w:ilvl w:val="0"/>
          <w:numId w:val="21"/>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Provision of education and training infrastructures in regions affected by significant demographic changes induced by the refugees' inflow</w:t>
      </w:r>
    </w:p>
    <w:p w:rsidR="00D110BC" w:rsidRDefault="00AC28A4">
      <w:pPr>
        <w:spacing w:line="240" w:lineRule="auto"/>
        <w:jc w:val="both"/>
        <w:rPr>
          <w:rFonts w:ascii="Times New Roman" w:hAnsi="Times New Roman" w:cs="Times New Roman"/>
          <w:b/>
          <w:noProof/>
          <w:sz w:val="24"/>
          <w:szCs w:val="24"/>
        </w:rPr>
      </w:pPr>
      <w:r>
        <w:rPr>
          <w:rFonts w:ascii="Times New Roman" w:hAnsi="Times New Roman" w:cs="Times New Roman"/>
          <w:noProof/>
          <w:sz w:val="24"/>
          <w:szCs w:val="24"/>
          <w:u w:val="single"/>
        </w:rPr>
        <w:t>Target group</w:t>
      </w:r>
      <w:r>
        <w:rPr>
          <w:rFonts w:ascii="Times New Roman" w:hAnsi="Times New Roman" w:cs="Times New Roman"/>
          <w:noProof/>
          <w:sz w:val="24"/>
          <w:szCs w:val="24"/>
        </w:rPr>
        <w:t>: Children and young refugees, with a special focus on girls</w:t>
      </w:r>
    </w:p>
    <w:p w:rsidR="00D110BC" w:rsidRDefault="00AC28A4">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2.2: Access to labour market </w:t>
      </w:r>
    </w:p>
    <w:p w:rsidR="00D110BC" w:rsidRDefault="00AC28A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Assistance s</w:t>
      </w:r>
      <w:r>
        <w:rPr>
          <w:rFonts w:ascii="Times New Roman" w:hAnsi="Times New Roman" w:cs="Times New Roman"/>
          <w:noProof/>
          <w:sz w:val="24"/>
          <w:szCs w:val="24"/>
        </w:rPr>
        <w:t>hould be provided to help refugees seize the job opportunities opened by the new legislation on access to the labour market for refugees, including through competence and skills upgrading and adaptation.  This should create effective incentives for them to</w:t>
      </w:r>
      <w:r>
        <w:rPr>
          <w:rFonts w:ascii="Times New Roman" w:hAnsi="Times New Roman" w:cs="Times New Roman"/>
          <w:noProof/>
          <w:sz w:val="24"/>
          <w:szCs w:val="24"/>
        </w:rPr>
        <w:t xml:space="preserve"> work and at the same time become an asset for the Turkish economy. </w:t>
      </w:r>
    </w:p>
    <w:p w:rsidR="00D110BC" w:rsidRDefault="00AC28A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u w:val="single"/>
        </w:rPr>
        <w:t>Objectives:</w:t>
      </w:r>
      <w:r>
        <w:rPr>
          <w:rFonts w:ascii="Times New Roman" w:hAnsi="Times New Roman" w:cs="Times New Roman"/>
          <w:noProof/>
          <w:sz w:val="24"/>
          <w:szCs w:val="24"/>
        </w:rPr>
        <w:t xml:space="preserve"> Access to employment; self-employment and business creation, in particular micro-enterprises.</w:t>
      </w:r>
    </w:p>
    <w:p w:rsidR="00D110BC" w:rsidRDefault="00AC28A4">
      <w:pPr>
        <w:spacing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Potential projects:</w:t>
      </w:r>
    </w:p>
    <w:p w:rsidR="00D110BC" w:rsidRDefault="00AC28A4">
      <w:pPr>
        <w:pStyle w:val="ListParagraph"/>
        <w:numPr>
          <w:ilvl w:val="0"/>
          <w:numId w:val="22"/>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Support to labour market needs analysis</w:t>
      </w:r>
    </w:p>
    <w:p w:rsidR="00D110BC" w:rsidRDefault="00AC28A4">
      <w:pPr>
        <w:pStyle w:val="ListParagraph"/>
        <w:numPr>
          <w:ilvl w:val="0"/>
          <w:numId w:val="22"/>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Provision of individu</w:t>
      </w:r>
      <w:r>
        <w:rPr>
          <w:rFonts w:ascii="Times New Roman" w:hAnsi="Times New Roman" w:cs="Times New Roman"/>
          <w:noProof/>
          <w:sz w:val="24"/>
          <w:szCs w:val="24"/>
        </w:rPr>
        <w:t>alised orientation and counselling</w:t>
      </w:r>
    </w:p>
    <w:p w:rsidR="00D110BC" w:rsidRDefault="00AC28A4">
      <w:pPr>
        <w:pStyle w:val="ListParagraph"/>
        <w:numPr>
          <w:ilvl w:val="0"/>
          <w:numId w:val="22"/>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Support of skills and competences upgrading, notably through training and retraining</w:t>
      </w:r>
    </w:p>
    <w:p w:rsidR="00D110BC" w:rsidRDefault="00AC28A4">
      <w:pPr>
        <w:pStyle w:val="ListParagraph"/>
        <w:numPr>
          <w:ilvl w:val="0"/>
          <w:numId w:val="22"/>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Development of qualification equivalence systems</w:t>
      </w:r>
    </w:p>
    <w:p w:rsidR="00D110BC" w:rsidRDefault="00AC28A4">
      <w:pPr>
        <w:pStyle w:val="ListParagraph"/>
        <w:numPr>
          <w:ilvl w:val="0"/>
          <w:numId w:val="22"/>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Support of entrepreneurship, including through micro-credit schemes </w:t>
      </w:r>
    </w:p>
    <w:p w:rsidR="00D110BC" w:rsidRDefault="00AC28A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u w:val="single"/>
        </w:rPr>
        <w:t xml:space="preserve">Target group: </w:t>
      </w:r>
      <w:r>
        <w:rPr>
          <w:rFonts w:ascii="Times New Roman" w:hAnsi="Times New Roman" w:cs="Times New Roman"/>
          <w:noProof/>
          <w:sz w:val="24"/>
          <w:szCs w:val="24"/>
        </w:rPr>
        <w:t>Adul</w:t>
      </w:r>
      <w:r>
        <w:rPr>
          <w:rFonts w:ascii="Times New Roman" w:hAnsi="Times New Roman" w:cs="Times New Roman"/>
          <w:noProof/>
          <w:sz w:val="24"/>
          <w:szCs w:val="24"/>
        </w:rPr>
        <w:t>t refugees, with a special focus on the less qualified</w:t>
      </w:r>
    </w:p>
    <w:p w:rsidR="00D110BC" w:rsidRDefault="00AC28A4">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2.3: Health care and social inclusion</w:t>
      </w:r>
    </w:p>
    <w:p w:rsidR="00D110BC" w:rsidRDefault="00AC28A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Primary health, physical rehabilitation/post-operative care for war-wounded, as well as reproductive health and mental health, are acutely under-served areas. Comm</w:t>
      </w:r>
      <w:r>
        <w:rPr>
          <w:rFonts w:ascii="Times New Roman" w:hAnsi="Times New Roman" w:cs="Times New Roman"/>
          <w:noProof/>
          <w:sz w:val="24"/>
          <w:szCs w:val="24"/>
        </w:rPr>
        <w:t>unity centres allow for an effective support system on legal advice, protection and administrative guidance, training courses for women, non-formal and early childhood education for children, medical counselling and referrals to doctors and hospitals for t</w:t>
      </w:r>
      <w:r>
        <w:rPr>
          <w:rFonts w:ascii="Times New Roman" w:hAnsi="Times New Roman" w:cs="Times New Roman"/>
          <w:noProof/>
          <w:sz w:val="24"/>
          <w:szCs w:val="24"/>
        </w:rPr>
        <w:t>reatment.</w:t>
      </w:r>
    </w:p>
    <w:p w:rsidR="00D110BC" w:rsidRDefault="00AC28A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u w:val="single"/>
        </w:rPr>
        <w:t>Objectives</w:t>
      </w:r>
      <w:r>
        <w:rPr>
          <w:rFonts w:ascii="Times New Roman" w:hAnsi="Times New Roman" w:cs="Times New Roman"/>
          <w:noProof/>
          <w:sz w:val="24"/>
          <w:szCs w:val="24"/>
        </w:rPr>
        <w:t>: Access to health care; access to basic social services</w:t>
      </w:r>
    </w:p>
    <w:p w:rsidR="00D110BC" w:rsidRDefault="00AC28A4">
      <w:pPr>
        <w:spacing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Potential projects:</w:t>
      </w:r>
    </w:p>
    <w:p w:rsidR="00D110BC" w:rsidRDefault="00AC28A4">
      <w:pPr>
        <w:pStyle w:val="ListParagraph"/>
        <w:numPr>
          <w:ilvl w:val="0"/>
          <w:numId w:val="23"/>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Provision of health care</w:t>
      </w:r>
    </w:p>
    <w:p w:rsidR="00D110BC" w:rsidRDefault="00AC28A4">
      <w:pPr>
        <w:pStyle w:val="ListParagraph"/>
        <w:numPr>
          <w:ilvl w:val="0"/>
          <w:numId w:val="23"/>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Provision of psycho-psychological support </w:t>
      </w:r>
    </w:p>
    <w:p w:rsidR="00D110BC" w:rsidRDefault="00AC28A4">
      <w:pPr>
        <w:pStyle w:val="ListParagraph"/>
        <w:numPr>
          <w:ilvl w:val="0"/>
          <w:numId w:val="23"/>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Support access to basic social services, including administrative and legal counselling</w:t>
      </w:r>
    </w:p>
    <w:p w:rsidR="00D110BC" w:rsidRDefault="00AC28A4">
      <w:pPr>
        <w:pStyle w:val="ListParagraph"/>
        <w:numPr>
          <w:ilvl w:val="0"/>
          <w:numId w:val="23"/>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Provision of health and social infrastructures</w:t>
      </w:r>
    </w:p>
    <w:p w:rsidR="00D110BC" w:rsidRDefault="00AC28A4">
      <w:pPr>
        <w:spacing w:line="240" w:lineRule="auto"/>
        <w:rPr>
          <w:rFonts w:ascii="Times New Roman" w:hAnsi="Times New Roman" w:cs="Times New Roman"/>
          <w:noProof/>
          <w:sz w:val="24"/>
          <w:szCs w:val="24"/>
        </w:rPr>
      </w:pPr>
      <w:r>
        <w:rPr>
          <w:rFonts w:ascii="Times New Roman" w:hAnsi="Times New Roman" w:cs="Times New Roman"/>
          <w:noProof/>
          <w:sz w:val="24"/>
          <w:szCs w:val="24"/>
          <w:u w:val="single"/>
        </w:rPr>
        <w:t>Target group</w:t>
      </w:r>
      <w:r>
        <w:rPr>
          <w:rFonts w:ascii="Times New Roman" w:hAnsi="Times New Roman" w:cs="Times New Roman"/>
          <w:noProof/>
          <w:sz w:val="24"/>
          <w:szCs w:val="24"/>
        </w:rPr>
        <w:t xml:space="preserve">: Refugees, people from host communities, with a focus on the most vulnerable </w:t>
      </w:r>
    </w:p>
    <w:p w:rsidR="00D110BC" w:rsidRDefault="00AC28A4">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2.4: Municipal infrastructures</w:t>
      </w:r>
    </w:p>
    <w:p w:rsidR="00D110BC" w:rsidRDefault="00AC28A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vast majority of the refugees (85%) live out of the existing 25 camps, which </w:t>
      </w:r>
      <w:r>
        <w:rPr>
          <w:rFonts w:ascii="Times New Roman" w:hAnsi="Times New Roman" w:cs="Times New Roman"/>
          <w:noProof/>
          <w:sz w:val="24"/>
          <w:szCs w:val="24"/>
        </w:rPr>
        <w:t xml:space="preserve">accommodate approximately 250,000 people. These inflows of people in the least developed parts of the country have put the local infrastructures of some villages under great pressure, notably in terms of access roads, water supply, sewage and treatment as </w:t>
      </w:r>
      <w:r>
        <w:rPr>
          <w:rFonts w:ascii="Times New Roman" w:hAnsi="Times New Roman" w:cs="Times New Roman"/>
          <w:noProof/>
          <w:sz w:val="24"/>
          <w:szCs w:val="24"/>
        </w:rPr>
        <w:t>well as solid waste management. In addition, the provision of social services to refugees should be, where relevant, also provided to local communities, to mitigate already emerging hostility.</w:t>
      </w:r>
    </w:p>
    <w:p w:rsidR="00D110BC" w:rsidRDefault="00AC28A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u w:val="single"/>
        </w:rPr>
        <w:t>Objectives:</w:t>
      </w:r>
      <w:r>
        <w:rPr>
          <w:rFonts w:ascii="Times New Roman" w:hAnsi="Times New Roman" w:cs="Times New Roman"/>
          <w:noProof/>
          <w:sz w:val="24"/>
          <w:szCs w:val="24"/>
        </w:rPr>
        <w:t xml:space="preserve"> Mitigate impact of refugees' inflow on local infras</w:t>
      </w:r>
      <w:r>
        <w:rPr>
          <w:rFonts w:ascii="Times New Roman" w:hAnsi="Times New Roman" w:cs="Times New Roman"/>
          <w:noProof/>
          <w:sz w:val="24"/>
          <w:szCs w:val="24"/>
        </w:rPr>
        <w:t>tructures</w:t>
      </w:r>
    </w:p>
    <w:p w:rsidR="00D110BC" w:rsidRDefault="00AC28A4">
      <w:pPr>
        <w:spacing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Potential projects:</w:t>
      </w:r>
    </w:p>
    <w:p w:rsidR="00D110BC" w:rsidRDefault="00AC28A4">
      <w:pPr>
        <w:pStyle w:val="ListParagraph"/>
        <w:numPr>
          <w:ilvl w:val="0"/>
          <w:numId w:val="24"/>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Support the refurbishing, upgrading or construction of local municipal infrastructures, notably in relation to water management, waste management, urban transport and municipal services.</w:t>
      </w:r>
    </w:p>
    <w:p w:rsidR="00D110BC" w:rsidRDefault="00AC28A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u w:val="single"/>
        </w:rPr>
        <w:t>Target group:</w:t>
      </w:r>
      <w:r>
        <w:rPr>
          <w:rFonts w:ascii="Times New Roman" w:hAnsi="Times New Roman" w:cs="Times New Roman"/>
          <w:noProof/>
          <w:sz w:val="24"/>
          <w:szCs w:val="24"/>
        </w:rPr>
        <w:t xml:space="preserve"> Refugees and people from </w:t>
      </w:r>
      <w:r>
        <w:rPr>
          <w:rFonts w:ascii="Times New Roman" w:hAnsi="Times New Roman" w:cs="Times New Roman"/>
          <w:noProof/>
          <w:sz w:val="24"/>
          <w:szCs w:val="24"/>
        </w:rPr>
        <w:t>host communities</w:t>
      </w:r>
    </w:p>
    <w:p w:rsidR="00D110BC" w:rsidRDefault="00AC28A4">
      <w:pPr>
        <w:pStyle w:val="Point1letter"/>
        <w:numPr>
          <w:ilvl w:val="0"/>
          <w:numId w:val="0"/>
        </w:numPr>
        <w:pBdr>
          <w:top w:val="single" w:sz="4" w:space="1" w:color="auto"/>
          <w:left w:val="single" w:sz="4" w:space="4" w:color="auto"/>
          <w:bottom w:val="single" w:sz="4" w:space="1" w:color="auto"/>
          <w:right w:val="single" w:sz="4" w:space="4" w:color="auto"/>
        </w:pBdr>
        <w:ind w:left="1417" w:hanging="1417"/>
        <w:rPr>
          <w:b/>
          <w:noProof/>
        </w:rPr>
      </w:pPr>
      <w:r>
        <w:rPr>
          <w:b/>
          <w:noProof/>
        </w:rPr>
        <w:t xml:space="preserve">Priority 3: </w:t>
      </w:r>
      <w:r>
        <w:rPr>
          <w:b/>
          <w:noProof/>
        </w:rPr>
        <w:tab/>
        <w:t>Support to the national and local authorities to address the consequences of the presence of refugees in Turkey</w:t>
      </w:r>
    </w:p>
    <w:p w:rsidR="00D110BC" w:rsidRDefault="00AC28A4">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3.1: Management of migration flows </w:t>
      </w:r>
    </w:p>
    <w:p w:rsidR="00D110BC" w:rsidRDefault="00AC28A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regional and local authorities, who retain the administrative responsibili</w:t>
      </w:r>
      <w:r>
        <w:rPr>
          <w:rFonts w:ascii="Times New Roman" w:hAnsi="Times New Roman" w:cs="Times New Roman"/>
          <w:noProof/>
          <w:sz w:val="24"/>
          <w:szCs w:val="24"/>
        </w:rPr>
        <w:t>ty of hosting the out-of-camp refugees, will also need capacity building and operational support. In addition, the national authorities responsible for registration of the refugees and migration management are also facing capacity issues that need to be ad</w:t>
      </w:r>
      <w:r>
        <w:rPr>
          <w:rFonts w:ascii="Times New Roman" w:hAnsi="Times New Roman" w:cs="Times New Roman"/>
          <w:noProof/>
          <w:sz w:val="24"/>
          <w:szCs w:val="24"/>
        </w:rPr>
        <w:t xml:space="preserve">dressed. </w:t>
      </w:r>
    </w:p>
    <w:p w:rsidR="00D110BC" w:rsidRDefault="00AC28A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u w:val="single"/>
        </w:rPr>
        <w:t>Objectives</w:t>
      </w:r>
      <w:r>
        <w:rPr>
          <w:rFonts w:ascii="Times New Roman" w:hAnsi="Times New Roman" w:cs="Times New Roman"/>
          <w:noProof/>
          <w:sz w:val="24"/>
          <w:szCs w:val="24"/>
        </w:rPr>
        <w:t>: Improve capacity of local, regional and national authorities to manage refugees/migrants</w:t>
      </w:r>
    </w:p>
    <w:p w:rsidR="00D110BC" w:rsidRDefault="00AC28A4">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Potential projects:</w:t>
      </w:r>
    </w:p>
    <w:p w:rsidR="00D110BC" w:rsidRDefault="00AC28A4">
      <w:pPr>
        <w:pStyle w:val="ListParagraph"/>
        <w:numPr>
          <w:ilvl w:val="0"/>
          <w:numId w:val="24"/>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Capacity building on migration management</w:t>
      </w:r>
    </w:p>
    <w:p w:rsidR="00D110BC" w:rsidRDefault="00AC28A4">
      <w:pPr>
        <w:pStyle w:val="ListParagraph"/>
        <w:numPr>
          <w:ilvl w:val="0"/>
          <w:numId w:val="24"/>
        </w:numPr>
        <w:spacing w:line="240" w:lineRule="auto"/>
        <w:rPr>
          <w:rFonts w:ascii="Times New Roman" w:hAnsi="Times New Roman" w:cs="Times New Roman"/>
          <w:noProof/>
          <w:sz w:val="24"/>
          <w:szCs w:val="24"/>
        </w:rPr>
      </w:pPr>
      <w:r>
        <w:rPr>
          <w:rFonts w:ascii="Times New Roman" w:hAnsi="Times New Roman" w:cs="Times New Roman"/>
          <w:noProof/>
          <w:sz w:val="24"/>
          <w:szCs w:val="24"/>
        </w:rPr>
        <w:t>Supply of relevant equipment</w:t>
      </w:r>
    </w:p>
    <w:p w:rsidR="00D110BC" w:rsidRDefault="00AC28A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u w:val="single"/>
        </w:rPr>
        <w:t>Target group:</w:t>
      </w:r>
      <w:r>
        <w:rPr>
          <w:rFonts w:ascii="Times New Roman" w:hAnsi="Times New Roman" w:cs="Times New Roman"/>
          <w:noProof/>
          <w:sz w:val="24"/>
          <w:szCs w:val="24"/>
        </w:rPr>
        <w:t xml:space="preserve"> Local, regional and national authorities</w:t>
      </w:r>
    </w:p>
    <w:p w:rsidR="00D110BC" w:rsidRDefault="00D110BC">
      <w:pPr>
        <w:spacing w:line="240" w:lineRule="auto"/>
        <w:jc w:val="both"/>
        <w:rPr>
          <w:rFonts w:ascii="Times New Roman" w:hAnsi="Times New Roman" w:cs="Times New Roman"/>
          <w:noProof/>
          <w:sz w:val="24"/>
          <w:szCs w:val="24"/>
        </w:rPr>
      </w:pPr>
    </w:p>
    <w:sectPr w:rsidR="00D110BC">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0BC" w:rsidRDefault="00AC28A4">
      <w:pPr>
        <w:spacing w:after="0" w:line="240" w:lineRule="auto"/>
      </w:pPr>
      <w:r>
        <w:separator/>
      </w:r>
    </w:p>
  </w:endnote>
  <w:endnote w:type="continuationSeparator" w:id="0">
    <w:p w:rsidR="00D110BC" w:rsidRDefault="00AC2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8A4" w:rsidRPr="00AC28A4" w:rsidRDefault="00AC28A4" w:rsidP="00AC28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8A4" w:rsidRPr="00AC28A4" w:rsidRDefault="00AC28A4" w:rsidP="00AC28A4">
    <w:pPr>
      <w:pStyle w:val="FooterCoverPage"/>
      <w:rPr>
        <w:rFonts w:ascii="Arial" w:hAnsi="Arial" w:cs="Arial"/>
        <w:b/>
        <w:sz w:val="48"/>
      </w:rPr>
    </w:pPr>
    <w:r w:rsidRPr="00AC28A4">
      <w:rPr>
        <w:rFonts w:ascii="Arial" w:hAnsi="Arial" w:cs="Arial"/>
        <w:b/>
        <w:sz w:val="48"/>
      </w:rPr>
      <w:t>EN</w:t>
    </w:r>
    <w:r w:rsidRPr="00AC28A4">
      <w:rPr>
        <w:rFonts w:ascii="Arial" w:hAnsi="Arial" w:cs="Arial"/>
        <w:b/>
        <w:sz w:val="48"/>
      </w:rPr>
      <w:tab/>
    </w:r>
    <w:r w:rsidRPr="00AC28A4">
      <w:rPr>
        <w:rFonts w:ascii="Arial" w:hAnsi="Arial" w:cs="Arial"/>
        <w:b/>
        <w:sz w:val="48"/>
      </w:rPr>
      <w:tab/>
    </w:r>
    <w:fldSimple w:instr=" DOCVARIABLE &quot;LW_Confidence&quot; \* MERGEFORMAT ">
      <w:r>
        <w:t xml:space="preserve"> </w:t>
      </w:r>
    </w:fldSimple>
    <w:r w:rsidRPr="00AC28A4">
      <w:tab/>
    </w:r>
    <w:r w:rsidRPr="00AC28A4">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8A4" w:rsidRPr="00AC28A4" w:rsidRDefault="00AC28A4" w:rsidP="00AC28A4">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0BC" w:rsidRDefault="00D110B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006112"/>
      <w:docPartObj>
        <w:docPartGallery w:val="Page Numbers (Bottom of Page)"/>
        <w:docPartUnique/>
      </w:docPartObj>
    </w:sdtPr>
    <w:sdtEndPr>
      <w:rPr>
        <w:noProof/>
      </w:rPr>
    </w:sdtEndPr>
    <w:sdtContent>
      <w:p w:rsidR="00D110BC" w:rsidRDefault="00AC28A4">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D110BC" w:rsidRDefault="00D110B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0BC" w:rsidRDefault="00D110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0BC" w:rsidRDefault="00AC28A4">
      <w:pPr>
        <w:spacing w:after="0" w:line="240" w:lineRule="auto"/>
      </w:pPr>
      <w:r>
        <w:separator/>
      </w:r>
    </w:p>
  </w:footnote>
  <w:footnote w:type="continuationSeparator" w:id="0">
    <w:p w:rsidR="00D110BC" w:rsidRDefault="00AC28A4">
      <w:pPr>
        <w:spacing w:after="0" w:line="240" w:lineRule="auto"/>
      </w:pPr>
      <w:r>
        <w:continuationSeparator/>
      </w:r>
    </w:p>
  </w:footnote>
  <w:footnote w:id="1">
    <w:p w:rsidR="00D110BC" w:rsidRDefault="00AC28A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As done in the first JAP implementation report, these graphs present only the entries from Turkey to Greece  as these represent more than 99% of the total entries.</w:t>
      </w:r>
    </w:p>
  </w:footnote>
  <w:footnote w:id="2">
    <w:p w:rsidR="00D110BC" w:rsidRDefault="00AC28A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According to IOM, 244 migrants died in the period from 1 to 28 January 2016 in the Aegean. </w:t>
      </w:r>
    </w:p>
  </w:footnote>
  <w:footnote w:id="3">
    <w:p w:rsidR="00D110BC" w:rsidRDefault="00AC28A4">
      <w:pPr>
        <w:pStyle w:val="FootnoteText"/>
        <w:jc w:val="both"/>
        <w:rPr>
          <w:rFonts w:ascii="Times New Roman" w:hAnsi="Times New Roman" w:cs="Times New Roman"/>
        </w:rPr>
      </w:pPr>
      <w:r>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rPr>
        <w:t>Number of registered Syrian refugees as communicated by the Turkish Ministry of Foreign Affairs on 3 February</w:t>
      </w:r>
    </w:p>
  </w:footnote>
  <w:footnote w:id="4">
    <w:p w:rsidR="00D110BC" w:rsidRDefault="00AC28A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According to the Greece-Turkey bilateral protocol</w:t>
      </w:r>
      <w:r>
        <w:rPr>
          <w:rFonts w:ascii="Times New Roman" w:hAnsi="Times New Roman" w:cs="Times New Roman"/>
        </w:rPr>
        <w:t xml:space="preserve"> on readmission, the requested state has 75 days at the most to reply to a readmission request. Upon agreement, return should be carried out within a maximum of 15 days. The same readmission protocol provides for a simplified procedure whereby the requeste</w:t>
      </w:r>
      <w:r>
        <w:rPr>
          <w:rFonts w:ascii="Times New Roman" w:hAnsi="Times New Roman" w:cs="Times New Roman"/>
        </w:rPr>
        <w:t>d state should readmit a person arrested in a frontier zone within one week from the notification of the arrest.</w:t>
      </w:r>
    </w:p>
  </w:footnote>
  <w:footnote w:id="5">
    <w:p w:rsidR="00D110BC" w:rsidRDefault="00AC28A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According to Turkish legislation, only those persons having fled Syria obtain automatically upon registration international protection as a g</w:t>
      </w:r>
      <w:r>
        <w:rPr>
          <w:rFonts w:ascii="Times New Roman" w:hAnsi="Times New Roman" w:cs="Times New Roman"/>
        </w:rPr>
        <w:t>roup. Citizens of other nationalities must introduce individual applications and obtain refugee status after a screening and decision by the Directorate General for Migration Management.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8A4" w:rsidRPr="00AC28A4" w:rsidRDefault="00AC28A4" w:rsidP="00AC28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8A4" w:rsidRPr="00AC28A4" w:rsidRDefault="00AC28A4" w:rsidP="00AC28A4">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8A4" w:rsidRPr="00AC28A4" w:rsidRDefault="00AC28A4" w:rsidP="00AC28A4">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0BC" w:rsidRDefault="00D110B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0BC" w:rsidRDefault="00D110B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0BC" w:rsidRDefault="00D110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68681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3F7163"/>
    <w:multiLevelType w:val="hybridMultilevel"/>
    <w:tmpl w:val="643E2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C41BAD"/>
    <w:multiLevelType w:val="hybridMultilevel"/>
    <w:tmpl w:val="FDD0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CD33E5"/>
    <w:multiLevelType w:val="hybridMultilevel"/>
    <w:tmpl w:val="2CD0A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4A7B61"/>
    <w:multiLevelType w:val="hybridMultilevel"/>
    <w:tmpl w:val="245A10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3F4797"/>
    <w:multiLevelType w:val="hybridMultilevel"/>
    <w:tmpl w:val="3A0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1DF86C16"/>
    <w:multiLevelType w:val="hybridMultilevel"/>
    <w:tmpl w:val="C444D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5B0439"/>
    <w:multiLevelType w:val="hybridMultilevel"/>
    <w:tmpl w:val="811A2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2E20EB"/>
    <w:multiLevelType w:val="hybridMultilevel"/>
    <w:tmpl w:val="18606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24138A"/>
    <w:multiLevelType w:val="multilevel"/>
    <w:tmpl w:val="8B68B42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417C72E6"/>
    <w:multiLevelType w:val="hybridMultilevel"/>
    <w:tmpl w:val="5F440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2742D4D"/>
    <w:multiLevelType w:val="hybridMultilevel"/>
    <w:tmpl w:val="4D82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E7D462B"/>
    <w:multiLevelType w:val="hybridMultilevel"/>
    <w:tmpl w:val="64D4A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F541F3A"/>
    <w:multiLevelType w:val="hybridMultilevel"/>
    <w:tmpl w:val="4FDAB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0730DDC"/>
    <w:multiLevelType w:val="multilevel"/>
    <w:tmpl w:val="6F86F900"/>
    <w:lvl w:ilvl="0">
      <w:start w:val="1"/>
      <w:numFmt w:val="bullet"/>
      <w:lvlText w:val=""/>
      <w:lvlJc w:val="left"/>
      <w:pPr>
        <w:ind w:left="720" w:hanging="72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5EB87AFE"/>
    <w:multiLevelType w:val="hybridMultilevel"/>
    <w:tmpl w:val="51BC3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27B5D0E"/>
    <w:multiLevelType w:val="multilevel"/>
    <w:tmpl w:val="8B68B42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632C61C1"/>
    <w:multiLevelType w:val="hybridMultilevel"/>
    <w:tmpl w:val="C62C1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3D70CAA"/>
    <w:multiLevelType w:val="hybridMultilevel"/>
    <w:tmpl w:val="3F249A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6BDC36BD"/>
    <w:multiLevelType w:val="hybridMultilevel"/>
    <w:tmpl w:val="4030026E"/>
    <w:lvl w:ilvl="0" w:tplc="1D3039D6">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DFC28D1"/>
    <w:multiLevelType w:val="hybridMultilevel"/>
    <w:tmpl w:val="956819E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76B01B38"/>
    <w:multiLevelType w:val="hybridMultilevel"/>
    <w:tmpl w:val="D0783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
  </w:num>
  <w:num w:numId="4">
    <w:abstractNumId w:val="22"/>
  </w:num>
  <w:num w:numId="5">
    <w:abstractNumId w:val="21"/>
  </w:num>
  <w:num w:numId="6">
    <w:abstractNumId w:val="17"/>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19"/>
  </w:num>
  <w:num w:numId="11">
    <w:abstractNumId w:val="10"/>
  </w:num>
  <w:num w:numId="12">
    <w:abstractNumId w:val="20"/>
  </w:num>
  <w:num w:numId="13">
    <w:abstractNumId w:val="15"/>
  </w:num>
  <w:num w:numId="14">
    <w:abstractNumId w:val="7"/>
  </w:num>
  <w:num w:numId="15">
    <w:abstractNumId w:val="0"/>
  </w:num>
  <w:num w:numId="16">
    <w:abstractNumId w:val="18"/>
  </w:num>
  <w:num w:numId="17">
    <w:abstractNumId w:val="8"/>
  </w:num>
  <w:num w:numId="18">
    <w:abstractNumId w:val="1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3"/>
  </w:num>
  <w:num w:numId="22">
    <w:abstractNumId w:val="13"/>
  </w:num>
  <w:num w:numId="23">
    <w:abstractNumId w:val="1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1"/>
    <w:docVar w:name="LW_ANNEX_NBR_LAST" w:val="1"/>
    <w:docVar w:name="LW_CONFIDENCE" w:val=" "/>
    <w:docVar w:name="LW_CONST_RESTREINT_UE" w:val="RESTREINT UE/EU RESTRICTED"/>
    <w:docVar w:name="LW_CORRIGENDUM" w:val="&lt;UNUSED&gt;"/>
    <w:docVar w:name="LW_COVERPAGE_GUID" w:val="7320F70BC8D64582B333E423F78EA519"/>
    <w:docVar w:name="LW_CROSSREFERENCE" w:val="&lt;UNUSED&gt;"/>
    <w:docVar w:name="LW_DocType" w:val="NORMAL"/>
    <w:docVar w:name="LW_EMISSION" w:val="10.2.2016"/>
    <w:docVar w:name="LW_EMISSION_ISODATE" w:val="2016-02-10"/>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EU-Turkey Joint Action Plan - Implementation Report"/>
    <w:docVar w:name="LW_PART_NBR" w:val="1"/>
    <w:docVar w:name="LW_PART_NBR_TOTAL" w:val="1"/>
    <w:docVar w:name="LW_REF.INST.NEW" w:val="COM"/>
    <w:docVar w:name="LW_REF.INST.NEW_ADOPTED" w:val="final"/>
    <w:docVar w:name="LW_REF.INST.NEW_TEXT" w:val="(2016) 85"/>
    <w:docVar w:name="LW_REF.INTERNE" w:val="&lt;UNUSED&gt;"/>
    <w:docVar w:name="LW_SUPERTITRE" w:val="&lt;UNUSED&gt;"/>
    <w:docVar w:name="LW_TITRE.OBJ.CP" w:val="&lt;UNUSED&gt;"/>
    <w:docVar w:name="LW_TYPE.DOC.CP" w:val="ANNEX_x000b_"/>
    <w:docVar w:name="LW_TYPEACTEPRINCIPAL.CP" w:val="Communication from the Commission to the European Parliament and the Council on the State of Play of Implementation of the Priority Actions under the European Agenda on Migration"/>
  </w:docVars>
  <w:rsids>
    <w:rsidRoot w:val="00D110BC"/>
    <w:rsid w:val="00AC28A4"/>
    <w:rsid w:val="00D11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Bullet">
    <w:name w:val="List Bullet"/>
    <w:basedOn w:val="Normal"/>
    <w:uiPriority w:val="99"/>
    <w:unhideWhenUsed/>
    <w:pPr>
      <w:numPr>
        <w:numId w:val="15"/>
      </w:numPr>
      <w:contextualSpacing/>
    </w:p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paragraph" w:customStyle="1" w:styleId="Point0number">
    <w:name w:val="Point 0 (number)"/>
    <w:basedOn w:val="Normal"/>
    <w:pPr>
      <w:numPr>
        <w:numId w:val="19"/>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19"/>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19"/>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19"/>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19"/>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19"/>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19"/>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19"/>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19"/>
      </w:numPr>
      <w:spacing w:before="120" w:after="120" w:line="240" w:lineRule="auto"/>
      <w:jc w:val="both"/>
    </w:pPr>
    <w:rPr>
      <w:rFonts w:ascii="Times New Roman" w:hAnsi="Times New Roman" w:cs="Times New Roman"/>
      <w:sz w:val="24"/>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Bullet">
    <w:name w:val="List Bullet"/>
    <w:basedOn w:val="Normal"/>
    <w:uiPriority w:val="99"/>
    <w:unhideWhenUsed/>
    <w:pPr>
      <w:numPr>
        <w:numId w:val="15"/>
      </w:numPr>
      <w:contextualSpacing/>
    </w:p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paragraph" w:customStyle="1" w:styleId="Point0number">
    <w:name w:val="Point 0 (number)"/>
    <w:basedOn w:val="Normal"/>
    <w:pPr>
      <w:numPr>
        <w:numId w:val="19"/>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19"/>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19"/>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19"/>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19"/>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19"/>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19"/>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19"/>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19"/>
      </w:numPr>
      <w:spacing w:before="120" w:after="120" w:line="240" w:lineRule="auto"/>
      <w:jc w:val="both"/>
    </w:pPr>
    <w:rPr>
      <w:rFonts w:ascii="Times New Roman" w:hAnsi="Times New Roman" w:cs="Times New Roman"/>
      <w:sz w:val="24"/>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56848">
      <w:bodyDiv w:val="1"/>
      <w:marLeft w:val="0"/>
      <w:marRight w:val="0"/>
      <w:marTop w:val="0"/>
      <w:marBottom w:val="0"/>
      <w:divBdr>
        <w:top w:val="none" w:sz="0" w:space="0" w:color="auto"/>
        <w:left w:val="none" w:sz="0" w:space="0" w:color="auto"/>
        <w:bottom w:val="none" w:sz="0" w:space="0" w:color="auto"/>
        <w:right w:val="none" w:sz="0" w:space="0" w:color="auto"/>
      </w:divBdr>
      <w:divsChild>
        <w:div w:id="1460564156">
          <w:marLeft w:val="0"/>
          <w:marRight w:val="0"/>
          <w:marTop w:val="0"/>
          <w:marBottom w:val="0"/>
          <w:divBdr>
            <w:top w:val="none" w:sz="0" w:space="0" w:color="auto"/>
            <w:left w:val="none" w:sz="0" w:space="0" w:color="auto"/>
            <w:bottom w:val="none" w:sz="0" w:space="0" w:color="auto"/>
            <w:right w:val="none" w:sz="0" w:space="0" w:color="auto"/>
          </w:divBdr>
          <w:divsChild>
            <w:div w:id="1610578958">
              <w:marLeft w:val="0"/>
              <w:marRight w:val="0"/>
              <w:marTop w:val="0"/>
              <w:marBottom w:val="150"/>
              <w:divBdr>
                <w:top w:val="none" w:sz="0" w:space="0" w:color="auto"/>
                <w:left w:val="none" w:sz="0" w:space="0" w:color="auto"/>
                <w:bottom w:val="none" w:sz="0" w:space="0" w:color="auto"/>
                <w:right w:val="none" w:sz="0" w:space="0" w:color="auto"/>
              </w:divBdr>
              <w:divsChild>
                <w:div w:id="1042554704">
                  <w:marLeft w:val="0"/>
                  <w:marRight w:val="0"/>
                  <w:marTop w:val="0"/>
                  <w:marBottom w:val="0"/>
                  <w:divBdr>
                    <w:top w:val="none" w:sz="0" w:space="0" w:color="auto"/>
                    <w:left w:val="none" w:sz="0" w:space="0" w:color="auto"/>
                    <w:bottom w:val="none" w:sz="0" w:space="0" w:color="auto"/>
                    <w:right w:val="none" w:sz="0" w:space="0" w:color="auto"/>
                  </w:divBdr>
                  <w:divsChild>
                    <w:div w:id="1534609001">
                      <w:marLeft w:val="0"/>
                      <w:marRight w:val="0"/>
                      <w:marTop w:val="0"/>
                      <w:marBottom w:val="0"/>
                      <w:divBdr>
                        <w:top w:val="none" w:sz="0" w:space="0" w:color="auto"/>
                        <w:left w:val="none" w:sz="0" w:space="0" w:color="auto"/>
                        <w:bottom w:val="none" w:sz="0" w:space="0" w:color="auto"/>
                        <w:right w:val="none" w:sz="0" w:space="0" w:color="auto"/>
                      </w:divBdr>
                      <w:divsChild>
                        <w:div w:id="563368801">
                          <w:marLeft w:val="0"/>
                          <w:marRight w:val="0"/>
                          <w:marTop w:val="0"/>
                          <w:marBottom w:val="0"/>
                          <w:divBdr>
                            <w:top w:val="none" w:sz="0" w:space="0" w:color="auto"/>
                            <w:left w:val="none" w:sz="0" w:space="0" w:color="auto"/>
                            <w:bottom w:val="none" w:sz="0" w:space="0" w:color="auto"/>
                            <w:right w:val="none" w:sz="0" w:space="0" w:color="auto"/>
                          </w:divBdr>
                          <w:divsChild>
                            <w:div w:id="130367383">
                              <w:marLeft w:val="0"/>
                              <w:marRight w:val="0"/>
                              <w:marTop w:val="0"/>
                              <w:marBottom w:val="0"/>
                              <w:divBdr>
                                <w:top w:val="none" w:sz="0" w:space="0" w:color="auto"/>
                                <w:left w:val="none" w:sz="0" w:space="0" w:color="auto"/>
                                <w:bottom w:val="none" w:sz="0" w:space="0" w:color="auto"/>
                                <w:right w:val="none" w:sz="0" w:space="0" w:color="auto"/>
                              </w:divBdr>
                              <w:divsChild>
                                <w:div w:id="1148396797">
                                  <w:marLeft w:val="0"/>
                                  <w:marRight w:val="-3600"/>
                                  <w:marTop w:val="150"/>
                                  <w:marBottom w:val="0"/>
                                  <w:divBdr>
                                    <w:top w:val="none" w:sz="0" w:space="0" w:color="auto"/>
                                    <w:left w:val="none" w:sz="0" w:space="0" w:color="auto"/>
                                    <w:bottom w:val="none" w:sz="0" w:space="0" w:color="auto"/>
                                    <w:right w:val="none" w:sz="0" w:space="0" w:color="auto"/>
                                  </w:divBdr>
                                  <w:divsChild>
                                    <w:div w:id="1842309769">
                                      <w:marLeft w:val="0"/>
                                      <w:marRight w:val="3600"/>
                                      <w:marTop w:val="0"/>
                                      <w:marBottom w:val="0"/>
                                      <w:divBdr>
                                        <w:top w:val="none" w:sz="0" w:space="0" w:color="auto"/>
                                        <w:left w:val="none" w:sz="0" w:space="0" w:color="auto"/>
                                        <w:bottom w:val="none" w:sz="0" w:space="0" w:color="auto"/>
                                        <w:right w:val="none" w:sz="0" w:space="0" w:color="auto"/>
                                      </w:divBdr>
                                      <w:divsChild>
                                        <w:div w:id="1281575183">
                                          <w:marLeft w:val="0"/>
                                          <w:marRight w:val="0"/>
                                          <w:marTop w:val="0"/>
                                          <w:marBottom w:val="0"/>
                                          <w:divBdr>
                                            <w:top w:val="none" w:sz="0" w:space="0" w:color="auto"/>
                                            <w:left w:val="none" w:sz="0" w:space="0" w:color="auto"/>
                                            <w:bottom w:val="none" w:sz="0" w:space="0" w:color="auto"/>
                                            <w:right w:val="none" w:sz="0" w:space="0" w:color="auto"/>
                                          </w:divBdr>
                                          <w:divsChild>
                                            <w:div w:id="1772552698">
                                              <w:marLeft w:val="0"/>
                                              <w:marRight w:val="0"/>
                                              <w:marTop w:val="0"/>
                                              <w:marBottom w:val="0"/>
                                              <w:divBdr>
                                                <w:top w:val="none" w:sz="0" w:space="0" w:color="auto"/>
                                                <w:left w:val="none" w:sz="0" w:space="0" w:color="auto"/>
                                                <w:bottom w:val="none" w:sz="0" w:space="0" w:color="auto"/>
                                                <w:right w:val="none" w:sz="0" w:space="0" w:color="auto"/>
                                              </w:divBdr>
                                              <w:divsChild>
                                                <w:div w:id="884216906">
                                                  <w:marLeft w:val="0"/>
                                                  <w:marRight w:val="0"/>
                                                  <w:marTop w:val="0"/>
                                                  <w:marBottom w:val="0"/>
                                                  <w:divBdr>
                                                    <w:top w:val="none" w:sz="0" w:space="0" w:color="auto"/>
                                                    <w:left w:val="none" w:sz="0" w:space="0" w:color="auto"/>
                                                    <w:bottom w:val="none" w:sz="0" w:space="0" w:color="auto"/>
                                                    <w:right w:val="none" w:sz="0" w:space="0" w:color="auto"/>
                                                  </w:divBdr>
                                                  <w:divsChild>
                                                    <w:div w:id="1712421251">
                                                      <w:marLeft w:val="0"/>
                                                      <w:marRight w:val="0"/>
                                                      <w:marTop w:val="0"/>
                                                      <w:marBottom w:val="0"/>
                                                      <w:divBdr>
                                                        <w:top w:val="none" w:sz="0" w:space="0" w:color="auto"/>
                                                        <w:left w:val="none" w:sz="0" w:space="0" w:color="auto"/>
                                                        <w:bottom w:val="none" w:sz="0" w:space="0" w:color="auto"/>
                                                        <w:right w:val="none" w:sz="0" w:space="0" w:color="auto"/>
                                                      </w:divBdr>
                                                      <w:divsChild>
                                                        <w:div w:id="2210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6334640">
      <w:bodyDiv w:val="1"/>
      <w:marLeft w:val="0"/>
      <w:marRight w:val="0"/>
      <w:marTop w:val="0"/>
      <w:marBottom w:val="0"/>
      <w:divBdr>
        <w:top w:val="none" w:sz="0" w:space="0" w:color="auto"/>
        <w:left w:val="none" w:sz="0" w:space="0" w:color="auto"/>
        <w:bottom w:val="none" w:sz="0" w:space="0" w:color="auto"/>
        <w:right w:val="none" w:sz="0" w:space="0" w:color="auto"/>
      </w:divBdr>
    </w:div>
    <w:div w:id="968973841">
      <w:bodyDiv w:val="1"/>
      <w:marLeft w:val="0"/>
      <w:marRight w:val="0"/>
      <w:marTop w:val="0"/>
      <w:marBottom w:val="0"/>
      <w:divBdr>
        <w:top w:val="none" w:sz="0" w:space="0" w:color="auto"/>
        <w:left w:val="none" w:sz="0" w:space="0" w:color="auto"/>
        <w:bottom w:val="none" w:sz="0" w:space="0" w:color="auto"/>
        <w:right w:val="none" w:sz="0" w:space="0" w:color="auto"/>
      </w:divBdr>
    </w:div>
    <w:div w:id="1386950233">
      <w:bodyDiv w:val="1"/>
      <w:marLeft w:val="0"/>
      <w:marRight w:val="0"/>
      <w:marTop w:val="0"/>
      <w:marBottom w:val="0"/>
      <w:divBdr>
        <w:top w:val="none" w:sz="0" w:space="0" w:color="auto"/>
        <w:left w:val="none" w:sz="0" w:space="0" w:color="auto"/>
        <w:bottom w:val="none" w:sz="0" w:space="0" w:color="auto"/>
        <w:right w:val="none" w:sz="0" w:space="0" w:color="auto"/>
      </w:divBdr>
    </w:div>
    <w:div w:id="1594437672">
      <w:bodyDiv w:val="1"/>
      <w:marLeft w:val="0"/>
      <w:marRight w:val="0"/>
      <w:marTop w:val="0"/>
      <w:marBottom w:val="0"/>
      <w:divBdr>
        <w:top w:val="none" w:sz="0" w:space="0" w:color="auto"/>
        <w:left w:val="none" w:sz="0" w:space="0" w:color="auto"/>
        <w:bottom w:val="none" w:sz="0" w:space="0" w:color="auto"/>
        <w:right w:val="none" w:sz="0" w:space="0" w:color="auto"/>
      </w:divBdr>
    </w:div>
    <w:div w:id="164686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a:t>Daily Irregular Entries from Turkey into Greece,</a:t>
            </a:r>
            <a:r>
              <a:rPr lang="en-GB" baseline="0"/>
              <a:t> December 2015-January 2016</a:t>
            </a:r>
            <a:endParaRPr lang="en-GB"/>
          </a:p>
        </c:rich>
      </c:tx>
      <c:layout/>
      <c:overlay val="0"/>
    </c:title>
    <c:autoTitleDeleted val="0"/>
    <c:plotArea>
      <c:layout>
        <c:manualLayout>
          <c:layoutTarget val="inner"/>
          <c:xMode val="edge"/>
          <c:yMode val="edge"/>
          <c:x val="7.9488154258495466E-2"/>
          <c:y val="0.25229581596418099"/>
          <c:w val="0.9146592787012735"/>
          <c:h val="0.57721839005661479"/>
        </c:manualLayout>
      </c:layout>
      <c:lineChart>
        <c:grouping val="standard"/>
        <c:varyColors val="0"/>
        <c:ser>
          <c:idx val="0"/>
          <c:order val="0"/>
          <c:tx>
            <c:strRef>
              <c:f>Sheet1!$B$1</c:f>
              <c:strCache>
                <c:ptCount val="1"/>
                <c:pt idx="0">
                  <c:v>Daily irregular entries from Turkey into Greece</c:v>
                </c:pt>
              </c:strCache>
            </c:strRef>
          </c:tx>
          <c:marker>
            <c:symbol val="none"/>
          </c:marker>
          <c:cat>
            <c:numRef>
              <c:f>Sheet1!$A$2:$A$63</c:f>
              <c:numCache>
                <c:formatCode>d\-mmm</c:formatCode>
                <c:ptCount val="62"/>
                <c:pt idx="0">
                  <c:v>42339</c:v>
                </c:pt>
                <c:pt idx="1">
                  <c:v>42340</c:v>
                </c:pt>
                <c:pt idx="2">
                  <c:v>42341</c:v>
                </c:pt>
                <c:pt idx="3">
                  <c:v>42342</c:v>
                </c:pt>
                <c:pt idx="4">
                  <c:v>42343</c:v>
                </c:pt>
                <c:pt idx="5">
                  <c:v>42344</c:v>
                </c:pt>
                <c:pt idx="6">
                  <c:v>42345</c:v>
                </c:pt>
                <c:pt idx="7">
                  <c:v>42346</c:v>
                </c:pt>
                <c:pt idx="8">
                  <c:v>42347</c:v>
                </c:pt>
                <c:pt idx="9">
                  <c:v>42348</c:v>
                </c:pt>
                <c:pt idx="10">
                  <c:v>42349</c:v>
                </c:pt>
                <c:pt idx="11">
                  <c:v>42350</c:v>
                </c:pt>
                <c:pt idx="12">
                  <c:v>42351</c:v>
                </c:pt>
                <c:pt idx="13">
                  <c:v>42352</c:v>
                </c:pt>
                <c:pt idx="14">
                  <c:v>42353</c:v>
                </c:pt>
                <c:pt idx="15">
                  <c:v>42354</c:v>
                </c:pt>
                <c:pt idx="16">
                  <c:v>42355</c:v>
                </c:pt>
                <c:pt idx="17">
                  <c:v>42356</c:v>
                </c:pt>
                <c:pt idx="18">
                  <c:v>42357</c:v>
                </c:pt>
                <c:pt idx="19">
                  <c:v>42358</c:v>
                </c:pt>
                <c:pt idx="20">
                  <c:v>42359</c:v>
                </c:pt>
                <c:pt idx="21">
                  <c:v>42360</c:v>
                </c:pt>
                <c:pt idx="22">
                  <c:v>42361</c:v>
                </c:pt>
                <c:pt idx="23">
                  <c:v>42362</c:v>
                </c:pt>
                <c:pt idx="24">
                  <c:v>42363</c:v>
                </c:pt>
                <c:pt idx="25">
                  <c:v>42364</c:v>
                </c:pt>
                <c:pt idx="26">
                  <c:v>42365</c:v>
                </c:pt>
                <c:pt idx="27">
                  <c:v>42366</c:v>
                </c:pt>
                <c:pt idx="28">
                  <c:v>42367</c:v>
                </c:pt>
                <c:pt idx="29">
                  <c:v>42368</c:v>
                </c:pt>
                <c:pt idx="30">
                  <c:v>42369</c:v>
                </c:pt>
                <c:pt idx="31">
                  <c:v>42370</c:v>
                </c:pt>
                <c:pt idx="32">
                  <c:v>42371</c:v>
                </c:pt>
                <c:pt idx="33">
                  <c:v>42372</c:v>
                </c:pt>
                <c:pt idx="34">
                  <c:v>42373</c:v>
                </c:pt>
                <c:pt idx="35">
                  <c:v>42374</c:v>
                </c:pt>
                <c:pt idx="36">
                  <c:v>42375</c:v>
                </c:pt>
                <c:pt idx="37">
                  <c:v>42376</c:v>
                </c:pt>
                <c:pt idx="38">
                  <c:v>42377</c:v>
                </c:pt>
                <c:pt idx="39">
                  <c:v>42378</c:v>
                </c:pt>
                <c:pt idx="40">
                  <c:v>42379</c:v>
                </c:pt>
                <c:pt idx="41">
                  <c:v>42380</c:v>
                </c:pt>
                <c:pt idx="42">
                  <c:v>42381</c:v>
                </c:pt>
                <c:pt idx="43">
                  <c:v>42382</c:v>
                </c:pt>
                <c:pt idx="44">
                  <c:v>42383</c:v>
                </c:pt>
                <c:pt idx="45">
                  <c:v>42384</c:v>
                </c:pt>
                <c:pt idx="46">
                  <c:v>42385</c:v>
                </c:pt>
                <c:pt idx="47">
                  <c:v>42386</c:v>
                </c:pt>
                <c:pt idx="48">
                  <c:v>42387</c:v>
                </c:pt>
                <c:pt idx="49">
                  <c:v>42388</c:v>
                </c:pt>
                <c:pt idx="50">
                  <c:v>42389</c:v>
                </c:pt>
                <c:pt idx="51">
                  <c:v>42390</c:v>
                </c:pt>
                <c:pt idx="52">
                  <c:v>42391</c:v>
                </c:pt>
                <c:pt idx="53">
                  <c:v>42392</c:v>
                </c:pt>
                <c:pt idx="54">
                  <c:v>42393</c:v>
                </c:pt>
                <c:pt idx="55">
                  <c:v>42394</c:v>
                </c:pt>
                <c:pt idx="56">
                  <c:v>42395</c:v>
                </c:pt>
                <c:pt idx="57">
                  <c:v>42396</c:v>
                </c:pt>
                <c:pt idx="58">
                  <c:v>42397</c:v>
                </c:pt>
                <c:pt idx="59">
                  <c:v>42398</c:v>
                </c:pt>
                <c:pt idx="60">
                  <c:v>42399</c:v>
                </c:pt>
                <c:pt idx="61">
                  <c:v>42400</c:v>
                </c:pt>
              </c:numCache>
            </c:numRef>
          </c:cat>
          <c:val>
            <c:numRef>
              <c:f>Sheet1!$B$2:$B$63</c:f>
              <c:numCache>
                <c:formatCode>General</c:formatCode>
                <c:ptCount val="62"/>
                <c:pt idx="0">
                  <c:v>5061</c:v>
                </c:pt>
                <c:pt idx="1">
                  <c:v>4265</c:v>
                </c:pt>
                <c:pt idx="2">
                  <c:v>4423</c:v>
                </c:pt>
                <c:pt idx="3">
                  <c:v>3160</c:v>
                </c:pt>
                <c:pt idx="4">
                  <c:v>3252</c:v>
                </c:pt>
                <c:pt idx="5">
                  <c:v>3098</c:v>
                </c:pt>
                <c:pt idx="6">
                  <c:v>4858</c:v>
                </c:pt>
                <c:pt idx="7">
                  <c:v>5902</c:v>
                </c:pt>
                <c:pt idx="8">
                  <c:v>5102</c:v>
                </c:pt>
                <c:pt idx="9">
                  <c:v>3253</c:v>
                </c:pt>
                <c:pt idx="10">
                  <c:v>3790</c:v>
                </c:pt>
                <c:pt idx="11">
                  <c:v>2339</c:v>
                </c:pt>
                <c:pt idx="12">
                  <c:v>1825</c:v>
                </c:pt>
                <c:pt idx="13">
                  <c:v>1906</c:v>
                </c:pt>
                <c:pt idx="14">
                  <c:v>3913</c:v>
                </c:pt>
                <c:pt idx="15">
                  <c:v>3414</c:v>
                </c:pt>
                <c:pt idx="16">
                  <c:v>3240</c:v>
                </c:pt>
                <c:pt idx="17">
                  <c:v>2240</c:v>
                </c:pt>
                <c:pt idx="18">
                  <c:v>2889</c:v>
                </c:pt>
                <c:pt idx="19">
                  <c:v>2338</c:v>
                </c:pt>
                <c:pt idx="20">
                  <c:v>4492</c:v>
                </c:pt>
                <c:pt idx="21">
                  <c:v>4023</c:v>
                </c:pt>
                <c:pt idx="22">
                  <c:v>3914</c:v>
                </c:pt>
                <c:pt idx="23">
                  <c:v>4064</c:v>
                </c:pt>
                <c:pt idx="24">
                  <c:v>3721</c:v>
                </c:pt>
                <c:pt idx="25">
                  <c:v>2408</c:v>
                </c:pt>
                <c:pt idx="26">
                  <c:v>3467</c:v>
                </c:pt>
                <c:pt idx="27">
                  <c:v>2757</c:v>
                </c:pt>
                <c:pt idx="28">
                  <c:v>3001</c:v>
                </c:pt>
                <c:pt idx="29">
                  <c:v>3405</c:v>
                </c:pt>
                <c:pt idx="30">
                  <c:v>2901</c:v>
                </c:pt>
                <c:pt idx="31">
                  <c:v>1029</c:v>
                </c:pt>
                <c:pt idx="32">
                  <c:v>510</c:v>
                </c:pt>
                <c:pt idx="33">
                  <c:v>2209</c:v>
                </c:pt>
                <c:pt idx="34">
                  <c:v>2607</c:v>
                </c:pt>
                <c:pt idx="35">
                  <c:v>2620</c:v>
                </c:pt>
                <c:pt idx="36">
                  <c:v>1179</c:v>
                </c:pt>
                <c:pt idx="37">
                  <c:v>1200</c:v>
                </c:pt>
                <c:pt idx="38">
                  <c:v>122</c:v>
                </c:pt>
                <c:pt idx="39">
                  <c:v>1247</c:v>
                </c:pt>
                <c:pt idx="40">
                  <c:v>3517</c:v>
                </c:pt>
                <c:pt idx="41">
                  <c:v>3640</c:v>
                </c:pt>
                <c:pt idx="42">
                  <c:v>3756</c:v>
                </c:pt>
                <c:pt idx="43">
                  <c:v>573</c:v>
                </c:pt>
                <c:pt idx="44">
                  <c:v>408</c:v>
                </c:pt>
                <c:pt idx="45">
                  <c:v>1840</c:v>
                </c:pt>
                <c:pt idx="46">
                  <c:v>3830</c:v>
                </c:pt>
                <c:pt idx="47">
                  <c:v>1729</c:v>
                </c:pt>
                <c:pt idx="48">
                  <c:v>307</c:v>
                </c:pt>
                <c:pt idx="49">
                  <c:v>383</c:v>
                </c:pt>
                <c:pt idx="50">
                  <c:v>1096</c:v>
                </c:pt>
                <c:pt idx="51">
                  <c:v>1702</c:v>
                </c:pt>
                <c:pt idx="52">
                  <c:v>3642</c:v>
                </c:pt>
                <c:pt idx="53">
                  <c:v>4298</c:v>
                </c:pt>
                <c:pt idx="54">
                  <c:v>1639</c:v>
                </c:pt>
                <c:pt idx="55">
                  <c:v>615</c:v>
                </c:pt>
                <c:pt idx="56">
                  <c:v>1299</c:v>
                </c:pt>
                <c:pt idx="57">
                  <c:v>2277</c:v>
                </c:pt>
                <c:pt idx="58">
                  <c:v>3158</c:v>
                </c:pt>
                <c:pt idx="59">
                  <c:v>2955</c:v>
                </c:pt>
                <c:pt idx="60">
                  <c:v>2445</c:v>
                </c:pt>
                <c:pt idx="61">
                  <c:v>2634</c:v>
                </c:pt>
              </c:numCache>
            </c:numRef>
          </c:val>
          <c:smooth val="0"/>
        </c:ser>
        <c:dLbls>
          <c:showLegendKey val="0"/>
          <c:showVal val="0"/>
          <c:showCatName val="0"/>
          <c:showSerName val="0"/>
          <c:showPercent val="0"/>
          <c:showBubbleSize val="0"/>
        </c:dLbls>
        <c:marker val="1"/>
        <c:smooth val="0"/>
        <c:axId val="44175744"/>
        <c:axId val="44178432"/>
      </c:lineChart>
      <c:dateAx>
        <c:axId val="44175744"/>
        <c:scaling>
          <c:orientation val="minMax"/>
        </c:scaling>
        <c:delete val="0"/>
        <c:axPos val="b"/>
        <c:numFmt formatCode="d\-mmm" sourceLinked="1"/>
        <c:majorTickMark val="out"/>
        <c:minorTickMark val="none"/>
        <c:tickLblPos val="nextTo"/>
        <c:crossAx val="44178432"/>
        <c:crosses val="autoZero"/>
        <c:auto val="1"/>
        <c:lblOffset val="100"/>
        <c:baseTimeUnit val="days"/>
        <c:majorUnit val="1"/>
        <c:majorTimeUnit val="days"/>
      </c:dateAx>
      <c:valAx>
        <c:axId val="44178432"/>
        <c:scaling>
          <c:orientation val="minMax"/>
        </c:scaling>
        <c:delete val="0"/>
        <c:axPos val="l"/>
        <c:majorGridlines/>
        <c:numFmt formatCode="General" sourceLinked="1"/>
        <c:majorTickMark val="out"/>
        <c:minorTickMark val="none"/>
        <c:tickLblPos val="nextTo"/>
        <c:crossAx val="44175744"/>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800" b="1" i="0" baseline="0">
                <a:effectLst/>
              </a:rPr>
              <a:t>Irregular arrivals from Turkey to Greece, per week</a:t>
            </a:r>
          </a:p>
        </c:rich>
      </c:tx>
      <c:layout/>
      <c:overlay val="0"/>
    </c:title>
    <c:autoTitleDeleted val="0"/>
    <c:plotArea>
      <c:layout/>
      <c:lineChart>
        <c:grouping val="standard"/>
        <c:varyColors val="0"/>
        <c:ser>
          <c:idx val="0"/>
          <c:order val="0"/>
          <c:tx>
            <c:strRef>
              <c:f>Sheet1!$B$6</c:f>
              <c:strCache>
                <c:ptCount val="1"/>
                <c:pt idx="0">
                  <c:v>Total</c:v>
                </c:pt>
              </c:strCache>
            </c:strRef>
          </c:tx>
          <c:marker>
            <c:symbol val="none"/>
          </c:marker>
          <c:dLbls>
            <c:dLbl>
              <c:idx val="0"/>
              <c:layout>
                <c:manualLayout>
                  <c:x val="-5.2287581699346407E-2"/>
                  <c:y val="-3.0303030303030269E-2"/>
                </c:manualLayout>
              </c:layout>
              <c:showLegendKey val="0"/>
              <c:showVal val="1"/>
              <c:showCatName val="0"/>
              <c:showSerName val="0"/>
              <c:showPercent val="0"/>
              <c:showBubbleSize val="0"/>
            </c:dLbl>
            <c:dLbl>
              <c:idx val="4"/>
              <c:layout>
                <c:manualLayout>
                  <c:x val="0"/>
                  <c:y val="-3.4090909090909088E-2"/>
                </c:manualLayout>
              </c:layout>
              <c:showLegendKey val="0"/>
              <c:showVal val="1"/>
              <c:showCatName val="0"/>
              <c:showSerName val="0"/>
              <c:showPercent val="0"/>
              <c:showBubbleSize val="0"/>
            </c:dLbl>
            <c:dLbl>
              <c:idx val="5"/>
              <c:layout>
                <c:manualLayout>
                  <c:x val="-1.3071895424836682E-2"/>
                  <c:y val="4.5454545454545456E-2"/>
                </c:manualLayout>
              </c:layout>
              <c:showLegendKey val="0"/>
              <c:showVal val="1"/>
              <c:showCatName val="0"/>
              <c:showSerName val="0"/>
              <c:showPercent val="0"/>
              <c:showBubbleSize val="0"/>
            </c:dLbl>
            <c:dLbl>
              <c:idx val="6"/>
              <c:layout>
                <c:manualLayout>
                  <c:x val="-6.5359477124183806E-3"/>
                  <c:y val="-1.893939393939394E-2"/>
                </c:manualLayout>
              </c:layout>
              <c:showLegendKey val="0"/>
              <c:showVal val="1"/>
              <c:showCatName val="0"/>
              <c:showSerName val="0"/>
              <c:showPercent val="0"/>
              <c:showBubbleSize val="0"/>
            </c:dLbl>
            <c:dLbl>
              <c:idx val="7"/>
              <c:layout>
                <c:manualLayout>
                  <c:x val="-1.3071895424836602E-2"/>
                  <c:y val="4.545454545454552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Sheet1!$C$5:$K$5</c:f>
              <c:strCache>
                <c:ptCount val="9"/>
                <c:pt idx="0">
                  <c:v>30/11-6/12</c:v>
                </c:pt>
                <c:pt idx="1">
                  <c:v>7/12-13/12</c:v>
                </c:pt>
                <c:pt idx="2">
                  <c:v>14/12-20/12</c:v>
                </c:pt>
                <c:pt idx="3">
                  <c:v>21/12-27/12</c:v>
                </c:pt>
                <c:pt idx="4">
                  <c:v>28/12-3/01</c:v>
                </c:pt>
                <c:pt idx="5">
                  <c:v>4/01-10/01</c:v>
                </c:pt>
                <c:pt idx="6">
                  <c:v>11/01-17/01</c:v>
                </c:pt>
                <c:pt idx="7">
                  <c:v>18/01-24/01</c:v>
                </c:pt>
                <c:pt idx="8">
                  <c:v>25/01-31/01</c:v>
                </c:pt>
              </c:strCache>
            </c:strRef>
          </c:cat>
          <c:val>
            <c:numRef>
              <c:f>Sheet1!$C$6:$K$6</c:f>
              <c:numCache>
                <c:formatCode>#,##0</c:formatCode>
                <c:ptCount val="9"/>
                <c:pt idx="0">
                  <c:v>27218</c:v>
                </c:pt>
                <c:pt idx="1">
                  <c:v>27069</c:v>
                </c:pt>
                <c:pt idx="2">
                  <c:v>19940</c:v>
                </c:pt>
                <c:pt idx="3">
                  <c:v>26089</c:v>
                </c:pt>
                <c:pt idx="4">
                  <c:v>15812</c:v>
                </c:pt>
                <c:pt idx="5">
                  <c:v>12492</c:v>
                </c:pt>
                <c:pt idx="6">
                  <c:v>15776</c:v>
                </c:pt>
                <c:pt idx="7">
                  <c:v>13067</c:v>
                </c:pt>
                <c:pt idx="8">
                  <c:v>15383</c:v>
                </c:pt>
              </c:numCache>
            </c:numRef>
          </c:val>
          <c:smooth val="0"/>
        </c:ser>
        <c:dLbls>
          <c:showLegendKey val="0"/>
          <c:showVal val="0"/>
          <c:showCatName val="0"/>
          <c:showSerName val="0"/>
          <c:showPercent val="0"/>
          <c:showBubbleSize val="0"/>
        </c:dLbls>
        <c:marker val="1"/>
        <c:smooth val="0"/>
        <c:axId val="72159232"/>
        <c:axId val="78677504"/>
      </c:lineChart>
      <c:catAx>
        <c:axId val="72159232"/>
        <c:scaling>
          <c:orientation val="minMax"/>
        </c:scaling>
        <c:delete val="0"/>
        <c:axPos val="b"/>
        <c:majorTickMark val="out"/>
        <c:minorTickMark val="none"/>
        <c:tickLblPos val="nextTo"/>
        <c:crossAx val="78677504"/>
        <c:crosses val="autoZero"/>
        <c:auto val="1"/>
        <c:lblAlgn val="ctr"/>
        <c:lblOffset val="100"/>
        <c:noMultiLvlLbl val="0"/>
      </c:catAx>
      <c:valAx>
        <c:axId val="78677504"/>
        <c:scaling>
          <c:orientation val="minMax"/>
        </c:scaling>
        <c:delete val="0"/>
        <c:axPos val="l"/>
        <c:majorGridlines/>
        <c:numFmt formatCode="#,##0" sourceLinked="1"/>
        <c:majorTickMark val="out"/>
        <c:minorTickMark val="none"/>
        <c:tickLblPos val="nextTo"/>
        <c:crossAx val="72159232"/>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a:t>Irregular</a:t>
            </a:r>
            <a:r>
              <a:rPr lang="en-GB" baseline="0"/>
              <a:t> border crossings from Turkey to Greece per month</a:t>
            </a:r>
            <a:endParaRPr lang="en-GB"/>
          </a:p>
        </c:rich>
      </c:tx>
      <c:layout/>
      <c:overlay val="0"/>
    </c:title>
    <c:autoTitleDeleted val="0"/>
    <c:plotArea>
      <c:layout/>
      <c:lineChart>
        <c:grouping val="standard"/>
        <c:varyColors val="0"/>
        <c:ser>
          <c:idx val="0"/>
          <c:order val="0"/>
          <c:tx>
            <c:v>Total</c:v>
          </c:tx>
          <c:marker>
            <c:symbol val="none"/>
          </c:marker>
          <c:cat>
            <c:numRef>
              <c:f>'Graph 3'!$B$1:$F$1</c:f>
              <c:numCache>
                <c:formatCode>mmm\-yy</c:formatCode>
                <c:ptCount val="5"/>
                <c:pt idx="0">
                  <c:v>42248</c:v>
                </c:pt>
                <c:pt idx="1">
                  <c:v>42278</c:v>
                </c:pt>
                <c:pt idx="2">
                  <c:v>42309</c:v>
                </c:pt>
                <c:pt idx="3">
                  <c:v>42339</c:v>
                </c:pt>
                <c:pt idx="4">
                  <c:v>42370</c:v>
                </c:pt>
              </c:numCache>
            </c:numRef>
          </c:cat>
          <c:val>
            <c:numRef>
              <c:f>'Graph 3'!$B$2:$F$2</c:f>
              <c:numCache>
                <c:formatCode>#,##0_ ;\-#,##0\ </c:formatCode>
                <c:ptCount val="5"/>
                <c:pt idx="0">
                  <c:v>147639</c:v>
                </c:pt>
                <c:pt idx="1">
                  <c:v>214792</c:v>
                </c:pt>
                <c:pt idx="2">
                  <c:v>154381</c:v>
                </c:pt>
                <c:pt idx="3">
                  <c:v>110835</c:v>
                </c:pt>
                <c:pt idx="4">
                  <c:v>67756</c:v>
                </c:pt>
              </c:numCache>
            </c:numRef>
          </c:val>
          <c:smooth val="0"/>
        </c:ser>
        <c:dLbls>
          <c:dLblPos val="r"/>
          <c:showLegendKey val="0"/>
          <c:showVal val="1"/>
          <c:showCatName val="0"/>
          <c:showSerName val="0"/>
          <c:showPercent val="0"/>
          <c:showBubbleSize val="0"/>
        </c:dLbls>
        <c:marker val="1"/>
        <c:smooth val="0"/>
        <c:axId val="87220992"/>
        <c:axId val="162026624"/>
      </c:lineChart>
      <c:dateAx>
        <c:axId val="87220992"/>
        <c:scaling>
          <c:orientation val="minMax"/>
        </c:scaling>
        <c:delete val="0"/>
        <c:axPos val="b"/>
        <c:numFmt formatCode="mmm\-yy" sourceLinked="1"/>
        <c:majorTickMark val="out"/>
        <c:minorTickMark val="none"/>
        <c:tickLblPos val="nextTo"/>
        <c:crossAx val="162026624"/>
        <c:crosses val="autoZero"/>
        <c:auto val="1"/>
        <c:lblOffset val="100"/>
        <c:baseTimeUnit val="months"/>
      </c:dateAx>
      <c:valAx>
        <c:axId val="162026624"/>
        <c:scaling>
          <c:orientation val="minMax"/>
        </c:scaling>
        <c:delete val="0"/>
        <c:axPos val="l"/>
        <c:majorGridlines/>
        <c:numFmt formatCode="#,##0_ ;\-#,##0\ " sourceLinked="1"/>
        <c:majorTickMark val="out"/>
        <c:minorTickMark val="none"/>
        <c:tickLblPos val="nextTo"/>
        <c:crossAx val="87220992"/>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a:t>Detection of irregular border crossings by nationalities</a:t>
            </a:r>
            <a:r>
              <a:rPr lang="en-GB" baseline="0"/>
              <a:t> at the Greek sea border with Turkey</a:t>
            </a:r>
            <a:endParaRPr lang="en-GB"/>
          </a:p>
        </c:rich>
      </c:tx>
      <c:layout/>
      <c:overlay val="0"/>
    </c:title>
    <c:autoTitleDeleted val="0"/>
    <c:plotArea>
      <c:layout/>
      <c:lineChart>
        <c:grouping val="standard"/>
        <c:varyColors val="0"/>
        <c:ser>
          <c:idx val="0"/>
          <c:order val="0"/>
          <c:tx>
            <c:strRef>
              <c:f>'Graph 4'!$A$36</c:f>
              <c:strCache>
                <c:ptCount val="1"/>
                <c:pt idx="0">
                  <c:v>Total TR-sea-EL</c:v>
                </c:pt>
              </c:strCache>
            </c:strRef>
          </c:tx>
          <c:marker>
            <c:symbol val="none"/>
          </c:marker>
          <c:dLbls>
            <c:dLbl>
              <c:idx val="3"/>
              <c:layout>
                <c:manualLayout>
                  <c:x val="1.9521717911176184E-3"/>
                  <c:y val="-1.4367816091954023E-2"/>
                </c:manualLayout>
              </c:layout>
              <c:dLblPos val="r"/>
              <c:showLegendKey val="0"/>
              <c:showVal val="1"/>
              <c:showCatName val="0"/>
              <c:showSerName val="0"/>
              <c:showPercent val="0"/>
              <c:showBubbleSize val="0"/>
            </c:dLbl>
            <c:dLblPos val="r"/>
            <c:showLegendKey val="0"/>
            <c:showVal val="1"/>
            <c:showCatName val="0"/>
            <c:showSerName val="0"/>
            <c:showPercent val="0"/>
            <c:showBubbleSize val="0"/>
            <c:showLeaderLines val="0"/>
          </c:dLbls>
          <c:cat>
            <c:numRef>
              <c:f>'Graph 4'!$B$35:$F$35</c:f>
              <c:numCache>
                <c:formatCode>mmm\-yy</c:formatCode>
                <c:ptCount val="5"/>
                <c:pt idx="0">
                  <c:v>42248</c:v>
                </c:pt>
                <c:pt idx="1">
                  <c:v>42278</c:v>
                </c:pt>
                <c:pt idx="2">
                  <c:v>42309</c:v>
                </c:pt>
                <c:pt idx="3">
                  <c:v>42339</c:v>
                </c:pt>
                <c:pt idx="4">
                  <c:v>42370</c:v>
                </c:pt>
              </c:numCache>
            </c:numRef>
          </c:cat>
          <c:val>
            <c:numRef>
              <c:f>'Graph 4'!$B$36:$F$36</c:f>
              <c:numCache>
                <c:formatCode>#,##0</c:formatCode>
                <c:ptCount val="5"/>
                <c:pt idx="0">
                  <c:v>147639</c:v>
                </c:pt>
                <c:pt idx="1">
                  <c:v>214792</c:v>
                </c:pt>
                <c:pt idx="2">
                  <c:v>154381</c:v>
                </c:pt>
                <c:pt idx="3">
                  <c:v>110835</c:v>
                </c:pt>
                <c:pt idx="4">
                  <c:v>67756</c:v>
                </c:pt>
              </c:numCache>
            </c:numRef>
          </c:val>
          <c:smooth val="0"/>
        </c:ser>
        <c:ser>
          <c:idx val="1"/>
          <c:order val="1"/>
          <c:tx>
            <c:strRef>
              <c:f>'Graph 4'!$A$37</c:f>
              <c:strCache>
                <c:ptCount val="1"/>
                <c:pt idx="0">
                  <c:v>Syria</c:v>
                </c:pt>
              </c:strCache>
            </c:strRef>
          </c:tx>
          <c:marker>
            <c:symbol val="none"/>
          </c:marker>
          <c:dLbls>
            <c:dLbl>
              <c:idx val="0"/>
              <c:layout>
                <c:manualLayout>
                  <c:x val="0"/>
                  <c:y val="1.7241379310344827E-2"/>
                </c:manualLayout>
              </c:layout>
              <c:dLblPos val="r"/>
              <c:showLegendKey val="0"/>
              <c:showVal val="1"/>
              <c:showCatName val="0"/>
              <c:showSerName val="0"/>
              <c:showPercent val="0"/>
              <c:showBubbleSize val="0"/>
            </c:dLbl>
            <c:dLbl>
              <c:idx val="2"/>
              <c:layout>
                <c:manualLayout>
                  <c:x val="0"/>
                  <c:y val="-2.9411764705882353E-2"/>
                </c:manualLayout>
              </c:layout>
              <c:dLblPos val="r"/>
              <c:showLegendKey val="0"/>
              <c:showVal val="1"/>
              <c:showCatName val="0"/>
              <c:showSerName val="0"/>
              <c:showPercent val="0"/>
              <c:showBubbleSize val="0"/>
            </c:dLbl>
            <c:dLbl>
              <c:idx val="3"/>
              <c:layout>
                <c:manualLayout>
                  <c:x val="-1.9521717911176184E-2"/>
                  <c:y val="-2.9411711467101094E-2"/>
                </c:manualLayout>
              </c:layout>
              <c:dLblPos val="r"/>
              <c:showLegendKey val="0"/>
              <c:showVal val="1"/>
              <c:showCatName val="0"/>
              <c:showSerName val="0"/>
              <c:showPercent val="0"/>
              <c:showBubbleSize val="0"/>
            </c:dLbl>
            <c:dLbl>
              <c:idx val="4"/>
              <c:layout>
                <c:manualLayout>
                  <c:x val="-1.3665202537823329E-2"/>
                  <c:y val="-1.7241605575165173E-2"/>
                </c:manualLayout>
              </c:layout>
              <c:dLblPos val="r"/>
              <c:showLegendKey val="0"/>
              <c:showVal val="1"/>
              <c:showCatName val="0"/>
              <c:showSerName val="0"/>
              <c:showPercent val="0"/>
              <c:showBubbleSize val="0"/>
            </c:dLbl>
            <c:dLblPos val="r"/>
            <c:showLegendKey val="0"/>
            <c:showVal val="1"/>
            <c:showCatName val="0"/>
            <c:showSerName val="0"/>
            <c:showPercent val="0"/>
            <c:showBubbleSize val="0"/>
            <c:showLeaderLines val="0"/>
          </c:dLbls>
          <c:cat>
            <c:numRef>
              <c:f>'Graph 4'!$B$35:$F$35</c:f>
              <c:numCache>
                <c:formatCode>mmm\-yy</c:formatCode>
                <c:ptCount val="5"/>
                <c:pt idx="0">
                  <c:v>42248</c:v>
                </c:pt>
                <c:pt idx="1">
                  <c:v>42278</c:v>
                </c:pt>
                <c:pt idx="2">
                  <c:v>42309</c:v>
                </c:pt>
                <c:pt idx="3">
                  <c:v>42339</c:v>
                </c:pt>
                <c:pt idx="4">
                  <c:v>42370</c:v>
                </c:pt>
              </c:numCache>
            </c:numRef>
          </c:cat>
          <c:val>
            <c:numRef>
              <c:f>'Graph 4'!$B$37:$F$37</c:f>
              <c:numCache>
                <c:formatCode>#,##0</c:formatCode>
                <c:ptCount val="5"/>
                <c:pt idx="0">
                  <c:v>101584</c:v>
                </c:pt>
                <c:pt idx="1">
                  <c:v>109669</c:v>
                </c:pt>
                <c:pt idx="2">
                  <c:v>66463</c:v>
                </c:pt>
                <c:pt idx="3">
                  <c:v>43110</c:v>
                </c:pt>
                <c:pt idx="4">
                  <c:v>25539</c:v>
                </c:pt>
              </c:numCache>
            </c:numRef>
          </c:val>
          <c:smooth val="0"/>
        </c:ser>
        <c:ser>
          <c:idx val="2"/>
          <c:order val="2"/>
          <c:tx>
            <c:strRef>
              <c:f>'Graph 4'!$A$38</c:f>
              <c:strCache>
                <c:ptCount val="1"/>
                <c:pt idx="0">
                  <c:v>Afghanistan</c:v>
                </c:pt>
              </c:strCache>
            </c:strRef>
          </c:tx>
          <c:marker>
            <c:symbol val="none"/>
          </c:marker>
          <c:dLbls>
            <c:dLbl>
              <c:idx val="1"/>
              <c:layout>
                <c:manualLayout>
                  <c:x val="-4.0995607613469986E-2"/>
                  <c:y val="-2.0114942528735632E-2"/>
                </c:manualLayout>
              </c:layout>
              <c:dLblPos val="r"/>
              <c:showLegendKey val="0"/>
              <c:showVal val="1"/>
              <c:showCatName val="0"/>
              <c:showSerName val="0"/>
              <c:showPercent val="0"/>
              <c:showBubbleSize val="0"/>
            </c:dLbl>
            <c:dLbl>
              <c:idx val="2"/>
              <c:layout>
                <c:manualLayout>
                  <c:x val="-8.8154269972451783E-3"/>
                  <c:y val="-1.9607843137254902E-2"/>
                </c:manualLayout>
              </c:layout>
              <c:dLblPos val="r"/>
              <c:showLegendKey val="0"/>
              <c:showVal val="1"/>
              <c:showCatName val="0"/>
              <c:showSerName val="0"/>
              <c:showPercent val="0"/>
              <c:showBubbleSize val="0"/>
            </c:dLbl>
            <c:dLbl>
              <c:idx val="3"/>
              <c:layout>
                <c:manualLayout>
                  <c:x val="-3.3186920448999513E-2"/>
                  <c:y val="-2.5862068965517137E-2"/>
                </c:manualLayout>
              </c:layout>
              <c:dLblPos val="r"/>
              <c:showLegendKey val="0"/>
              <c:showVal val="1"/>
              <c:showCatName val="0"/>
              <c:showSerName val="0"/>
              <c:showPercent val="0"/>
              <c:showBubbleSize val="0"/>
            </c:dLbl>
            <c:dLbl>
              <c:idx val="4"/>
              <c:layout>
                <c:manualLayout>
                  <c:x val="-1.3665202537823329E-2"/>
                  <c:y val="-1.1494479138383563E-2"/>
                </c:manualLayout>
              </c:layout>
              <c:dLblPos val="r"/>
              <c:showLegendKey val="0"/>
              <c:showVal val="1"/>
              <c:showCatName val="0"/>
              <c:showSerName val="0"/>
              <c:showPercent val="0"/>
              <c:showBubbleSize val="0"/>
            </c:dLbl>
            <c:dLblPos val="r"/>
            <c:showLegendKey val="0"/>
            <c:showVal val="1"/>
            <c:showCatName val="0"/>
            <c:showSerName val="0"/>
            <c:showPercent val="0"/>
            <c:showBubbleSize val="0"/>
            <c:showLeaderLines val="0"/>
          </c:dLbls>
          <c:cat>
            <c:numRef>
              <c:f>'Graph 4'!$B$35:$F$35</c:f>
              <c:numCache>
                <c:formatCode>mmm\-yy</c:formatCode>
                <c:ptCount val="5"/>
                <c:pt idx="0">
                  <c:v>42248</c:v>
                </c:pt>
                <c:pt idx="1">
                  <c:v>42278</c:v>
                </c:pt>
                <c:pt idx="2">
                  <c:v>42309</c:v>
                </c:pt>
                <c:pt idx="3">
                  <c:v>42339</c:v>
                </c:pt>
                <c:pt idx="4">
                  <c:v>42370</c:v>
                </c:pt>
              </c:numCache>
            </c:numRef>
          </c:cat>
          <c:val>
            <c:numRef>
              <c:f>'Graph 4'!$B$38:$F$38</c:f>
              <c:numCache>
                <c:formatCode>#,##0</c:formatCode>
                <c:ptCount val="5"/>
                <c:pt idx="0">
                  <c:v>26404</c:v>
                </c:pt>
                <c:pt idx="1">
                  <c:v>65642</c:v>
                </c:pt>
                <c:pt idx="2">
                  <c:v>44174</c:v>
                </c:pt>
                <c:pt idx="3">
                  <c:v>26700</c:v>
                </c:pt>
                <c:pt idx="4">
                  <c:v>15975</c:v>
                </c:pt>
              </c:numCache>
            </c:numRef>
          </c:val>
          <c:smooth val="0"/>
        </c:ser>
        <c:ser>
          <c:idx val="3"/>
          <c:order val="3"/>
          <c:tx>
            <c:strRef>
              <c:f>'Graph 4'!$A$39</c:f>
              <c:strCache>
                <c:ptCount val="1"/>
                <c:pt idx="0">
                  <c:v>Iraq</c:v>
                </c:pt>
              </c:strCache>
            </c:strRef>
          </c:tx>
          <c:marker>
            <c:symbol val="none"/>
          </c:marker>
          <c:dLbls>
            <c:dLbl>
              <c:idx val="0"/>
              <c:layout>
                <c:manualLayout>
                  <c:x val="-7.4182528062469499E-2"/>
                  <c:y val="-2.2626482034573265E-7"/>
                </c:manualLayout>
              </c:layout>
              <c:dLblPos val="r"/>
              <c:showLegendKey val="0"/>
              <c:showVal val="1"/>
              <c:showCatName val="0"/>
              <c:showSerName val="0"/>
              <c:showPercent val="0"/>
              <c:showBubbleSize val="0"/>
            </c:dLbl>
            <c:dLbl>
              <c:idx val="1"/>
              <c:layout>
                <c:manualLayout>
                  <c:x val="-3.709126403123475E-2"/>
                  <c:y val="-1.7241379310344827E-2"/>
                </c:manualLayout>
              </c:layout>
              <c:dLblPos val="r"/>
              <c:showLegendKey val="0"/>
              <c:showVal val="1"/>
              <c:showCatName val="0"/>
              <c:showSerName val="0"/>
              <c:showPercent val="0"/>
              <c:showBubbleSize val="0"/>
            </c:dLbl>
            <c:dLbl>
              <c:idx val="2"/>
              <c:layout>
                <c:manualLayout>
                  <c:x val="-3.3186920448999513E-2"/>
                  <c:y val="2.5861842700696896E-2"/>
                </c:manualLayout>
              </c:layout>
              <c:dLblPos val="r"/>
              <c:showLegendKey val="0"/>
              <c:showVal val="1"/>
              <c:showCatName val="0"/>
              <c:showSerName val="0"/>
              <c:showPercent val="0"/>
              <c:showBubbleSize val="0"/>
            </c:dLbl>
            <c:dLbl>
              <c:idx val="3"/>
              <c:layout>
                <c:manualLayout>
                  <c:x val="-4.2947779404587605E-2"/>
                  <c:y val="2.0114716263915287E-2"/>
                </c:manualLayout>
              </c:layout>
              <c:dLblPos val="r"/>
              <c:showLegendKey val="0"/>
              <c:showVal val="1"/>
              <c:showCatName val="0"/>
              <c:showSerName val="0"/>
              <c:showPercent val="0"/>
              <c:showBubbleSize val="0"/>
            </c:dLbl>
            <c:dLbl>
              <c:idx val="4"/>
              <c:layout>
                <c:manualLayout>
                  <c:x val="-1.3665202537823329E-2"/>
                  <c:y val="2.873563218390815E-2"/>
                </c:manualLayout>
              </c:layout>
              <c:dLblPos val="r"/>
              <c:showLegendKey val="0"/>
              <c:showVal val="1"/>
              <c:showCatName val="0"/>
              <c:showSerName val="0"/>
              <c:showPercent val="0"/>
              <c:showBubbleSize val="0"/>
            </c:dLbl>
            <c:dLblPos val="r"/>
            <c:showLegendKey val="0"/>
            <c:showVal val="1"/>
            <c:showCatName val="0"/>
            <c:showSerName val="0"/>
            <c:showPercent val="0"/>
            <c:showBubbleSize val="0"/>
            <c:showLeaderLines val="0"/>
          </c:dLbls>
          <c:cat>
            <c:numRef>
              <c:f>'Graph 4'!$B$35:$F$35</c:f>
              <c:numCache>
                <c:formatCode>mmm\-yy</c:formatCode>
                <c:ptCount val="5"/>
                <c:pt idx="0">
                  <c:v>42248</c:v>
                </c:pt>
                <c:pt idx="1">
                  <c:v>42278</c:v>
                </c:pt>
                <c:pt idx="2">
                  <c:v>42309</c:v>
                </c:pt>
                <c:pt idx="3">
                  <c:v>42339</c:v>
                </c:pt>
                <c:pt idx="4">
                  <c:v>42370</c:v>
                </c:pt>
              </c:numCache>
            </c:numRef>
          </c:cat>
          <c:val>
            <c:numRef>
              <c:f>'Graph 4'!$B$39:$F$39</c:f>
              <c:numCache>
                <c:formatCode>#,##0</c:formatCode>
                <c:ptCount val="5"/>
                <c:pt idx="0">
                  <c:v>12357</c:v>
                </c:pt>
                <c:pt idx="1">
                  <c:v>22670</c:v>
                </c:pt>
                <c:pt idx="2">
                  <c:v>18962</c:v>
                </c:pt>
                <c:pt idx="3">
                  <c:v>27726</c:v>
                </c:pt>
                <c:pt idx="4">
                  <c:v>10151</c:v>
                </c:pt>
              </c:numCache>
            </c:numRef>
          </c:val>
          <c:smooth val="0"/>
        </c:ser>
        <c:ser>
          <c:idx val="4"/>
          <c:order val="4"/>
          <c:tx>
            <c:strRef>
              <c:f>'Graph 4'!$A$40</c:f>
              <c:strCache>
                <c:ptCount val="1"/>
                <c:pt idx="0">
                  <c:v>All other nationalitities</c:v>
                </c:pt>
              </c:strCache>
            </c:strRef>
          </c:tx>
          <c:marker>
            <c:symbol val="none"/>
          </c:marker>
          <c:dLbls>
            <c:dLbl>
              <c:idx val="0"/>
              <c:layout>
                <c:manualLayout>
                  <c:x val="-6.4421669106881407E-2"/>
                  <c:y val="1.1494252873563218E-2"/>
                </c:manualLayout>
              </c:layout>
              <c:dLblPos val="r"/>
              <c:showLegendKey val="0"/>
              <c:showVal val="1"/>
              <c:showCatName val="0"/>
              <c:showSerName val="0"/>
              <c:showPercent val="0"/>
              <c:showBubbleSize val="0"/>
            </c:dLbl>
            <c:dLbl>
              <c:idx val="1"/>
              <c:layout>
                <c:manualLayout>
                  <c:x val="-3.9043435822352368E-2"/>
                  <c:y val="2.5862068965517241E-2"/>
                </c:manualLayout>
              </c:layout>
              <c:dLblPos val="r"/>
              <c:showLegendKey val="0"/>
              <c:showVal val="1"/>
              <c:showCatName val="0"/>
              <c:showSerName val="0"/>
              <c:showPercent val="0"/>
              <c:showBubbleSize val="0"/>
            </c:dLbl>
            <c:dLbl>
              <c:idx val="2"/>
              <c:layout>
                <c:manualLayout>
                  <c:x val="-3.1234748657881894E-2"/>
                  <c:y val="-2.6012082541406356E-2"/>
                </c:manualLayout>
              </c:layout>
              <c:dLblPos val="r"/>
              <c:showLegendKey val="0"/>
              <c:showVal val="1"/>
              <c:showCatName val="0"/>
              <c:showSerName val="0"/>
              <c:showPercent val="0"/>
              <c:showBubbleSize val="0"/>
            </c:dLbl>
            <c:dLbl>
              <c:idx val="3"/>
              <c:layout>
                <c:manualLayout>
                  <c:x val="-4.0995607613469986E-2"/>
                  <c:y val="2.0114942528735632E-2"/>
                </c:manualLayout>
              </c:layout>
              <c:dLblPos val="r"/>
              <c:showLegendKey val="0"/>
              <c:showVal val="1"/>
              <c:showCatName val="0"/>
              <c:showSerName val="0"/>
              <c:showPercent val="0"/>
              <c:showBubbleSize val="0"/>
            </c:dLbl>
            <c:dLbl>
              <c:idx val="4"/>
              <c:layout>
                <c:manualLayout>
                  <c:x val="-1.4168616917028856E-2"/>
                  <c:y val="1.5890352068060457E-2"/>
                </c:manualLayout>
              </c:layout>
              <c:dLblPos val="r"/>
              <c:showLegendKey val="0"/>
              <c:showVal val="1"/>
              <c:showCatName val="0"/>
              <c:showSerName val="0"/>
              <c:showPercent val="0"/>
              <c:showBubbleSize val="0"/>
            </c:dLbl>
            <c:dLblPos val="r"/>
            <c:showLegendKey val="0"/>
            <c:showVal val="1"/>
            <c:showCatName val="0"/>
            <c:showSerName val="0"/>
            <c:showPercent val="0"/>
            <c:showBubbleSize val="0"/>
            <c:showLeaderLines val="0"/>
          </c:dLbls>
          <c:cat>
            <c:numRef>
              <c:f>'Graph 4'!$B$35:$F$35</c:f>
              <c:numCache>
                <c:formatCode>mmm\-yy</c:formatCode>
                <c:ptCount val="5"/>
                <c:pt idx="0">
                  <c:v>42248</c:v>
                </c:pt>
                <c:pt idx="1">
                  <c:v>42278</c:v>
                </c:pt>
                <c:pt idx="2">
                  <c:v>42309</c:v>
                </c:pt>
                <c:pt idx="3">
                  <c:v>42339</c:v>
                </c:pt>
                <c:pt idx="4">
                  <c:v>42370</c:v>
                </c:pt>
              </c:numCache>
            </c:numRef>
          </c:cat>
          <c:val>
            <c:numRef>
              <c:f>'Graph 4'!$B$40:$F$40</c:f>
              <c:numCache>
                <c:formatCode>#,##0</c:formatCode>
                <c:ptCount val="5"/>
                <c:pt idx="0">
                  <c:v>7294</c:v>
                </c:pt>
                <c:pt idx="1">
                  <c:v>16811</c:v>
                </c:pt>
                <c:pt idx="2">
                  <c:v>24782</c:v>
                </c:pt>
                <c:pt idx="3">
                  <c:v>13299</c:v>
                </c:pt>
                <c:pt idx="4">
                  <c:v>16091</c:v>
                </c:pt>
              </c:numCache>
            </c:numRef>
          </c:val>
          <c:smooth val="0"/>
        </c:ser>
        <c:dLbls>
          <c:dLblPos val="r"/>
          <c:showLegendKey val="0"/>
          <c:showVal val="1"/>
          <c:showCatName val="0"/>
          <c:showSerName val="0"/>
          <c:showPercent val="0"/>
          <c:showBubbleSize val="0"/>
        </c:dLbls>
        <c:marker val="1"/>
        <c:smooth val="0"/>
        <c:axId val="249283712"/>
        <c:axId val="249613696"/>
      </c:lineChart>
      <c:dateAx>
        <c:axId val="249283712"/>
        <c:scaling>
          <c:orientation val="minMax"/>
        </c:scaling>
        <c:delete val="0"/>
        <c:axPos val="b"/>
        <c:numFmt formatCode="mmm\-yy" sourceLinked="1"/>
        <c:majorTickMark val="out"/>
        <c:minorTickMark val="none"/>
        <c:tickLblPos val="nextTo"/>
        <c:crossAx val="249613696"/>
        <c:crosses val="autoZero"/>
        <c:auto val="1"/>
        <c:lblOffset val="100"/>
        <c:baseTimeUnit val="months"/>
      </c:dateAx>
      <c:valAx>
        <c:axId val="249613696"/>
        <c:scaling>
          <c:orientation val="minMax"/>
        </c:scaling>
        <c:delete val="0"/>
        <c:axPos val="l"/>
        <c:majorGridlines/>
        <c:numFmt formatCode="#,##0" sourceLinked="1"/>
        <c:majorTickMark val="out"/>
        <c:minorTickMark val="none"/>
        <c:tickLblPos val="nextTo"/>
        <c:crossAx val="249283712"/>
        <c:crosses val="autoZero"/>
        <c:crossBetween val="between"/>
      </c:valAx>
    </c:plotArea>
    <c:legend>
      <c:legendPos val="b"/>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3EE6F-9FF0-4478-AF51-6E067FC5C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4467</Words>
  <Characters>24796</Characters>
  <Application>Microsoft Office Word</Application>
  <DocSecurity>0</DocSecurity>
  <Lines>413</Lines>
  <Paragraphs>159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29104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ECONOMIDES Miltiades (ELARG)</dc:creator>
  <cp:lastModifiedBy>PAREDES ECHAURI Cristina (CAB-ALMUNIA)</cp:lastModifiedBy>
  <cp:revision>8</cp:revision>
  <cp:lastPrinted>2016-02-09T16:41:00Z</cp:lastPrinted>
  <dcterms:created xsi:type="dcterms:W3CDTF">2016-02-09T17:18:00Z</dcterms:created>
  <dcterms:modified xsi:type="dcterms:W3CDTF">2016-02-10T09:53:00Z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