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5B" w:rsidRDefault="00445FB1" w:rsidP="00445FB1">
      <w:pPr>
        <w:pStyle w:val="Langue"/>
        <w:framePr w:wrap="around"/>
        <w:rPr>
          <w:noProof/>
        </w:rPr>
      </w:pPr>
      <w:r w:rsidRPr="00445FB1">
        <w:t>FR</w:t>
      </w:r>
    </w:p>
    <w:tbl>
      <w:tblPr>
        <w:tblW w:w="8970" w:type="dxa"/>
        <w:tblLayout w:type="fixed"/>
        <w:tblCellMar>
          <w:left w:w="0" w:type="dxa"/>
          <w:right w:w="0" w:type="dxa"/>
        </w:tblCellMar>
        <w:tblLook w:val="0000" w:firstRow="0" w:lastRow="0" w:firstColumn="0" w:lastColumn="0" w:noHBand="0" w:noVBand="0"/>
      </w:tblPr>
      <w:tblGrid>
        <w:gridCol w:w="2659"/>
        <w:gridCol w:w="2625"/>
        <w:gridCol w:w="3686"/>
      </w:tblGrid>
      <w:tr w:rsidR="00445FB1" w:rsidRPr="00445FB1">
        <w:trPr>
          <w:trHeight w:hRule="exact" w:val="2381"/>
        </w:trPr>
        <w:tc>
          <w:tcPr>
            <w:tcW w:w="2659" w:type="dxa"/>
          </w:tcPr>
          <w:p w:rsidR="00445FB1" w:rsidRPr="00445FB1" w:rsidRDefault="00445FB1" w:rsidP="00445FB1">
            <w:pPr>
              <w:pStyle w:val="Nomdelinstitution"/>
            </w:pPr>
            <w:r w:rsidRPr="00445FB1">
              <w:drawing>
                <wp:inline distT="0" distB="0" distL="0" distR="0">
                  <wp:extent cx="1662430" cy="819150"/>
                  <wp:effectExtent l="0" t="0" r="0" b="0"/>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30" cy="819150"/>
                          </a:xfrm>
                          <a:prstGeom prst="rect">
                            <a:avLst/>
                          </a:prstGeom>
                          <a:noFill/>
                          <a:ln>
                            <a:noFill/>
                          </a:ln>
                        </pic:spPr>
                      </pic:pic>
                    </a:graphicData>
                  </a:graphic>
                </wp:inline>
              </w:drawing>
            </w:r>
          </w:p>
        </w:tc>
        <w:tc>
          <w:tcPr>
            <w:tcW w:w="2625" w:type="dxa"/>
          </w:tcPr>
          <w:p w:rsidR="00445FB1" w:rsidRPr="00445FB1" w:rsidRDefault="00445FB1" w:rsidP="00445FB1">
            <w:pPr>
              <w:pStyle w:val="Nomdelinstitution"/>
              <w:spacing w:before="820"/>
              <w:rPr>
                <w:sz w:val="23"/>
              </w:rPr>
            </w:pPr>
            <w:r w:rsidRPr="00445FB1">
              <w:rPr>
                <w:sz w:val="23"/>
              </w:rPr>
              <w:t>COMMISSION</w:t>
            </w:r>
            <w:r w:rsidRPr="00445FB1">
              <w:rPr>
                <w:sz w:val="23"/>
              </w:rPr>
              <w:br/>
              <w:t>EUROPÉENNE</w:t>
            </w:r>
          </w:p>
        </w:tc>
        <w:tc>
          <w:tcPr>
            <w:tcW w:w="3686" w:type="dxa"/>
          </w:tcPr>
          <w:p w:rsidR="00445FB1" w:rsidRPr="00445FB1" w:rsidRDefault="00445FB1" w:rsidP="00445FB1">
            <w:pPr>
              <w:pStyle w:val="Nomdelinstitution"/>
            </w:pPr>
          </w:p>
        </w:tc>
      </w:tr>
    </w:tbl>
    <w:p w:rsidR="00445FB1" w:rsidRPr="00445FB1" w:rsidRDefault="00445FB1" w:rsidP="00445FB1">
      <w:pPr>
        <w:pStyle w:val="Emission"/>
      </w:pPr>
      <w:r w:rsidRPr="00445FB1">
        <w:t xml:space="preserve">Bruxelles, le 28.1.2016 </w:t>
      </w:r>
    </w:p>
    <w:p w:rsidR="00445FB1" w:rsidRPr="00445FB1" w:rsidRDefault="00445FB1" w:rsidP="00445FB1">
      <w:pPr>
        <w:pStyle w:val="Rfrenceinstitutionnelle"/>
      </w:pPr>
      <w:r w:rsidRPr="00445FB1">
        <w:t>C(2016) 271 final</w:t>
      </w:r>
    </w:p>
    <w:p w:rsidR="00445FB1" w:rsidRPr="00445FB1" w:rsidRDefault="00445FB1" w:rsidP="00445FB1">
      <w:pPr>
        <w:pStyle w:val="Confidentialit"/>
      </w:pPr>
      <w:r w:rsidRPr="00445FB1">
        <w:t xml:space="preserve"> </w:t>
      </w:r>
    </w:p>
    <w:p w:rsidR="00445FB1" w:rsidRPr="00445FB1" w:rsidRDefault="00445FB1" w:rsidP="00445FB1">
      <w:pPr>
        <w:pStyle w:val="TypedudocumentPagedecouverture"/>
      </w:pPr>
      <w:r w:rsidRPr="00445FB1">
        <w:t>RECOMMANDATION DE LA COMMISSION</w:t>
      </w:r>
    </w:p>
    <w:p w:rsidR="00445FB1" w:rsidRPr="00445FB1" w:rsidRDefault="00445FB1" w:rsidP="00445FB1">
      <w:pPr>
        <w:pStyle w:val="DatedadoptionPagedecouverture"/>
      </w:pPr>
      <w:proofErr w:type="gramStart"/>
      <w:r w:rsidRPr="00445FB1">
        <w:t>du</w:t>
      </w:r>
      <w:proofErr w:type="gramEnd"/>
      <w:r w:rsidRPr="00445FB1">
        <w:t xml:space="preserve"> 28.1.2016</w:t>
      </w:r>
    </w:p>
    <w:p w:rsidR="00445FB1" w:rsidRPr="00445FB1" w:rsidRDefault="00445FB1" w:rsidP="00445FB1">
      <w:pPr>
        <w:pStyle w:val="TitreobjetPagedecouverture"/>
      </w:pPr>
      <w:proofErr w:type="gramStart"/>
      <w:r w:rsidRPr="00445FB1">
        <w:t>concernant</w:t>
      </w:r>
      <w:proofErr w:type="gramEnd"/>
      <w:r w:rsidRPr="00445FB1">
        <w:t xml:space="preserve"> la mise en œuvre de mesures contre l’utilisation abusive des conventions fiscales</w:t>
      </w:r>
    </w:p>
    <w:p w:rsidR="0070795B" w:rsidRDefault="0070795B">
      <w:pPr>
        <w:rPr>
          <w:noProof/>
        </w:rPr>
        <w:sectPr w:rsidR="0070795B">
          <w:footerReference w:type="default" r:id="rId9"/>
          <w:pgSz w:w="11907" w:h="16839"/>
          <w:pgMar w:top="1134" w:right="1417" w:bottom="1134" w:left="1417" w:header="709" w:footer="709" w:gutter="0"/>
          <w:pgNumType w:start="1"/>
          <w:cols w:space="720"/>
          <w:docGrid w:linePitch="360"/>
        </w:sectPr>
      </w:pPr>
      <w:bookmarkStart w:id="0" w:name="_GoBack"/>
      <w:bookmarkEnd w:id="0"/>
    </w:p>
    <w:p w:rsidR="0070795B" w:rsidRDefault="00445FB1">
      <w:pPr>
        <w:pStyle w:val="Typedudocument"/>
        <w:rPr>
          <w:noProof/>
        </w:rPr>
      </w:pPr>
      <w:r>
        <w:rPr>
          <w:noProof/>
        </w:rPr>
        <w:lastRenderedPageBreak/>
        <w:t>RECOMMANDATION DE LA COMMISSION</w:t>
      </w:r>
    </w:p>
    <w:p w:rsidR="0070795B" w:rsidRDefault="00445FB1">
      <w:pPr>
        <w:pStyle w:val="Datedadoption"/>
        <w:rPr>
          <w:noProof/>
        </w:rPr>
      </w:pPr>
      <w:proofErr w:type="gramStart"/>
      <w:r>
        <w:t>du</w:t>
      </w:r>
      <w:proofErr w:type="gramEnd"/>
      <w:r>
        <w:t xml:space="preserve"> 28.1.2016</w:t>
      </w:r>
    </w:p>
    <w:p w:rsidR="0070795B" w:rsidRDefault="00445FB1">
      <w:pPr>
        <w:pStyle w:val="Titreobjet"/>
        <w:rPr>
          <w:noProof/>
        </w:rPr>
      </w:pPr>
      <w:r>
        <w:rPr>
          <w:noProof/>
        </w:rPr>
        <w:t>concernant la mise en œuvre de mesures contre l’utilisation</w:t>
      </w:r>
      <w:r>
        <w:rPr>
          <w:noProof/>
        </w:rPr>
        <w:t xml:space="preserve"> abusive des conventions fiscales</w:t>
      </w:r>
    </w:p>
    <w:p w:rsidR="0070795B" w:rsidRDefault="00445FB1">
      <w:pPr>
        <w:pStyle w:val="Institutionquiagit"/>
        <w:rPr>
          <w:noProof/>
        </w:rPr>
      </w:pPr>
      <w:r>
        <w:rPr>
          <w:noProof/>
        </w:rPr>
        <w:t>LA COMMISSION EUROPÉENNE,</w:t>
      </w:r>
    </w:p>
    <w:p w:rsidR="0070795B" w:rsidRDefault="00445FB1">
      <w:pPr>
        <w:rPr>
          <w:noProof/>
        </w:rPr>
      </w:pPr>
      <w:r>
        <w:rPr>
          <w:noProof/>
        </w:rPr>
        <w:t>vu le traité sur le fonctionnement de l’Union européenne, et notamment son article 292,</w:t>
      </w:r>
    </w:p>
    <w:p w:rsidR="0070795B" w:rsidRDefault="00445FB1">
      <w:pPr>
        <w:rPr>
          <w:noProof/>
        </w:rPr>
      </w:pPr>
      <w:r>
        <w:rPr>
          <w:noProof/>
        </w:rPr>
        <w:t>considérant ce qui suit:</w:t>
      </w:r>
    </w:p>
    <w:p w:rsidR="0070795B" w:rsidRDefault="00445FB1">
      <w:pPr>
        <w:pStyle w:val="ManualConsidrant"/>
        <w:rPr>
          <w:noProof/>
        </w:rPr>
      </w:pPr>
      <w:r>
        <w:t>(1)</w:t>
      </w:r>
      <w:r>
        <w:tab/>
      </w:r>
      <w:r>
        <w:rPr>
          <w:noProof/>
        </w:rPr>
        <w:t>Les conventions fiscales jouent un rôle important dans l’amélioration de l’effi</w:t>
      </w:r>
      <w:r>
        <w:rPr>
          <w:noProof/>
        </w:rPr>
        <w:t>cience des échanges transfrontières, car elles renforcent la sécurité juridique pour les contribuables en ce qui concerne leurs opérations internationales. Lorsqu’ils concluent une convention fiscale, les États contractants conviennent de répartir entre eu</w:t>
      </w:r>
      <w:r>
        <w:rPr>
          <w:noProof/>
        </w:rPr>
        <w:t>x les droits d’imposition en vue d’éliminer la double imposition et, partant, de soutenir l’activité économique et la croissance. Les conventions fiscales ne doivent pas créer de possibilités d’échapper en tout ou partie à l’impôt grâce au chalandage fisca</w:t>
      </w:r>
      <w:r>
        <w:rPr>
          <w:noProof/>
        </w:rPr>
        <w:t xml:space="preserve">l ou à d’autres stratégies abusives, qui ne font qu’aller à l’encontre de l’objectif de ces conventions et compromettre les recettes fiscales des États contractants. La Commission européenne accorde son soutien sans faille aux efforts déployés pour lutter </w:t>
      </w:r>
      <w:r>
        <w:rPr>
          <w:noProof/>
        </w:rPr>
        <w:t>contre l’utilisation abusive des conventions fiscales.</w:t>
      </w:r>
    </w:p>
    <w:p w:rsidR="0070795B" w:rsidRDefault="00445FB1">
      <w:pPr>
        <w:pStyle w:val="ManualConsidrant"/>
        <w:rPr>
          <w:noProof/>
        </w:rPr>
      </w:pPr>
      <w:r>
        <w:t>(2)</w:t>
      </w:r>
      <w:r>
        <w:tab/>
      </w:r>
      <w:r>
        <w:rPr>
          <w:noProof/>
        </w:rPr>
        <w:t>À la suite de la présentation du rapport intitulé «Lutter contre l’érosion de la base d’imposition et le transfert de bénéfices» (BEPS) en février 2013, l’OCDE et les pays du G20 ont adopté, en sep</w:t>
      </w:r>
      <w:r>
        <w:rPr>
          <w:noProof/>
        </w:rPr>
        <w:t>tembre 2013, un plan d’action en 15 points destiné à lutter contre le phénomène BEPS. Cette entreprise commune a débouché, en octobre 2015, sur la publication des rapports finaux relatifs aux actions 6 (Empêcher l’octroi des avantages des conventions fisca</w:t>
      </w:r>
      <w:r>
        <w:rPr>
          <w:noProof/>
        </w:rPr>
        <w:t xml:space="preserve">les lorsqu’il est inapproprié d’accorder ces avantages) et 7 (Empêcher les mesures visant à éviter artificiellement le statut d’établissement stable). Les deux rapports proposent des modifications du modèle de convention fiscale de l’OCDE, à intégrer dans </w:t>
      </w:r>
      <w:r>
        <w:rPr>
          <w:noProof/>
        </w:rPr>
        <w:t>l’instrument multilatéral mettant en œuvre les résultats des travaux sur les questions relatives aux conventions fiscales d’ici la fin de 2016, comme l’exige le projet de l’OCDE et du G20. Prises ensemble, les modifications proposées dans les deux rapports</w:t>
      </w:r>
      <w:r>
        <w:rPr>
          <w:noProof/>
        </w:rPr>
        <w:t xml:space="preserve"> devraient permettre aux différents pays de répondre aux problèmes auxquels ils sont confrontés en matière d’érosion de la base d’imposition et de transfert de bénéfices dans le cadre des conventions fiscales.</w:t>
      </w:r>
    </w:p>
    <w:p w:rsidR="0070795B" w:rsidRDefault="00445FB1">
      <w:pPr>
        <w:pStyle w:val="ManualConsidrant"/>
        <w:rPr>
          <w:noProof/>
        </w:rPr>
      </w:pPr>
      <w:r>
        <w:t>(3)</w:t>
      </w:r>
      <w:r>
        <w:tab/>
      </w:r>
      <w:r>
        <w:rPr>
          <w:noProof/>
        </w:rPr>
        <w:t>Le rapport final relatif à l’action 6 décr</w:t>
      </w:r>
      <w:r>
        <w:rPr>
          <w:noProof/>
        </w:rPr>
        <w:t>it l’utilisation abusive des conventions fiscales, et notamment le chalandage fiscal, comme une source importante de problèmes liés à l’érosion de la base d’imposition et au transfert de bénéfices; il propose une approche fondée sur différents types de gar</w:t>
      </w:r>
      <w:r>
        <w:rPr>
          <w:noProof/>
        </w:rPr>
        <w:t>anties pour lutter contre ces utilisations abusives et une certaine latitude en ce qui concerne la manière de les utiliser. Outre qu’il propose de préciser que les conventions fiscales n’ont pas vocation à créer des possibilités de double non-imposition, l</w:t>
      </w:r>
      <w:r>
        <w:rPr>
          <w:noProof/>
        </w:rPr>
        <w:t xml:space="preserve">e rapport recommande, entre autres, l’inclusion, dans l’instrument multilatéral, d’une clause anti-abus générale fondée sur le critère de l’objet principal des transactions ou des montages concernés.  </w:t>
      </w:r>
    </w:p>
    <w:p w:rsidR="0070795B" w:rsidRDefault="00445FB1">
      <w:pPr>
        <w:pStyle w:val="ManualConsidrant"/>
        <w:rPr>
          <w:noProof/>
        </w:rPr>
      </w:pPr>
      <w:r>
        <w:lastRenderedPageBreak/>
        <w:t>(4)</w:t>
      </w:r>
      <w:r>
        <w:tab/>
      </w:r>
      <w:r>
        <w:rPr>
          <w:noProof/>
        </w:rPr>
        <w:t>Le rapport final relatif à l’action 7 désigne en p</w:t>
      </w:r>
      <w:r>
        <w:rPr>
          <w:noProof/>
        </w:rPr>
        <w:t>articulier les contrats de commissionnaires et l’exploitation des exceptions spécifiques à la définition de l’«établissement stable» comme les stratégies le plus souvent utilisées pour éviter artificiellement une présence imposable dans un pays sous la for</w:t>
      </w:r>
      <w:r>
        <w:rPr>
          <w:noProof/>
        </w:rPr>
        <w:t xml:space="preserve">me d’un établissement stable. Les contrats de commissionnaires exploitent généralement l’approche relativement formelle actuellement prévue à l’article 5, paragraphe 5, du modèle de convention fiscale de l’OCDE en ce qui concerne la conclusion de contrats </w:t>
      </w:r>
      <w:r>
        <w:rPr>
          <w:noProof/>
        </w:rPr>
        <w:t>de vente.  Outre qu’elles ouvrent la porte à une utilisation abusive fondée sur la fragmentation des activités, les exceptions spécifiques à la définition de l’établissement stable applicables aux activités de nature préparatoire ou auxiliaire sont mal ada</w:t>
      </w:r>
      <w:r>
        <w:rPr>
          <w:noProof/>
        </w:rPr>
        <w:t>ptées aux modèles d’entreprise de l’économie numérique. Le rapport propose donc des modifications de l’article 5 du modèle de convention fiscale de l’OCDE afin d’en améliorer la résilience face aux structures artificielles destinées à contourner son applic</w:t>
      </w:r>
      <w:r>
        <w:rPr>
          <w:noProof/>
        </w:rPr>
        <w:t>ation.</w:t>
      </w:r>
    </w:p>
    <w:p w:rsidR="0070795B" w:rsidRDefault="00445FB1">
      <w:pPr>
        <w:pStyle w:val="ManualConsidrant"/>
        <w:rPr>
          <w:noProof/>
        </w:rPr>
      </w:pPr>
      <w:r>
        <w:t>(5)</w:t>
      </w:r>
      <w:r>
        <w:tab/>
      </w:r>
      <w:r>
        <w:rPr>
          <w:noProof/>
        </w:rPr>
        <w:t>Il est essentiel, pour le bon fonctionnement du marché intérieur, d’une part, que les États membres soient en mesure d’appliquer des systèmes fiscaux efficaces et d’empêcher une érosion indue de leurs bases d’imposition en raison d’une non-impos</w:t>
      </w:r>
      <w:r>
        <w:rPr>
          <w:noProof/>
        </w:rPr>
        <w:t xml:space="preserve">ition involontaire et d’abus, et, d’autre part, que les solutions qu’ils adoptent pour protéger leurs bases d’imposition n’entraînent pas d’asymétries excessives ni de distorsions du marché. </w:t>
      </w:r>
    </w:p>
    <w:p w:rsidR="0070795B" w:rsidRDefault="00445FB1">
      <w:pPr>
        <w:pStyle w:val="ManualConsidrant"/>
        <w:rPr>
          <w:noProof/>
        </w:rPr>
      </w:pPr>
      <w:r>
        <w:t>(6)</w:t>
      </w:r>
      <w:r>
        <w:tab/>
      </w:r>
      <w:r>
        <w:rPr>
          <w:noProof/>
        </w:rPr>
        <w:t>Il est également primordial que les mesures auxquelles les É</w:t>
      </w:r>
      <w:r>
        <w:rPr>
          <w:noProof/>
        </w:rPr>
        <w:t>tats membres recourent pour mettre en œuvre les engagements qu’ils ont pris au titre du projet BEPS soient conformes aux normes convenues dans l’ensemble de l’Union, de manière à assurer la sécurité juridique à la fois pour les contribuables et les adminis</w:t>
      </w:r>
      <w:r>
        <w:rPr>
          <w:noProof/>
        </w:rPr>
        <w:t xml:space="preserve">trations fiscales. </w:t>
      </w:r>
    </w:p>
    <w:p w:rsidR="0070795B" w:rsidRDefault="00445FB1">
      <w:pPr>
        <w:pStyle w:val="ManualConsidrant"/>
        <w:rPr>
          <w:noProof/>
        </w:rPr>
      </w:pPr>
      <w:r>
        <w:t>(7)</w:t>
      </w:r>
      <w:r>
        <w:tab/>
      </w:r>
      <w:r>
        <w:rPr>
          <w:noProof/>
        </w:rPr>
        <w:t>En vue d’assurer la conformité avec le droit de l’Union, il convient d’aligner la clause anti-abus générale fondée sur le critère de l’objet principal, telle que proposée dans le rapport final relatif à l’action 6, sur la jurisprude</w:t>
      </w:r>
      <w:r>
        <w:rPr>
          <w:noProof/>
        </w:rPr>
        <w:t>nce de la Cour de justice de l’Union européenne relative à l’abus de droit,</w:t>
      </w:r>
    </w:p>
    <w:p w:rsidR="0070795B" w:rsidRDefault="0070795B">
      <w:pPr>
        <w:rPr>
          <w:noProof/>
        </w:rPr>
      </w:pPr>
    </w:p>
    <w:p w:rsidR="0070795B" w:rsidRDefault="00445FB1">
      <w:pPr>
        <w:pStyle w:val="Formuledadoption"/>
        <w:rPr>
          <w:noProof/>
        </w:rPr>
      </w:pPr>
      <w:r>
        <w:rPr>
          <w:noProof/>
        </w:rPr>
        <w:t>A ADOPTÉ LA PRÉSENTE RECOMMANDATION:</w:t>
      </w:r>
    </w:p>
    <w:p w:rsidR="0070795B" w:rsidRDefault="0070795B">
      <w:pPr>
        <w:pStyle w:val="Titrearticle"/>
        <w:rPr>
          <w:noProof/>
        </w:rPr>
      </w:pPr>
    </w:p>
    <w:p w:rsidR="0070795B" w:rsidRDefault="00445FB1">
      <w:pPr>
        <w:autoSpaceDE w:val="0"/>
        <w:autoSpaceDN w:val="0"/>
        <w:adjustRightInd w:val="0"/>
        <w:spacing w:after="0"/>
        <w:rPr>
          <w:noProof/>
          <w:szCs w:val="24"/>
        </w:rPr>
      </w:pPr>
      <w:r>
        <w:rPr>
          <w:noProof/>
        </w:rPr>
        <w:t>1. Objet et champ d’application</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 xml:space="preserve">La présente recommandation concerne la mise en œuvre, par les États membres de l’Union européenne, de mesures contre l’utilisation abusive des conventions fiscales.  </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 xml:space="preserve">2. Clause anti-abus générale fondée sur le critère de l’objet principal </w:t>
      </w:r>
    </w:p>
    <w:p w:rsidR="0070795B" w:rsidRDefault="0070795B">
      <w:pPr>
        <w:autoSpaceDE w:val="0"/>
        <w:autoSpaceDN w:val="0"/>
        <w:adjustRightInd w:val="0"/>
        <w:spacing w:after="0"/>
        <w:rPr>
          <w:noProof/>
          <w:sz w:val="20"/>
          <w:szCs w:val="20"/>
        </w:rPr>
      </w:pPr>
    </w:p>
    <w:p w:rsidR="0070795B" w:rsidRDefault="00445FB1">
      <w:pPr>
        <w:autoSpaceDE w:val="0"/>
        <w:autoSpaceDN w:val="0"/>
        <w:adjustRightInd w:val="0"/>
        <w:spacing w:after="0"/>
        <w:rPr>
          <w:noProof/>
          <w:szCs w:val="24"/>
        </w:rPr>
      </w:pPr>
      <w:r>
        <w:rPr>
          <w:noProof/>
        </w:rPr>
        <w:t xml:space="preserve">Lorsque, dans </w:t>
      </w:r>
      <w:r>
        <w:rPr>
          <w:noProof/>
        </w:rPr>
        <w:t>les conventions fiscales qu’ils concluent entre eux ou avec des pays tiers, les États membres incluent une clause anti-abus générale fondée sur le critère de l’objet principal conformément à la clause type fournie dans le modèle de convention fiscale de l’</w:t>
      </w:r>
      <w:r>
        <w:rPr>
          <w:noProof/>
        </w:rPr>
        <w:t>OCDE, ils sont encouragés à y intégrer la modification suivante:</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bCs/>
          <w:iCs/>
          <w:noProof/>
          <w:szCs w:val="24"/>
        </w:rPr>
      </w:pPr>
      <w:r>
        <w:rPr>
          <w:noProof/>
        </w:rPr>
        <w:t>«Nonobstant les autres dispositions de la présente Convention, un avantage au titre de celle-ci ne sera pas accordé au titre d’un élément de revenu ou de capital si l’on peut raisonnablement</w:t>
      </w:r>
      <w:r>
        <w:rPr>
          <w:noProof/>
        </w:rPr>
        <w:t xml:space="preserve"> conclure, compte tenu de l’ensemble des faits et circonstances propres à la situation, que l’octroi de cet avantage était un des objets principaux d’un montage ou d’une transaction ayant permis, directement ou indirectement, de l’obtenir, à moins qu’il so</w:t>
      </w:r>
      <w:r>
        <w:rPr>
          <w:noProof/>
        </w:rPr>
        <w:t xml:space="preserve">it établi </w:t>
      </w:r>
      <w:r>
        <w:rPr>
          <w:b/>
          <w:i/>
          <w:noProof/>
        </w:rPr>
        <w:t xml:space="preserve">que ce montage ou cette transaction correspond à une activité économique authentique ou </w:t>
      </w:r>
      <w:r>
        <w:rPr>
          <w:noProof/>
        </w:rPr>
        <w:t>que l’octroi de cet avantage dans ces circonstances serait conforme à l’objet et au but des dispositions pertinentes de la présente Convention.»</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 xml:space="preserve">3. </w:t>
      </w:r>
      <w:r>
        <w:rPr>
          <w:noProof/>
        </w:rPr>
        <w:t>Définition de la notion d’établissement stable</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Les États membres sont encouragés, dans les conventions fiscales qu’ils concluent entre eux ou avec des pays tiers, à mettre en œuvre et à utiliser les nouvelles dispositions proposées à l’article 5 du modèle</w:t>
      </w:r>
      <w:r>
        <w:rPr>
          <w:noProof/>
        </w:rPr>
        <w:t xml:space="preserve"> de convention fiscale de l’OCDE afin de remédier au problème de l’évitement artificiel du statut d’établissement stable, telles qu’établies dans le rapport final relatif à l’action 7 du plan d’action concernant l’érosion de la base d’imposition et le tran</w:t>
      </w:r>
      <w:r>
        <w:rPr>
          <w:noProof/>
        </w:rPr>
        <w:t>sfert de bénéfices (BEPS).</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4. Suivi</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Il convient que les États membres informent la Commission des mesures prises afin de se conformer à la présente recommandation ainsi que des modifications apportées à ces mesures.</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La Commission publiera un rapport sur</w:t>
      </w:r>
      <w:r>
        <w:rPr>
          <w:noProof/>
        </w:rPr>
        <w:t xml:space="preserve"> l’application de la présente recommandation dans les trois ans qui suivent son adoption.</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5. Destinataires</w:t>
      </w:r>
    </w:p>
    <w:p w:rsidR="0070795B" w:rsidRDefault="0070795B">
      <w:pPr>
        <w:autoSpaceDE w:val="0"/>
        <w:autoSpaceDN w:val="0"/>
        <w:adjustRightInd w:val="0"/>
        <w:spacing w:after="0"/>
        <w:rPr>
          <w:noProof/>
          <w:szCs w:val="24"/>
        </w:rPr>
      </w:pPr>
    </w:p>
    <w:p w:rsidR="0070795B" w:rsidRDefault="00445FB1">
      <w:pPr>
        <w:autoSpaceDE w:val="0"/>
        <w:autoSpaceDN w:val="0"/>
        <w:adjustRightInd w:val="0"/>
        <w:spacing w:after="0"/>
        <w:rPr>
          <w:noProof/>
          <w:szCs w:val="24"/>
        </w:rPr>
      </w:pPr>
      <w:r>
        <w:rPr>
          <w:noProof/>
        </w:rPr>
        <w:t>Les États membres sont destinataires de la présente recommandation.</w:t>
      </w:r>
    </w:p>
    <w:p w:rsidR="0070795B" w:rsidRDefault="0070795B">
      <w:pPr>
        <w:keepNext/>
        <w:keepLines/>
        <w:rPr>
          <w:noProof/>
        </w:rPr>
      </w:pPr>
    </w:p>
    <w:p w:rsidR="0070795B" w:rsidRDefault="00445FB1">
      <w:pPr>
        <w:pStyle w:val="Fait"/>
        <w:rPr>
          <w:noProof/>
        </w:rPr>
      </w:pPr>
      <w:r>
        <w:rPr>
          <w:noProof/>
        </w:rPr>
        <w:t>Fait à Bruxelles, le 28.1.2016</w:t>
      </w:r>
    </w:p>
    <w:p w:rsidR="0070795B" w:rsidRDefault="00445FB1">
      <w:pPr>
        <w:pStyle w:val="Institutionquisigne"/>
        <w:rPr>
          <w:noProof/>
        </w:rPr>
      </w:pPr>
      <w:r>
        <w:rPr>
          <w:noProof/>
        </w:rPr>
        <w:tab/>
        <w:t>Par la Commission</w:t>
      </w:r>
    </w:p>
    <w:p w:rsidR="0070795B" w:rsidRDefault="00445FB1">
      <w:pPr>
        <w:pStyle w:val="Personnequisigne"/>
        <w:keepNext/>
      </w:pPr>
      <w:r>
        <w:tab/>
        <w:t>Pierre MOSCOVICI</w:t>
      </w:r>
      <w:r>
        <w:br/>
      </w:r>
      <w:r>
        <w:tab/>
        <w:t>Membre de</w:t>
      </w:r>
      <w:r>
        <w:t xml:space="preserve"> la Commission</w:t>
      </w:r>
    </w:p>
    <w:tbl>
      <w:tblPr>
        <w:tblW w:w="0" w:type="auto"/>
        <w:tblInd w:w="4252" w:type="dxa"/>
        <w:tblCellMar>
          <w:top w:w="567" w:type="dxa"/>
          <w:left w:w="0" w:type="dxa"/>
          <w:right w:w="0" w:type="dxa"/>
        </w:tblCellMar>
        <w:tblLook w:val="0000" w:firstRow="0" w:lastRow="0" w:firstColumn="0" w:lastColumn="0" w:noHBand="0" w:noVBand="0"/>
      </w:tblPr>
      <w:tblGrid>
        <w:gridCol w:w="3780"/>
      </w:tblGrid>
      <w:tr w:rsidR="0070795B">
        <w:trPr>
          <w:cantSplit/>
        </w:trPr>
        <w:tc>
          <w:tcPr>
            <w:tcW w:w="0" w:type="auto"/>
            <w:shd w:val="clear" w:color="auto" w:fill="auto"/>
          </w:tcPr>
          <w:p w:rsidR="0070795B" w:rsidRDefault="00445FB1">
            <w:pPr>
              <w:keepNext/>
            </w:pPr>
            <w:r>
              <w:rPr>
                <w:noProof/>
                <w:lang w:val="en-GB" w:eastAsia="en-GB" w:bidi="ar-SA"/>
              </w:rPr>
              <w:drawing>
                <wp:inline distT="0" distB="0" distL="0" distR="0">
                  <wp:extent cx="2390775" cy="12954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90775" cy="1295400"/>
                          </a:xfrm>
                          <a:prstGeom prst="rect">
                            <a:avLst/>
                          </a:prstGeom>
                        </pic:spPr>
                      </pic:pic>
                    </a:graphicData>
                  </a:graphic>
                </wp:inline>
              </w:drawing>
            </w:r>
          </w:p>
        </w:tc>
      </w:tr>
    </w:tbl>
    <w:p w:rsidR="0070795B" w:rsidRDefault="0070795B"/>
    <w:sectPr w:rsidR="0070795B">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5B" w:rsidRDefault="00445FB1">
      <w:pPr>
        <w:spacing w:before="0" w:after="0"/>
      </w:pPr>
      <w:r>
        <w:separator/>
      </w:r>
    </w:p>
  </w:endnote>
  <w:endnote w:type="continuationSeparator" w:id="0">
    <w:p w:rsidR="0070795B" w:rsidRDefault="00445F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5B" w:rsidRDefault="00445FB1">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5B" w:rsidRDefault="00445FB1">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5B" w:rsidRDefault="0070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5B" w:rsidRDefault="00445FB1">
      <w:pPr>
        <w:spacing w:before="0" w:after="0"/>
      </w:pPr>
      <w:r>
        <w:separator/>
      </w:r>
    </w:p>
  </w:footnote>
  <w:footnote w:type="continuationSeparator" w:id="0">
    <w:p w:rsidR="0070795B" w:rsidRDefault="00445FB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0A4F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E3025BC"/>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AA4A3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D9629A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6F409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A8DA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50E6DFC"/>
    <w:lvl w:ilvl="0">
      <w:start w:val="1"/>
      <w:numFmt w:val="decimal"/>
      <w:pStyle w:val="ListNumber"/>
      <w:lvlText w:val="%1."/>
      <w:lvlJc w:val="left"/>
      <w:pPr>
        <w:tabs>
          <w:tab w:val="num" w:pos="360"/>
        </w:tabs>
        <w:ind w:left="360" w:hanging="360"/>
      </w:pPr>
    </w:lvl>
  </w:abstractNum>
  <w:abstractNum w:abstractNumId="7">
    <w:nsid w:val="FFFFFF89"/>
    <w:multiLevelType w:val="singleLevel"/>
    <w:tmpl w:val="D812CE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proofState w:spelling="clean" w:grammar="clean"/>
  <w:attachedTemplate r:id="rId1"/>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False"/>
    <w:docVar w:name="DQCDateTime" w:val="2016-01-27 16:55:1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VERPAGE_GUID" w:val="F16C055ABAC9464E8A004477367736F8"/>
    <w:docVar w:name="LW_CROSSREFERENCE" w:val="&lt;EMPTY&gt;"/>
    <w:docVar w:name="LW_DATE.ADOPT.CP" w:val="du 28.1.2016"/>
    <w:docVar w:name="LW_DATE.ADOPT.CP_DATEFORMAT" w:val="du %DATE%"/>
    <w:docVar w:name="LW_DATE.ADOPT.CP_ISODATE" w:val="2016-01-28"/>
    <w:docVar w:name="LW_DocType" w:val="COM"/>
    <w:docVar w:name="LW_EMISSION" w:val="28.1.2016"/>
    <w:docVar w:name="LW_EMISSION_ISODATE" w:val="2016-01-28"/>
    <w:docVar w:name="LW_EMISSION_LOCATION" w:val="BRX"/>
    <w:docVar w:name="LW_EMISSION_PREFIX" w:val="Bruxelles, le "/>
    <w:docVar w:name="LW_EMISSION_SUFFIX" w:val=" "/>
    <w:docVar w:name="LW_ID_DOCMODEL" w:val="SJ-014"/>
    <w:docVar w:name="LW_ID_DOCSIGNATURE" w:val="SJ-014"/>
    <w:docVar w:name="LW_ID_DOCSTRUCTURE" w:val="COM/AA"/>
    <w:docVar w:name="LW_ID_DOCTYPE" w:val="SJ-014"/>
    <w:docVar w:name="LW_INTERETEEE.CP" w:val="&lt;UNUSED&gt;"/>
    <w:docVar w:name="LW_LANGUE" w:val="FR"/>
    <w:docVar w:name="LW_LANGUESFAISANTFOI.CP" w:val="&lt;UNUSED&gt;"/>
    <w:docVar w:name="LW_MARKING" w:val="&lt;UNUSED&gt;"/>
    <w:docVar w:name="LW_NOM.INST" w:val="COMMISSION EUROPÉENNE"/>
    <w:docVar w:name="LW_NOM.INST_JOINTDOC" w:val="&lt;EMPTY&gt;"/>
    <w:docVar w:name="LW_PART_NBR" w:val="1"/>
    <w:docVar w:name="LW_PART_NBR_TOTAL" w:val="1"/>
    <w:docVar w:name="LW_REF.INST.NEW" w:val="C"/>
    <w:docVar w:name="LW_REF.INST.NEW_ADOPTED" w:val="final"/>
    <w:docVar w:name="LW_REF.INST.NEW_TEXT" w:val="(2016) 271"/>
    <w:docVar w:name="LW_REF.INTERNE" w:val="&lt;UNUSED&gt;"/>
    <w:docVar w:name="LW_SOUS.TITRE.OBJ.CP" w:val="&lt;UNUSED&gt;"/>
    <w:docVar w:name="LW_SUPERTITRE" w:val="&lt;UNUSED&gt;"/>
    <w:docVar w:name="LW_TITRE.OBJ.CP" w:val="concernant la mise en \u339?uvre de mesures contre l\u8217?utilisation abusive des conventions fiscales"/>
    <w:docVar w:name="LW_TYPE.DOC.CP" w:val="RECOMMANDATION DE LA COMMISSION"/>
  </w:docVars>
  <w:rsids>
    <w:rsidRoot w:val="0070795B"/>
    <w:rsid w:val="00445FB1"/>
    <w:rsid w:val="0070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5</Pages>
  <Words>1171</Words>
  <Characters>6728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PAGANELI Erifili (SG)</cp:lastModifiedBy>
  <cp:revision>21</cp:revision>
  <cp:lastPrinted>2016-01-06T09:31:00Z</cp:lastPrinted>
  <dcterms:created xsi:type="dcterms:W3CDTF">2016-01-26T12:12:00Z</dcterms:created>
  <dcterms:modified xsi:type="dcterms:W3CDTF">2016-01-28T08:16:00Z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SJ-014</vt:lpwstr>
  </property>
  <property fmtid="{D5CDD505-2E9C-101B-9397-08002B2CF9AE}" pid="10" name="DQCStatus">
    <vt:lpwstr>Yellow (DQC version 03)</vt:lpwstr>
  </property>
</Properties>
</file>