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CAD00B1537664B80914752BF270FA66F" style="width:450.75pt;height:446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bookmarkStart w:id="0" w:name="_GoBack"/>
      <w:bookmarkEnd w:id="0"/>
      <w:r>
        <w:rPr>
          <w:noProof/>
        </w:rPr>
        <w:lastRenderedPageBreak/>
        <w:t>2013/0015 (COD)</w:t>
      </w:r>
    </w:p>
    <w:p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>съгласно член 294, параграф 6 от 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>
      <w:pPr>
        <w:pStyle w:val="Titreobjet"/>
        <w:rPr>
          <w:noProof/>
        </w:rPr>
      </w:pPr>
      <w:r>
        <w:rPr>
          <w:noProof/>
        </w:rPr>
        <w:t>позиция на Съвета във връзка с приемането на директива на Европейския парламент и на Съвета относно оперативната съвместимост на железопътната система в рамките на Европейския съюз (преработен текст)</w:t>
      </w:r>
    </w:p>
    <w:p>
      <w:pPr>
        <w:pStyle w:val="IntrtEEE"/>
        <w:rPr>
          <w:noProof/>
        </w:rPr>
      </w:pPr>
      <w:r>
        <w:rPr>
          <w:noProof/>
        </w:rPr>
        <w:t>(текст от значение за ЕИП)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История на досието</w:t>
      </w:r>
    </w:p>
    <w:p>
      <w:pPr>
        <w:tabs>
          <w:tab w:val="left" w:pos="426"/>
          <w:tab w:val="left" w:pos="851"/>
          <w:tab w:val="left" w:pos="1276"/>
        </w:tabs>
        <w:spacing w:after="100" w:afterAutospacing="1"/>
        <w:rPr>
          <w:noProof/>
        </w:rPr>
      </w:pPr>
      <w:r>
        <w:rPr>
          <w:noProof/>
        </w:rPr>
        <w:t>На 30 януари 2013 г. Комисията прие цялостен пакет от шест законодателни предложения за постигане на по-качествени и по-разнообразни железопътни услуги в Европа.</w:t>
      </w:r>
    </w:p>
    <w:p>
      <w:pPr>
        <w:spacing w:after="100" w:afterAutospacing="1"/>
        <w:rPr>
          <w:noProof/>
        </w:rPr>
      </w:pPr>
      <w:r>
        <w:rPr>
          <w:noProof/>
        </w:rPr>
        <w:t>Подобряването на качеството на услугите и ефективността е необходимо, за да стане железопътният транспорт по-привлекателен избор за пътниците и да се насърчи преходът към този вид транспорт. В контекста на ограничения на публичните средства може да се постигне по-добро съотношение качество-цена и дълготрайност.</w:t>
      </w:r>
    </w:p>
    <w:p>
      <w:pPr>
        <w:tabs>
          <w:tab w:val="left" w:pos="426"/>
          <w:tab w:val="left" w:pos="851"/>
          <w:tab w:val="left" w:pos="1276"/>
        </w:tabs>
        <w:rPr>
          <w:noProof/>
        </w:rPr>
      </w:pPr>
      <w:r>
        <w:rPr>
          <w:noProof/>
        </w:rPr>
        <w:t>Пакетът има за цел също така да стимулира нововъведенията в железопътния транспорт на ЕС в отговор на очакванията на потребителите. Това се постига по три отделни и взаимосвързани начина:</w:t>
      </w:r>
    </w:p>
    <w:p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отваряне на националните пазари за пътнически транспорт за конкуренция и въвеждане на задължителни търгове за възлагане на договори за обществени услуги;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укрепване на независимостта на управителите на инфраструктура, така че те да контролират всички основни функции на железопътната мрежа и гарантиране на общ и равнопоставен достъп до железопътния транспорт;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укрепване ролята на Агенцията на принципа „обслужване на едно гише“ за издаване на валидни за целия ЕС разрешения за пускане на пазара на возила и сертификати за безопасност на операторите.</w:t>
      </w:r>
    </w:p>
    <w:p>
      <w:pPr>
        <w:pStyle w:val="Text1"/>
        <w:ind w:left="0"/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4"/>
        <w:gridCol w:w="2483"/>
      </w:tblGrid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изпращане на предложението на Европейския парламент и на Съвета</w:t>
            </w:r>
            <w:r>
              <w:rPr>
                <w:noProof/>
              </w:rPr>
              <w:br/>
              <w:t>(документ COM(2013) 30 final — 2013/0015 (COD):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31 януари 2013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Дата на становището на Европейския икономически и социален комитет: 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br/>
              <w:t>10 юли 2013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Дата на становището на Комитета на регионите: 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8 октомври 2013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Дата на позицията на Европейския парламент на първо четене: 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26 февруари 2014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10 декември 2015 г.</w:t>
            </w:r>
            <w:r>
              <w:rPr>
                <w:noProof/>
              </w:rPr>
              <w:tab/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 на предложението на Комисията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Комисията предложи да бъде преработена Директивата за оперативната съвместимост (2008/57/ЕО) за отстраняване на съществени пропуски. Независимо от измененията, внесени с предходните железопътни пакети, в целия ЕС остават в сила най-различни национални технически правила и процедурите за издаване на разрешения за возила се различават значително между отделните държави членки. Запазването на съществени пречки пред достъпа до пазара на нови участници и производители на железопътни возила пречи на доизграждането на едно действително единно европейско железопътно пространство.</w:t>
      </w:r>
    </w:p>
    <w:p>
      <w:pPr>
        <w:spacing w:after="100" w:afterAutospacing="1"/>
        <w:rPr>
          <w:rFonts w:eastAsia="MS Mincho"/>
          <w:noProof/>
        </w:rPr>
      </w:pPr>
      <w:r>
        <w:rPr>
          <w:noProof/>
        </w:rPr>
        <w:t>Комисията предложи да се въведе опростена и единна рамка за издаване на разрешения за возила и да се разшири обхватът на техническите спецификации за оперативна съвместимост (ТСОС), като едновременно с това се изясни връзката им с националните правила. За постигането на тези цели Комисията предложи да се предоставят повече права на Европейската железопътна агенция (по-долу „Агенцията“).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Коментари относно позицията на Съвета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Позицията, приета на първо четене от Съвета по транспорт на 10 декември 2015 г., подкрепя основните цели на предложението на Комисията за въвеждане на единно разрешение за возило.</w:t>
      </w:r>
    </w:p>
    <w:p>
      <w:pPr>
        <w:rPr>
          <w:noProof/>
        </w:rPr>
      </w:pPr>
      <w:r>
        <w:rPr>
          <w:noProof/>
        </w:rPr>
        <w:t>Позицията на Съвета съдържа и нови разпоредби, които разглеждат конкретни случаи и представляват отговор на загриженостите на някои държави членки:</w:t>
      </w:r>
    </w:p>
    <w:p>
      <w:pPr>
        <w:pStyle w:val="Bullet0"/>
        <w:numPr>
          <w:ilvl w:val="0"/>
          <w:numId w:val="7"/>
        </w:numPr>
        <w:rPr>
          <w:noProof/>
        </w:rPr>
      </w:pPr>
      <w:r>
        <w:rPr>
          <w:noProof/>
        </w:rPr>
        <w:t>въвеждане в експлоатация на подсистеми за контрол, управление и сигнализация. Според позицията на Съвета националните органи по безопасността остават отговорни за пускането в експлоатация на тази подсистема;</w:t>
      </w:r>
    </w:p>
    <w:p>
      <w:pPr>
        <w:pStyle w:val="Bullet0"/>
        <w:rPr>
          <w:noProof/>
        </w:rPr>
      </w:pPr>
      <w:r>
        <w:rPr>
          <w:noProof/>
        </w:rPr>
        <w:t>преходен период от три години по глава V от Директива 2008/57/ЕО вместо предложените две години; както и</w:t>
      </w:r>
    </w:p>
    <w:p>
      <w:pPr>
        <w:pStyle w:val="Bullet0"/>
        <w:rPr>
          <w:noProof/>
        </w:rPr>
      </w:pPr>
      <w:r>
        <w:rPr>
          <w:noProof/>
        </w:rPr>
        <w:t>сроковете за прилагане на ТСОС. Позицията на Съвета внесе неяснота в предложения текст, който позволяваше да се посочат ясни срокове за прилагането на ТСОС към съществуващите подсистеми. .</w:t>
      </w:r>
    </w:p>
    <w:p>
      <w:pPr>
        <w:rPr>
          <w:noProof/>
        </w:rPr>
      </w:pPr>
      <w:r>
        <w:rPr>
          <w:noProof/>
        </w:rPr>
        <w:t>Комисията приветства факта, че позицията на Съвета добавя:</w:t>
      </w:r>
    </w:p>
    <w:p>
      <w:pPr>
        <w:pStyle w:val="Bullet0"/>
        <w:rPr>
          <w:noProof/>
        </w:rPr>
      </w:pPr>
      <w:r>
        <w:rPr>
          <w:noProof/>
        </w:rPr>
        <w:t>„обслужване на едно гише“ при издаването на разрешения за возила, тъй като това ще улесни обмена на информация между заявителите, Агенцията и националните органи по безопасността.</w:t>
      </w:r>
    </w:p>
    <w:p>
      <w:pPr>
        <w:pStyle w:val="Bullet0"/>
        <w:rPr>
          <w:noProof/>
        </w:rPr>
      </w:pPr>
      <w:r>
        <w:rPr>
          <w:noProof/>
        </w:rPr>
        <w:t xml:space="preserve">нова разпоредба, според която Агенцията трябва да изготви нов европейски регистър на возилата, тъй като това опростява настоящата ситуация (26 </w:t>
      </w:r>
      <w:r>
        <w:rPr>
          <w:noProof/>
        </w:rPr>
        <w:lastRenderedPageBreak/>
        <w:t>национални регистри на возилата) и съответства на новата роля на Агенцията при издаването на разрешения за возила.</w:t>
      </w:r>
    </w:p>
    <w:p>
      <w:pPr>
        <w:rPr>
          <w:noProof/>
        </w:rPr>
      </w:pPr>
      <w:r>
        <w:rPr>
          <w:noProof/>
        </w:rPr>
        <w:t xml:space="preserve">Комисията обаче със съжаление отбелязва: </w:t>
      </w:r>
    </w:p>
    <w:p>
      <w:pPr>
        <w:pStyle w:val="Bullet0"/>
        <w:numPr>
          <w:ilvl w:val="0"/>
          <w:numId w:val="12"/>
        </w:numPr>
        <w:rPr>
          <w:noProof/>
        </w:rPr>
      </w:pPr>
      <w:r>
        <w:rPr>
          <w:noProof/>
        </w:rPr>
        <w:t>всички изменения, въведени по отношение на делегираните и изпълнителните правомощия, включително системното прибягване до клаузата за непредставяне на становище, което е в противоречие с духа и буквата на член 5, параграф 4, втора алинея, буква б) от Регламент (ЕС) № 182/2011;</w:t>
      </w:r>
    </w:p>
    <w:p>
      <w:pPr>
        <w:pStyle w:val="Bullet0"/>
        <w:numPr>
          <w:ilvl w:val="0"/>
          <w:numId w:val="12"/>
        </w:numPr>
        <w:rPr>
          <w:noProof/>
        </w:rPr>
      </w:pPr>
      <w:r>
        <w:rPr>
          <w:noProof/>
        </w:rPr>
        <w:t>премахването на задължението държавите членки да предоставят на Комисията ясна и точна информация по отношение на транспонирането на директивите в националното право, което обаче бе застъпено от Европейския парламент, Съвета и Комисията в тяхната съвместна политическа декларация от 27 октомври 2011 г. относно обяснителните документи.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Заключение</w:t>
      </w:r>
    </w:p>
    <w:p>
      <w:pPr>
        <w:rPr>
          <w:noProof/>
        </w:rPr>
      </w:pPr>
      <w:r>
        <w:rPr>
          <w:noProof/>
        </w:rPr>
        <w:t>Комисията е на мнение, че актуализирането на законодателството относно оперативната съвместимост на железопътната система е от решаващо значение за въвеждането на опростена и единна рамка при издаването на разрешения за возила. Едно актуализирано законодателство би намалило значително голямото разнообразие от национални технически правила в ЕС и, което не по-малко важно, големите различия между процедурите за издаване на разрешения за возила в отделните държави членки.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В дух на конструктивност, Комисията приема позицията, приета от Съвета, което дава възможност на Европейския парламент да приеме окончателния текст на второ четене, заедно с останалите пет предложения от четвъртия пакет в областта на железопътния транспорт. Комисията е на мнение, че едновременното приемане на предложенията по т.нар. техническо и пазарно направление ще донесе максимални ползи в областта на качеството на услугите, ефективността и конкурентоспособността на железопътния сектор.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7C4C1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3EEED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A9874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7A8BC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B42DC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B68D1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42258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D1E9A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6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22 13:00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CAD00B1537664B80914752BF270FA66F"/>
    <w:docVar w:name="LW_CROSSREFERENCE" w:val="&lt;UNUSED&gt;"/>
    <w:docVar w:name="LW_DocType" w:val="COM"/>
    <w:docVar w:name="LW_EMISSION" w:val="26.1.2016"/>
    <w:docVar w:name="LW_EMISSION_ISODATE" w:val="2016-01-26"/>
    <w:docVar w:name="LW_EMISSION_LOCATION" w:val="BRX"/>
    <w:docVar w:name="LW_EMISSION_PREFIX" w:val="\u1041?\u1088?\u1102?\u1082?\u1089?\u1077?\u1083?, "/>
    <w:docVar w:name="LW_EMISSION_SUFFIX" w:val=" \u1075?."/>
    <w:docVar w:name="LW_ID_DOCMODEL" w:val="SJ-028"/>
    <w:docVar w:name="LW_ID_DOCSTRUCTURE" w:val="COM/PL/CODEC"/>
    <w:docVar w:name="LW_ID_DOCTYPE" w:val="SJ-028"/>
    <w:docVar w:name="LW_INTERETEEE.CP" w:val="(\u1090?\u1077?\u1082?\u1089?\u1090? \u1086?\u1090? \u1079?\u1085?\u1072?\u1095?\u1077?\u1085?\u1080?\u1077? \u1079?\u1072? \u1045?\u1048?\u1055?)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015"/>
    <w:docVar w:name="LW_REF.II.NEW.CP_YEAR" w:val="2013"/>
    <w:docVar w:name="LW_REF.INST.NEW" w:val="COM"/>
    <w:docVar w:name="LW_REF.INST.NEW_ADOPTED" w:val="final"/>
    <w:docVar w:name="LW_REF.INST.NEW_TEXT" w:val="(2016) 35"/>
    <w:docVar w:name="LW_REF.INTERNE" w:val="&lt;UNUSED&gt;"/>
    <w:docVar w:name="LW_SOUS.TITRE.OBJ.CP" w:val="&lt;UNUSED&gt;"/>
    <w:docVar w:name="LW_SUPERTITRE" w:val="&lt;UNUSED&gt;"/>
    <w:docVar w:name="LW_TITRE.OBJ.CP" w:val="\u1087?\u1086?\u1079?\u1080?\u1094?\u1080?\u1103? \u1085?\u1072? \u1057?\u1098?\u1074?\u1077?\u1090?\u1072? \u1074?\u1098?\u1074? \u1074?\u1088?\u1098?\u1079?\u1082?\u1072? \u1089? \u1087?\u1088?\u1080?\u1077?\u1084?\u1072?\u1085?\u1077?\u1090?\u1086? \u1085?\u1072? \u1076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 \u1086?\u1090?\u1085?\u1086?\u1089?\u1085?\u1086? \u1086?\u1087?\u1077?\u1088?\u1072?\u1090?\u1080?\u1074?\u1085?\u1072?\u1090?\u1072? \u1089?\u1098?\u1074?\u1084?\u1077?\u1089?\u1090?\u1080?\u1084?\u1086?\u1089?\u1090? \u1085?\u1072? \u1078?\u1077?\u1083?\u1077?\u1079?\u1086?\u1087?\u1098?\u1090?\u1085?\u1072?\u1090?\u1072? \u1089?\u1080?\u1089?\u1090?\u1077?\u1084?\u1072? \u1074? \u1088?\u1072?\u1084?\u1082?\u1080?\u1090?\u1077? \u1085?\u1072? \u1045?\u1074?\u1088?\u1086?\u1087?\u1077?\u1081?\u1089?\u1082?\u1080?\u1103? \u1089?\u1098?\u1102?\u1079? (\u1087?\u1088?\u1077?\u1088?\u1072?\u1073?\u1086?\u1090?\u1077?\u1085? \u1090?\u1077?\u1082?\u1089?\u1090?)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  <w:docVar w:name="Stamp" w:val="\\dossiers.dgt.cec.eu.int\dossiers\MOVE\MOVE-2015-01767\MOVE-2015-01767-00-02-EN-REV-00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bg-BG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bg-BG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8E54-D834-45D2-8C67-57DF8D8C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861</Words>
  <Characters>5213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2016-01-14T15:58:00Z</cp:lastPrinted>
  <dcterms:created xsi:type="dcterms:W3CDTF">2016-01-18T13:21:00Z</dcterms:created>
  <dcterms:modified xsi:type="dcterms:W3CDTF">2016-01-22T12:00:00Z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SJ-028</vt:lpwstr>
  </property>
  <property fmtid="{D5CDD505-2E9C-101B-9397-08002B2CF9AE}" pid="10" name="DQCStatus">
    <vt:lpwstr>Green (DQC version 03)</vt:lpwstr>
  </property>
</Properties>
</file>