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0C7214F3745466F99C150BEB48928A1" style="width:450.75pt;height:396.75pt">
            <v:imagedata r:id="rId9" o:title=""/>
          </v:shape>
        </w:pict>
      </w:r>
    </w:p>
    <w:p>
      <w:pPr>
        <w:rPr>
          <w:noProof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  <w:szCs w:val="24"/>
        </w:rPr>
      </w:pPr>
      <w:bookmarkStart w:id="0" w:name="_GoBack"/>
      <w:bookmarkEnd w:id="0"/>
      <w:r>
        <w:rPr>
          <w:noProof/>
          <w:szCs w:val="24"/>
        </w:rPr>
        <w:t xml:space="preserve">ПРИЛОЖЕНИЕ 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ПРИЛОЖЕНИЕ I: Мита на ЕС за продукти с произход от държавите по СИП ЮАОР — част 1</w:t>
      </w:r>
    </w:p>
    <w:p>
      <w:pPr>
        <w:jc w:val="center"/>
        <w:rPr>
          <w:b/>
          <w:noProof/>
          <w:szCs w:val="24"/>
          <w:u w:val="single"/>
        </w:rPr>
      </w:pPr>
      <w:r>
        <w:rPr>
          <w:b/>
          <w:noProof/>
          <w:u w:val="single"/>
        </w:rPr>
        <w:t>ПРИЛОЖЕНИЕ I</w:t>
      </w:r>
    </w:p>
    <w:p>
      <w:pPr>
        <w:jc w:val="center"/>
        <w:rPr>
          <w:b/>
          <w:noProof/>
        </w:rPr>
      </w:pPr>
      <w:r>
        <w:rPr>
          <w:b/>
          <w:smallCaps/>
          <w:noProof/>
        </w:rPr>
        <w:t>М</w:t>
      </w:r>
      <w:r>
        <w:rPr>
          <w:b/>
          <w:noProof/>
        </w:rPr>
        <w:t>ИТА НА ЕС ЗА ПРОДУКТИ С ПРОИЗХОД ОТ ДЪРЖАВИТЕ ПО СИП ЮАОР</w:t>
      </w:r>
    </w:p>
    <w:p>
      <w:pPr>
        <w:jc w:val="center"/>
        <w:rPr>
          <w:b/>
          <w:smallCaps/>
          <w:noProof/>
        </w:rPr>
      </w:pPr>
      <w:r>
        <w:rPr>
          <w:b/>
          <w:smallCaps/>
          <w:noProof/>
        </w:rPr>
        <w:t>ЧАСТ I</w:t>
      </w:r>
    </w:p>
    <w:p>
      <w:pPr>
        <w:pStyle w:val="ManualNumPar1"/>
        <w:jc w:val="center"/>
        <w:rPr>
          <w:b/>
          <w:noProof/>
        </w:rPr>
      </w:pPr>
      <w:r>
        <w:rPr>
          <w:b/>
          <w:noProof/>
        </w:rPr>
        <w:t>ОБЩИ БЕЛЕЖКИ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 xml:space="preserve">Когато дадена поетапна категория е обозначена с буква, отстъпката или частта от отстъпката, описана в настоящото ПРИЛОЖЕНИЕ, се прилага от датата на влизане в сила на настоящото споразумение, предвидена в член 113, параграф 2, или от съответната дата на временно прилагане на настоящото споразумение, предвидена в член 113, параграф 4, в зависимост от това коя от двете дати е по-ранна, за стоките с произход от държава по СИП ЮАОР и представени за митническо оформяне в ЕС. 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Когато дадена поетапна категория, обозначена с буква, допълнително е обозначена със звездичка („*“), отстъпката или частта от отстъпката, описана в настоящото ПРИЛОЖЕНИЕ, се прилага от датата, на която са изпълнени и двете условия, посочени в член 113, параграфи 5 и 6, за стоките с произход от държава по СИП ЮАОР и представени за митническо оформяне в ЕС.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  <w:t>Когато в колоната, озаглавена „Поетапна категория за Южна Африка“, в графика в ЧАСТ II е посочено мито вместо обозначена с буква поетапна категория, въпросното мито, описано в настоящото ПРИЛОЖЕНИЕ, се прилага от датата, посочена в точка 1.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  <w:t xml:space="preserve">Общите препратки към дадена категория стоки, фигуриращи в квадратни скоби в раздели А и Б, са поместени единствено с ориентировъчна цел. Продуктовият обхват на всяка поетапна категория е конкретно определен в графика в </w:t>
      </w:r>
      <w:r>
        <w:rPr>
          <w:caps/>
          <w:noProof/>
        </w:rPr>
        <w:t>част</w:t>
      </w:r>
      <w:r>
        <w:rPr>
          <w:noProof/>
        </w:rPr>
        <w:t xml:space="preserve"> II.</w:t>
      </w:r>
    </w:p>
    <w:p>
      <w:pPr>
        <w:pStyle w:val="ManualNumPar1"/>
        <w:rPr>
          <w:noProof/>
          <w:szCs w:val="24"/>
        </w:rPr>
      </w:pPr>
      <w:r>
        <w:rPr>
          <w:noProof/>
        </w:rPr>
        <w:t>5.</w:t>
      </w:r>
      <w:r>
        <w:rPr>
          <w:noProof/>
        </w:rPr>
        <w:tab/>
        <w:t>В допълнение към изискванията на член 23, параграф 5, на датата на влизане в сила на настоящото споразумение ЕС уведомява Министерството на търговията и промишлеността на Южна Африка за списъка на митата, прилагани от нея в деня преди влизането в сила на настоящото споразумение, за стоките с произход от Южна Африка, отнесени към поетапни категории „B*“ и „C*“. В срок от един месец след уведомлението, предвидено в настоящата точка, ЕС прави публично достояние този списък в съответствие с вътрешните си процедури. Комитетът по търговия и развитие приема гореупоменатия списък, представен от ЕС, на първото си заседание след уведомяването за него и публикуването му.</w:t>
      </w:r>
    </w:p>
    <w:p>
      <w:pPr>
        <w:jc w:val="center"/>
        <w:rPr>
          <w:b/>
          <w:noProof/>
        </w:rPr>
      </w:pPr>
      <w:r>
        <w:rPr>
          <w:b/>
          <w:noProof/>
        </w:rPr>
        <w:t>РАЗДЕЛ А</w:t>
      </w:r>
    </w:p>
    <w:p>
      <w:pPr>
        <w:jc w:val="center"/>
        <w:rPr>
          <w:rFonts w:eastAsia="Batang"/>
          <w:b/>
          <w:smallCaps/>
          <w:noProof/>
          <w:szCs w:val="24"/>
        </w:rPr>
      </w:pPr>
      <w:r>
        <w:rPr>
          <w:b/>
          <w:noProof/>
        </w:rPr>
        <w:t>ПРЕМАХВАНЕ НА МИТАТА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6.</w:t>
      </w:r>
      <w:r>
        <w:rPr>
          <w:noProof/>
        </w:rPr>
        <w:tab/>
        <w:t>Освен ако в графика на ЕС, включен в ЧАСТ II от настоящото ПРИЛОЖЕНИЕ, не е предвидено друго, в съответствие с член 24 по отношение на премахването на митата от ЕС се прилагат следните поетапни категории: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митата върху стоките с произход, отнесени към поетапна категория „А“ в графика на ЕС, се премахват на датата, посочена в точка 1 от настоящото ПРИЛОЖЕНИЕ;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митата върху стоките с произход, отнесени към поетапна категория „А*“ в графика на ЕС, се премахват на датата, посочена в точка 2 от настоящото ПРИЛОЖЕНИЕ;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[</w:t>
      </w:r>
      <w:r>
        <w:rPr>
          <w:i/>
          <w:noProof/>
        </w:rPr>
        <w:t>риби</w:t>
      </w:r>
      <w:r>
        <w:rPr>
          <w:noProof/>
        </w:rPr>
        <w:t>] митата върху стоките с произход, отнесени към поетапна категория „B*“ в графика на ЕС, се премахват постепенно в съответствие със следните разпоредби:</w:t>
      </w:r>
    </w:p>
    <w:p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>на датата, посочена в точка 2 от настоящото ПРИЛОЖЕНИЕ, всяко мито се намалява на 83 %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на датата 1 януари, следваща датата, посочена в точка 2 от настоящото ПРИЛОЖЕНИЕ, всяко мито допълнително се намалява на 67 % от митото на ЕС, прилагано за стоките с произход от Южна Африка в деня преди влизането в сила на настоящото споразумение, </w:t>
      </w:r>
    </w:p>
    <w:p>
      <w:pPr>
        <w:pStyle w:val="Point2"/>
        <w:rPr>
          <w:noProof/>
        </w:rPr>
      </w:pPr>
      <w:r>
        <w:rPr>
          <w:noProof/>
        </w:rPr>
        <w:t>iii)</w:t>
      </w:r>
      <w:r>
        <w:rPr>
          <w:noProof/>
        </w:rPr>
        <w:tab/>
        <w:t>една година след датата 1 януари, следваща датата, посочена в точка 2 от настоящото ПРИЛОЖЕНИЕ, всяко мито допълнително се намалява на 50 %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iv)</w:t>
      </w:r>
      <w:r>
        <w:rPr>
          <w:noProof/>
        </w:rPr>
        <w:tab/>
        <w:t>две (2) години след датата 1 януари, следваща датата, посочена в точка 2 от настоящото ПРИЛОЖЕНИЕ, всяко мито допълнително се намалява на 33 %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v)</w:t>
      </w:r>
      <w:r>
        <w:rPr>
          <w:noProof/>
        </w:rPr>
        <w:tab/>
        <w:t>три (3) години след датата 1 януари, следваща датата, посочена в точка 2 от настоящото ПРИЛОЖЕНИЕ, всяко мито допълнително се намалява на 17 % от митото на ЕС, прилагано за стоките с произход от Южна Африка в деня преди влизането в сила на настоящото споразумение, и</w:t>
      </w:r>
    </w:p>
    <w:p>
      <w:pPr>
        <w:pStyle w:val="Point2"/>
        <w:rPr>
          <w:noProof/>
        </w:rPr>
      </w:pPr>
      <w:r>
        <w:rPr>
          <w:noProof/>
        </w:rPr>
        <w:t>vi)</w:t>
      </w:r>
      <w:r>
        <w:rPr>
          <w:noProof/>
        </w:rPr>
        <w:tab/>
        <w:t>четири (4) години след датата 1 януари, следваща датата, посочена в точка 2 от настоящото ПРИЛОЖЕНИЕ, се премахват останалите мита;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[</w:t>
      </w:r>
      <w:r>
        <w:rPr>
          <w:i/>
          <w:noProof/>
        </w:rPr>
        <w:t>риби</w:t>
      </w:r>
      <w:r>
        <w:rPr>
          <w:noProof/>
        </w:rPr>
        <w:t>] митата върху стоките с произход, отнесени към поетапна категория „C*“ в графика на ЕС, се премахват постепенно в съответствие със следните разпоредби:</w:t>
      </w:r>
    </w:p>
    <w:p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>на датата, посочена в точка 2 от настоящото ПРИЛОЖЕНИЕ, всяко мито се намалява на 90 %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>на датата 1 януари, следваща датата, посочена в точка 2 от настоящото ПРИЛОЖЕНИЕ, всяко мито допълнително се намалява на 80 %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iii)</w:t>
      </w:r>
      <w:r>
        <w:rPr>
          <w:noProof/>
        </w:rPr>
        <w:tab/>
        <w:t>една година след датата 1 януари, следваща датата, посочена в точка 2 от настоящото ПРИЛОЖЕНИЕ, всяко мито допълнително се намалява на 70 %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iv)</w:t>
      </w:r>
      <w:r>
        <w:rPr>
          <w:noProof/>
        </w:rPr>
        <w:tab/>
        <w:t>две (2) години след датата 1 януари, следваща датата, посочена в точка 2 от настоящото ПРИЛОЖЕНИЕ, всяко мито допълнително се намалява на 60 %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v)</w:t>
      </w:r>
      <w:r>
        <w:rPr>
          <w:noProof/>
        </w:rPr>
        <w:tab/>
        <w:t xml:space="preserve">три (3) години след датата 1 януари, следваща датата, посочена в точка 2 от настоящото ПРИЛОЖЕНИЕ, всяко мито допълнително се намалява на 50 % от митото на ЕС, прилагано за стоките с произход от Южна Африка в деня преди влизането в сила на настоящото споразумение, </w:t>
      </w:r>
    </w:p>
    <w:p>
      <w:pPr>
        <w:pStyle w:val="Point2"/>
        <w:rPr>
          <w:noProof/>
        </w:rPr>
      </w:pPr>
      <w:r>
        <w:rPr>
          <w:noProof/>
        </w:rPr>
        <w:t>vi)</w:t>
      </w:r>
      <w:r>
        <w:rPr>
          <w:noProof/>
        </w:rPr>
        <w:tab/>
        <w:t>четири (4) години след датата 1 януари, следваща датата, посочена в точка 2 от настоящото ПРИЛОЖЕНИЕ, всяко мито допълнително се намалява на 40 %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vii)</w:t>
      </w:r>
      <w:r>
        <w:rPr>
          <w:noProof/>
        </w:rPr>
        <w:tab/>
        <w:t>пет (5) години след датата 1 януари, следваща датата, посочена в точка 2 от настоящото ПРИЛОЖЕНИЕ, всяко мито допълнително се намалява на 30 %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viii)</w:t>
      </w:r>
      <w:r>
        <w:rPr>
          <w:noProof/>
        </w:rPr>
        <w:tab/>
        <w:t>шест (6) години след датата 1 януари, следваща датата, посочена в точка 2 от настоящото ПРИЛОЖЕНИЕ, всяко мито допълнително се намалява на 20 % от митото на ЕС, прилагано за стоките с произход от Южна Африка в деня преди влизането в сила на настоящото споразумение,</w:t>
      </w:r>
    </w:p>
    <w:p>
      <w:pPr>
        <w:pStyle w:val="Point2"/>
        <w:rPr>
          <w:noProof/>
        </w:rPr>
      </w:pPr>
      <w:r>
        <w:rPr>
          <w:noProof/>
        </w:rPr>
        <w:t>ix)</w:t>
      </w:r>
      <w:r>
        <w:rPr>
          <w:noProof/>
        </w:rPr>
        <w:tab/>
        <w:t xml:space="preserve">седем (7) години след датата 1 януари, следваща датата, посочена в точка 2 от настоящото ПРИЛОЖЕНИЕ, всяко мито допълнително се намалява на 10 % от митото на ЕС, прилагано за стоките с произход от Южна Африка в деня преди влизането в сила на настоящото споразумение, и </w:t>
      </w:r>
    </w:p>
    <w:p>
      <w:pPr>
        <w:pStyle w:val="Point2"/>
        <w:rPr>
          <w:noProof/>
          <w:szCs w:val="24"/>
        </w:rPr>
      </w:pPr>
      <w:r>
        <w:rPr>
          <w:noProof/>
        </w:rPr>
        <w:t>x)</w:t>
      </w:r>
      <w:r>
        <w:rPr>
          <w:noProof/>
        </w:rPr>
        <w:tab/>
        <w:t>осем (8) години след датата 1 януари, следваща датата, посочена в точка 2 от настоящото ПРИЛОЖЕНИЕ, се премахват останалите мита;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д)</w:t>
      </w:r>
      <w:r>
        <w:rPr>
          <w:noProof/>
        </w:rPr>
        <w:tab/>
        <w:t>[</w:t>
      </w:r>
      <w:r>
        <w:rPr>
          <w:i/>
          <w:noProof/>
        </w:rPr>
        <w:t>сладки портокали</w:t>
      </w:r>
      <w:r>
        <w:rPr>
          <w:noProof/>
        </w:rPr>
        <w:t>] митата върху стоките с произход, отнесени към поетапна категория „D*“ в графика на ЕС, не са обхванати от поетите ангажименти за намаляване на тарифните ставки от датата, посочена в точка 1 на настоящото ПРИЛОЖЕНИЕ, с изключение на следните периоди:</w:t>
      </w:r>
    </w:p>
    <w:p>
      <w:pPr>
        <w:pStyle w:val="Bullet2"/>
        <w:numPr>
          <w:ilvl w:val="0"/>
          <w:numId w:val="28"/>
        </w:numPr>
        <w:rPr>
          <w:noProof/>
        </w:rPr>
      </w:pPr>
      <w:r>
        <w:rPr>
          <w:noProof/>
        </w:rPr>
        <w:t>1 юни — 15 октомври, в който период не се прилага мито, и</w:t>
      </w:r>
    </w:p>
    <w:p>
      <w:pPr>
        <w:pStyle w:val="Bullet2"/>
        <w:rPr>
          <w:noProof/>
        </w:rPr>
      </w:pPr>
      <w:r>
        <w:rPr>
          <w:noProof/>
        </w:rPr>
        <w:t>16 октомври — 30 ноември, считано от датата, посочена в точка 2 от настоящото ПРИЛОЖЕНИЕ, в който период митата се премахват постепенно в съответствие със следните разпоредби: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на датата, посочена в точка 2 от настоящото ПРИЛОЖЕНИЕ, всяко мито се намалява на 91 % от базовото мито,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на датата 1 януари, следваща датата, посочена в точка 2 от настоящото ПРИЛОЖЕНИЕ, всяко мито допълнително се намалява на 82 % от базовото мито,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една година след датата 1 януари, следваща датата, посочена в точка 2 от настоящото ПРИЛОЖЕНИЕ, всяко мито допълнително се намалява на 73 % от базовото мито,</w:t>
      </w:r>
    </w:p>
    <w:p>
      <w:pPr>
        <w:pStyle w:val="Point3"/>
        <w:rPr>
          <w:noProof/>
        </w:rPr>
      </w:pPr>
      <w:r>
        <w:rPr>
          <w:noProof/>
        </w:rPr>
        <w:t>iv)</w:t>
      </w:r>
      <w:r>
        <w:rPr>
          <w:noProof/>
        </w:rPr>
        <w:tab/>
        <w:t xml:space="preserve">две (2) години след датата 1 януари, следваща датата, посочена в точка 2 от настоящото ПРИЛОЖЕНИЕ, всяко мито допълнително се намалява на 64 % от базовото мито, </w:t>
      </w:r>
    </w:p>
    <w:p>
      <w:pPr>
        <w:pStyle w:val="Point3"/>
        <w:rPr>
          <w:noProof/>
        </w:rPr>
      </w:pPr>
      <w:r>
        <w:rPr>
          <w:noProof/>
        </w:rPr>
        <w:t>v)</w:t>
      </w:r>
      <w:r>
        <w:rPr>
          <w:noProof/>
        </w:rPr>
        <w:tab/>
        <w:t>три (3) години след датата 1 януари, следваща датата, посочена в точка 2 от настоящото ПРИЛОЖЕНИЕ, всяко мито допълнително се намалява на 55 % от базовото мито,</w:t>
      </w:r>
    </w:p>
    <w:p>
      <w:pPr>
        <w:pStyle w:val="Point3"/>
        <w:rPr>
          <w:noProof/>
        </w:rPr>
      </w:pPr>
      <w:r>
        <w:rPr>
          <w:noProof/>
        </w:rPr>
        <w:t>vi)</w:t>
      </w:r>
      <w:r>
        <w:rPr>
          <w:noProof/>
        </w:rPr>
        <w:tab/>
        <w:t>четири (4) години след датата 1 януари, следваща датата, посочена в точка 2 от настоящото ПРИЛОЖЕНИЕ, всяко мито допълнително се намалява на 45 % от базовото мито,</w:t>
      </w:r>
    </w:p>
    <w:p>
      <w:pPr>
        <w:pStyle w:val="Point3"/>
        <w:rPr>
          <w:noProof/>
        </w:rPr>
      </w:pPr>
      <w:r>
        <w:rPr>
          <w:noProof/>
        </w:rPr>
        <w:t>vii)</w:t>
      </w:r>
      <w:r>
        <w:rPr>
          <w:noProof/>
        </w:rPr>
        <w:tab/>
        <w:t>пет (5) години след датата 1 януари, следваща датата, посочена в точка 2 от настоящото ПРИЛОЖЕНИЕ, всяко мито допълнително се намалява на 36 % от базовото мито,</w:t>
      </w:r>
    </w:p>
    <w:p>
      <w:pPr>
        <w:pStyle w:val="Point3"/>
        <w:rPr>
          <w:noProof/>
        </w:rPr>
      </w:pPr>
      <w:r>
        <w:rPr>
          <w:noProof/>
        </w:rPr>
        <w:t>viii)</w:t>
      </w:r>
      <w:r>
        <w:rPr>
          <w:noProof/>
        </w:rPr>
        <w:tab/>
        <w:t>шест (6) години след датата 1 януари, следваща датата, посочена в точка 2 от настоящото ПРИЛОЖЕНИЕ, всяко мито допълнително се намалява на 27 % от базовото мито,</w:t>
      </w:r>
    </w:p>
    <w:p>
      <w:pPr>
        <w:pStyle w:val="Point3"/>
        <w:rPr>
          <w:noProof/>
        </w:rPr>
      </w:pPr>
      <w:r>
        <w:rPr>
          <w:noProof/>
        </w:rPr>
        <w:t>ix)</w:t>
      </w:r>
      <w:r>
        <w:rPr>
          <w:noProof/>
        </w:rPr>
        <w:tab/>
        <w:t>седем (7) години след датата 1 януари, следваща датата, посочена в точка 2 от настоящото ПРИЛОЖЕНИЕ, всяко мито допълнително се намалява на 18 % от базовото мито,</w:t>
      </w:r>
    </w:p>
    <w:p>
      <w:pPr>
        <w:pStyle w:val="Point3"/>
        <w:rPr>
          <w:noProof/>
        </w:rPr>
      </w:pPr>
      <w:r>
        <w:rPr>
          <w:noProof/>
        </w:rPr>
        <w:t>x)</w:t>
      </w:r>
      <w:r>
        <w:rPr>
          <w:noProof/>
        </w:rPr>
        <w:tab/>
        <w:t>осем (8) години след датата 1 януари, следваща датата, посочена в точка 2 от настоящото ПРИЛОЖЕНИЕ, всяко мито допълнително се намалява на 9 % от базовото мито, и</w:t>
      </w:r>
    </w:p>
    <w:p>
      <w:pPr>
        <w:pStyle w:val="Point3"/>
        <w:rPr>
          <w:noProof/>
        </w:rPr>
      </w:pPr>
      <w:r>
        <w:rPr>
          <w:noProof/>
        </w:rPr>
        <w:t>xi)</w:t>
      </w:r>
      <w:r>
        <w:rPr>
          <w:noProof/>
        </w:rPr>
        <w:tab/>
        <w:t xml:space="preserve">девет (9) години след датата 1 януари, следваща датата, посочена в точка 2 от настоящото ПРИЛОЖЕНИЕ, се премахват останалите мита. 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7.</w:t>
      </w:r>
      <w:r>
        <w:rPr>
          <w:noProof/>
        </w:rPr>
        <w:tab/>
        <w:t>Митата върху стоките с произход, включени в позициите от поетапна категория „Х“ в графика на ЕС, не са обхванати от поетите ангажименти за намаляване на тарифните ставки.</w:t>
      </w:r>
    </w:p>
    <w:p>
      <w:pPr>
        <w:jc w:val="center"/>
        <w:rPr>
          <w:b/>
          <w:noProof/>
        </w:rPr>
      </w:pPr>
      <w:r>
        <w:rPr>
          <w:b/>
          <w:noProof/>
        </w:rPr>
        <w:t>РАЗДЕЛ Б</w:t>
      </w:r>
    </w:p>
    <w:p>
      <w:pPr>
        <w:jc w:val="center"/>
        <w:rPr>
          <w:b/>
          <w:noProof/>
        </w:rPr>
      </w:pPr>
      <w:r>
        <w:rPr>
          <w:b/>
          <w:noProof/>
        </w:rPr>
        <w:t>ТАРИФНИ КВОТИ (ТК) ЗА ОПРЕДЕЛЕНИ СТОКИ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8.</w:t>
      </w:r>
      <w:r>
        <w:rPr>
          <w:noProof/>
        </w:rPr>
        <w:tab/>
        <w:t>ТК, отпуснати от ЕС по силата на настоящото споразумение, се разпределят в хронологичния ред на постъпване на съответните заявления.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9.</w:t>
      </w:r>
      <w:r>
        <w:rPr>
          <w:noProof/>
        </w:rPr>
        <w:tab/>
        <w:t>ТК, които са били прилагани при вноса в ЕС на продукти с произход от Южна Африка в съответствие със СТРС („ТК по СТРС“) и които са отпуснати по силата на настоящото споразумение при същите условия, се прилагат от датата, посочена в точка 1 от настоящото ПРИЛОЖЕНИЕ. В случай че датата, посочена в точка 1 от настоящото ПРИЛОЖЕНИЕ, съответства на дата след 1 януари, но преди 31 декември на същата календарна година, количеството от продукта, внесено в ЕС в рамките на ТК по СТРС от 1 януари на годината на датата, посочена в точка 1 от настоящото ПРИЛОЖЕНИЕ, до тази дата, се изважда от количеството от продукта, което може да бъде внесено в ЕС в рамките на съответната ТК, предвидена по силата на настоящото споразумение.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10.</w:t>
      </w:r>
      <w:r>
        <w:rPr>
          <w:noProof/>
        </w:rPr>
        <w:tab/>
        <w:t xml:space="preserve">Митата върху стоките, внесени в количества, надвишаващи посочените в настоящия раздел, се третират, дори в отсъствие на идентификация в този смисъл в графика на ЕС, в съответствие с поетапна категория „Х“, както е описано в точка 7 от раздел А. 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11.</w:t>
      </w:r>
      <w:r>
        <w:rPr>
          <w:noProof/>
        </w:rPr>
        <w:tab/>
        <w:t xml:space="preserve">Независимо от разпоредбите на член 116, по искане на едната или другата страна страните подлагат на преглед управлението на тарифните квоти, включително с оглед на ефикасността по отношение на осигуряването на запълването на квотите. Страните могат да формулират препоръки за адаптиране на действието на тарифните квоти в зависимост от резултатите от този преглед. </w:t>
      </w:r>
    </w:p>
    <w:p>
      <w:pPr>
        <w:pStyle w:val="ManualNumPar1"/>
        <w:rPr>
          <w:rFonts w:eastAsia="Batang"/>
          <w:noProof/>
          <w:szCs w:val="24"/>
        </w:rPr>
      </w:pPr>
      <w:r>
        <w:rPr>
          <w:noProof/>
        </w:rPr>
        <w:t>12.</w:t>
      </w:r>
      <w:r>
        <w:rPr>
          <w:noProof/>
        </w:rPr>
        <w:tab/>
        <w:t>Следните поетапни категории се прилагат за ТК, отпуснати от ЕС по реда на член 24, параграф 2:</w:t>
      </w:r>
    </w:p>
    <w:p>
      <w:pPr>
        <w:pStyle w:val="Point1"/>
        <w:rPr>
          <w:rFonts w:eastAsia="Batang"/>
          <w:i/>
          <w:noProof/>
          <w:szCs w:val="24"/>
        </w:rPr>
      </w:pPr>
      <w:r>
        <w:rPr>
          <w:noProof/>
        </w:rPr>
        <w:t>а)</w:t>
      </w:r>
      <w:r>
        <w:rPr>
          <w:noProof/>
        </w:rPr>
        <w:tab/>
      </w:r>
      <w:r>
        <w:rPr>
          <w:i/>
          <w:noProof/>
        </w:rPr>
        <w:t>[обезмаслено мляко на прах]</w:t>
      </w:r>
      <w:r>
        <w:rPr>
          <w:noProof/>
        </w:rPr>
        <w:t xml:space="preserve"> Сумарното количество на стоки с произход от поетапна категория „Е*“, което е разрешено да бъде внасяно безмитно всяка календарна година, считано от датата, посочена в точка 2 от настоящото ПРИЛОЖЕНИЕ, е уточнено по-долу: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</w:tblGrid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500</w:t>
            </w:r>
          </w:p>
        </w:tc>
      </w:tr>
    </w:tbl>
    <w:p>
      <w:pPr>
        <w:pStyle w:val="Text2"/>
        <w:rPr>
          <w:noProof/>
        </w:rPr>
      </w:pPr>
      <w:r>
        <w:rPr>
          <w:noProof/>
        </w:rPr>
        <w:t>В случай че датата, посочена в точка 2 от настоящото ПРИЛОЖЕНИЕ, съответства на дата след 1 януари, но преди 31 декември на същата календарна година, количеството по ТК, което е приложимо за останалата част от въпросната календарна година, се намалява пропорционално на оставащия брой дни в рамките на посочената календарна година.</w:t>
      </w:r>
    </w:p>
    <w:p>
      <w:pPr>
        <w:pStyle w:val="Point1"/>
        <w:rPr>
          <w:i/>
          <w:noProof/>
        </w:rPr>
      </w:pPr>
      <w:r>
        <w:rPr>
          <w:noProof/>
        </w:rPr>
        <w:t>б)</w:t>
      </w:r>
      <w:r>
        <w:rPr>
          <w:noProof/>
        </w:rPr>
        <w:tab/>
      </w:r>
      <w:r>
        <w:rPr>
          <w:i/>
          <w:noProof/>
        </w:rPr>
        <w:t>[масло]</w:t>
      </w:r>
      <w:r>
        <w:rPr>
          <w:noProof/>
        </w:rPr>
        <w:t xml:space="preserve"> Сумарното количество на стоки с произход от поетапна категория „F*“, което е разрешено да бъде внасяно безмитно всяка календарна година, считано от датата, посочена в точка 2 от настоящото ПРИЛОЖЕНИЕ, е уточнено по-долу: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</w:tblGrid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500</w:t>
            </w:r>
          </w:p>
        </w:tc>
      </w:tr>
    </w:tbl>
    <w:p>
      <w:pPr>
        <w:pStyle w:val="Text2"/>
        <w:rPr>
          <w:noProof/>
          <w:szCs w:val="24"/>
        </w:rPr>
      </w:pPr>
      <w:r>
        <w:rPr>
          <w:noProof/>
        </w:rPr>
        <w:t>В случай че датата, посочена в точка 2 от настоящото ПРИЛОЖЕНИЕ, съответства на дата след 1 януари, но преди 31 декември на същата календарна година, количеството по ТК, което е приложимо за останалата част от въпросната календарна година, се намалява пропорционално на оставащия брой дни в рамките на посочената календарна година.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</w:r>
      <w:r>
        <w:rPr>
          <w:i/>
          <w:noProof/>
        </w:rPr>
        <w:t>[цветя: рози, орхидеи и хризантеми]</w:t>
      </w:r>
      <w:r>
        <w:rPr>
          <w:noProof/>
        </w:rPr>
        <w:t xml:space="preserve"> Сумарното количество на стоки с произход от поетапна категория „G*“, което е разрешено да бъде внасяно всяка календарна година при мито в размер на 50 % от прилаганата ставка за НОН, считано от датата, посочена в точка 1 от настоящото ПРИЛОЖЕНИЕ, до датата, посочена в точка 2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1312"/>
        <w:gridCol w:w="1599"/>
      </w:tblGrid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725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740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755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770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785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800</w:t>
            </w:r>
          </w:p>
        </w:tc>
      </w:tr>
    </w:tbl>
    <w:p>
      <w:pPr>
        <w:contextualSpacing/>
        <w:rPr>
          <w:rFonts w:eastAsia="Batang"/>
          <w:noProof/>
          <w:szCs w:val="24"/>
        </w:rPr>
      </w:pPr>
    </w:p>
    <w:p>
      <w:pPr>
        <w:pStyle w:val="Text2"/>
        <w:rPr>
          <w:noProof/>
        </w:rPr>
      </w:pPr>
      <w:r>
        <w:rPr>
          <w:noProof/>
        </w:rPr>
        <w:t>След 2020 г. ТК се увеличава с 15 метрични тона годишно.</w:t>
      </w:r>
    </w:p>
    <w:p>
      <w:pPr>
        <w:pStyle w:val="Text2"/>
        <w:rPr>
          <w:noProof/>
        </w:rPr>
      </w:pPr>
      <w:r>
        <w:rPr>
          <w:noProof/>
        </w:rPr>
        <w:t>В рамките на календарната година ТК се прилага от 1 юни до 31 октомври за орхидеи (код по КН 0603.13.00) и от 1 ноември до 31 май за рози (код по КН 0603.11.00) и хризантеми (код по КН 0603.14.00).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Освен това от 1 ноември до 31 май митата върху орхидеите (код по КН 0603.13.00) се премахват и се разрешава тези стоки да бъдат внасяни безмитно всяка календарна година. 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Считано от датата, посочена в точка 2 от настоящото ПРИЛОЖЕНИЕ, митата и ТК за стоките с произход от тази поетапна категория се премахват.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</w:r>
      <w:r>
        <w:rPr>
          <w:i/>
          <w:noProof/>
        </w:rPr>
        <w:t>[цветя: кремове и „други“]</w:t>
      </w:r>
      <w:r>
        <w:rPr>
          <w:noProof/>
        </w:rPr>
        <w:t xml:space="preserve"> Сумарното количество на стоки с произход от поетапна категория „H*“, което е разрешено да бъде внасяно от 1 юни до 31 октомври всяка календарна година при мито в размер на 50 % от прилаганата ставка за НОН, считано от датата, посочена в точка 1 от настоящото ПРИЛОЖЕНИЕ, до датата, посочена в точка 2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1312"/>
        <w:gridCol w:w="1599"/>
      </w:tblGrid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870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888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906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924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942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960</w:t>
            </w:r>
          </w:p>
        </w:tc>
      </w:tr>
    </w:tbl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След 2020 г. ТК се увеличава с 18 метрични тона годишно.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Освен това от 1 ноември до 31 май митата върху стоките с произход се премахват и се разрешава през този период за всяка календарна година посочените стоки да бъдат внасяно безмитно.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Считано от датата, посочена в точка 2 от настоящото ПРИЛОЖЕНИЕ, митата и ТК за стоките с произход от тази поетапна категория се премахват. 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д)</w:t>
      </w:r>
      <w:r>
        <w:rPr>
          <w:noProof/>
        </w:rPr>
        <w:tab/>
      </w:r>
      <w:r>
        <w:rPr>
          <w:i/>
          <w:noProof/>
        </w:rPr>
        <w:t>[цветя: различни от свежите]</w:t>
      </w:r>
      <w:r>
        <w:rPr>
          <w:noProof/>
        </w:rPr>
        <w:t xml:space="preserve"> Сумарното количество на стоки с произход от поетапна категория „I*“, което е разрешено да бъде внасяно всяка календарна година при мито в размер на 25 % от прилаганата ставка за НОН, считано от датата, посочена в точка 1 от настоящото ПРИЛОЖЕНИЕ, до датата, посочена в точка 2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1312"/>
        <w:gridCol w:w="1599"/>
      </w:tblGrid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725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740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755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770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785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800</w:t>
            </w:r>
          </w:p>
        </w:tc>
      </w:tr>
    </w:tbl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След 2020 г. ТК се увеличава с 15 метрични тона годишно.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Считано от датата, посочена в точка 2 от настоящото ПРИЛОЖЕНИЕ, митата и ТК за стоките с произход от тази поетапна категория се премахват. 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е)</w:t>
      </w:r>
      <w:r>
        <w:rPr>
          <w:noProof/>
        </w:rPr>
        <w:tab/>
      </w:r>
      <w:r>
        <w:rPr>
          <w:i/>
          <w:noProof/>
        </w:rPr>
        <w:t>[ягоди]</w:t>
      </w:r>
      <w:r>
        <w:rPr>
          <w:noProof/>
        </w:rPr>
        <w:t xml:space="preserve"> Сумарното количество на стоки с произход от поетапна категория „J“, което е разрешено да бъде внасяно безмитно всяка календарна година, считано от датата, посочена в точка 1 от настоящото ПРИЛОЖЕНИЕ, е уточнено по-долу: </w:t>
      </w:r>
    </w:p>
    <w:tbl>
      <w:tblPr>
        <w:tblW w:w="3579" w:type="dxa"/>
        <w:jc w:val="center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777"/>
        <w:gridCol w:w="1792"/>
      </w:tblGrid>
      <w:tr>
        <w:trPr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370,0</w:t>
            </w:r>
          </w:p>
        </w:tc>
      </w:tr>
      <w:tr>
        <w:trPr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377,5</w:t>
            </w:r>
          </w:p>
        </w:tc>
      </w:tr>
      <w:tr>
        <w:trPr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385,0</w:t>
            </w:r>
          </w:p>
        </w:tc>
      </w:tr>
      <w:tr>
        <w:trPr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392,5</w:t>
            </w:r>
          </w:p>
        </w:tc>
      </w:tr>
      <w:tr>
        <w:trPr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400,0</w:t>
            </w:r>
          </w:p>
        </w:tc>
      </w:tr>
      <w:tr>
        <w:trPr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407,5</w:t>
            </w:r>
          </w:p>
        </w:tc>
      </w:tr>
    </w:tbl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След 2020 г. ТК се увеличава със 7,5 метрични тона годишно. 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ж)</w:t>
      </w:r>
      <w:r>
        <w:rPr>
          <w:noProof/>
        </w:rPr>
        <w:tab/>
      </w:r>
      <w:r>
        <w:rPr>
          <w:i/>
          <w:noProof/>
        </w:rPr>
        <w:t>[захар]</w:t>
      </w:r>
      <w:r>
        <w:rPr>
          <w:noProof/>
        </w:rPr>
        <w:t xml:space="preserve"> Сумарното количество на стоки с произход от поетапна категория „K*“, което е разрешено да бъде внасяно безмитно всяка календарна година, считано от датата, посочена в точка 2 от настоящото ПРИЛОЖЕНИЕ, е уточнено по-долу: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3000"/>
        <w:gridCol w:w="480"/>
        <w:gridCol w:w="2280"/>
      </w:tblGrid>
      <w:tr>
        <w:tc>
          <w:tcPr>
            <w:tcW w:w="1548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3000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 рафинирана захар или захар от захарна тръстика, предназначена за рафиниране</w:t>
            </w:r>
          </w:p>
        </w:tc>
        <w:tc>
          <w:tcPr>
            <w:tcW w:w="480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2280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 захар от захарна тръстика, предназначена за рафиниране</w:t>
            </w:r>
          </w:p>
        </w:tc>
      </w:tr>
      <w:tr>
        <w:tc>
          <w:tcPr>
            <w:tcW w:w="1548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  <w:tc>
          <w:tcPr>
            <w:tcW w:w="480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c>
          <w:tcPr>
            <w:tcW w:w="1548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50 000</w:t>
            </w:r>
          </w:p>
        </w:tc>
        <w:tc>
          <w:tcPr>
            <w:tcW w:w="480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100 000</w:t>
            </w:r>
          </w:p>
        </w:tc>
      </w:tr>
    </w:tbl>
    <w:p>
      <w:pPr>
        <w:pStyle w:val="Text2"/>
        <w:rPr>
          <w:noProof/>
          <w:szCs w:val="24"/>
        </w:rPr>
      </w:pPr>
      <w:r>
        <w:rPr>
          <w:noProof/>
        </w:rPr>
        <w:t>В случай че датата, посочена в точка 2 от настоящото ПРИЛОЖЕНИЕ, съответства на дата след 1 януари, но преди 31 декември на същата календарна година, количеството от ТК, което е приложимо за останалата част от въпросната календарна година, съответно се намалява пропорционално на оставащия брой дни в рамките на посочената календарна година.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з)</w:t>
      </w:r>
      <w:r>
        <w:rPr>
          <w:noProof/>
        </w:rPr>
        <w:tab/>
      </w:r>
      <w:r>
        <w:rPr>
          <w:i/>
          <w:noProof/>
        </w:rPr>
        <w:t>[бял кристален прах]</w:t>
      </w:r>
      <w:r>
        <w:rPr>
          <w:noProof/>
        </w:rPr>
        <w:t xml:space="preserve"> Сумарното количество на стоки с произход от поетапна категория „L*“, което е разрешено да бъде внасяно безмитно всяка календарна година, считано от датата, посочена в точка 2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</w:tblGrid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500</w:t>
            </w:r>
          </w:p>
        </w:tc>
      </w:tr>
    </w:tbl>
    <w:p>
      <w:pPr>
        <w:pStyle w:val="Text2"/>
        <w:rPr>
          <w:noProof/>
          <w:szCs w:val="24"/>
        </w:rPr>
      </w:pPr>
      <w:r>
        <w:rPr>
          <w:noProof/>
        </w:rPr>
        <w:t>В случай че датата, посочена в точка 2 от настоящото ПРИЛОЖЕНИЕ, съответства на дата след 1 януари, но преди 31 декември на същата календарна година, количеството по ТК, което е приложимо за останалата част от въпросната календарна година, се намалява пропорционално на оставащия брой дни в рамките на посочената календарна година.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и)</w:t>
      </w:r>
      <w:r>
        <w:rPr>
          <w:noProof/>
        </w:rPr>
        <w:tab/>
      </w:r>
      <w:r>
        <w:rPr>
          <w:i/>
          <w:noProof/>
        </w:rPr>
        <w:t>[конфитюри от цитрусови плодове]</w:t>
      </w:r>
      <w:r>
        <w:rPr>
          <w:noProof/>
        </w:rPr>
        <w:t xml:space="preserve"> Сумарното количество на стоки с произход от поетапна категория „M*“, което е разрешено да бъде внасяно всяка календарна година при мито в размер на 50 % от прилаганата ставка за НОН, считано от датата, посочена в точка 2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</w:tblGrid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100</w:t>
            </w:r>
          </w:p>
        </w:tc>
      </w:tr>
    </w:tbl>
    <w:p>
      <w:pPr>
        <w:pStyle w:val="Text2"/>
        <w:rPr>
          <w:noProof/>
          <w:szCs w:val="24"/>
        </w:rPr>
      </w:pPr>
      <w:r>
        <w:rPr>
          <w:noProof/>
        </w:rPr>
        <w:t>В случай че датата, посочена в точка 2 от настоящото ПРИЛОЖЕНИЕ, съответства на дата след 1 януари, но преди 31 декември на същата календарна година, количеството по ТК, което е приложимо за останалата част от въпросната календарна година, се намалява пропорционално на оставащия брой дни в рамките на посочената календарна година.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й)</w:t>
      </w:r>
      <w:r>
        <w:rPr>
          <w:noProof/>
        </w:rPr>
        <w:tab/>
      </w:r>
      <w:r>
        <w:rPr>
          <w:i/>
          <w:noProof/>
        </w:rPr>
        <w:t>[консервирани плодове, с изключение на консервирани тропически плодове]</w:t>
      </w:r>
      <w:r>
        <w:rPr>
          <w:noProof/>
        </w:rPr>
        <w:t xml:space="preserve"> Сумарното количество на стоки с произход от поетапна категория „N*“, което е разрешено да бъде внасяно всяка календарна година при мито в размер на 50 % от прилаганата ставка за НОН, считано от датата, посочена в точка 1 от настоящото ПРИЛОЖЕНИЕ, до датата, посочена в точка 2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1749"/>
        <w:gridCol w:w="1873"/>
      </w:tblGrid>
      <w:tr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 круши, кайсии и праскови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 смеси от нетропически плодове</w:t>
            </w:r>
          </w:p>
        </w:tc>
      </w:tr>
      <w:tr>
        <w:trPr>
          <w:jc w:val="center"/>
        </w:trPr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59 630,25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26 552,20</w:t>
            </w:r>
          </w:p>
        </w:tc>
      </w:tr>
      <w:tr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60 866,00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27 102,40</w:t>
            </w:r>
          </w:p>
        </w:tc>
      </w:tr>
      <w:tr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62 102,75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27 652,60</w:t>
            </w:r>
          </w:p>
        </w:tc>
      </w:tr>
      <w:tr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63 339,50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28 202,80</w:t>
            </w:r>
          </w:p>
        </w:tc>
      </w:tr>
      <w:tr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64 576,25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28 753,00</w:t>
            </w:r>
          </w:p>
        </w:tc>
      </w:tr>
      <w:tr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65 813,00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29 303,20</w:t>
            </w:r>
          </w:p>
        </w:tc>
      </w:tr>
    </w:tbl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След 2020 г. ТК се увеличава годишно с 1236,75 метрични тона за круши, кайсии и праскови и с 550,20 метрични тона за смеси от нетропически плодове. 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Считано от датата, посочена в точка 2 на настоящото ПРИЛОЖЕНИЕ:</w:t>
      </w:r>
    </w:p>
    <w:p>
      <w:pPr>
        <w:pStyle w:val="Bullet2"/>
        <w:numPr>
          <w:ilvl w:val="0"/>
          <w:numId w:val="28"/>
        </w:numPr>
        <w:rPr>
          <w:i/>
          <w:noProof/>
        </w:rPr>
      </w:pPr>
      <w:r>
        <w:rPr>
          <w:noProof/>
        </w:rPr>
        <w:t>сумарното количество на стоки с произход от тази поетапна категория, което е разрешено да бъде внасяно всяка календарна година, е уточнено по-долу: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</w:tblGrid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57 156</w:t>
            </w:r>
          </w:p>
        </w:tc>
      </w:tr>
    </w:tbl>
    <w:p>
      <w:pPr>
        <w:pStyle w:val="Bullet2"/>
        <w:numPr>
          <w:ilvl w:val="0"/>
          <w:numId w:val="28"/>
        </w:numPr>
        <w:rPr>
          <w:rFonts w:eastAsia="Batang"/>
          <w:noProof/>
          <w:szCs w:val="24"/>
        </w:rPr>
      </w:pPr>
      <w:r>
        <w:rPr>
          <w:noProof/>
        </w:rPr>
        <w:t>митата се премахват постепенно в съответствие със следните разпоредби: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на датата, посочена в точка 2 от настоящото ПРИЛОЖЕНИЕ, всяко мито се намалява на 45 %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на датата 1 януари, следваща датата, посочена в точка 2 от настоящото ПРИЛОЖЕНИЕ, всяко мито допълнително се намалява на 41 %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една година след датата 1 януари, следваща датата, посочена в точка 2 от настоящото ПРИЛОЖЕНИЕ, всяко мито допълнително се намалява на 36 %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iv)</w:t>
      </w:r>
      <w:r>
        <w:rPr>
          <w:noProof/>
        </w:rPr>
        <w:tab/>
        <w:t>две (2) години след датата 1 януари, следваща датата, посочена в точка 2 от настоящото ПРИЛОЖЕНИЕ, всяко мито допълнително се намалява на 32 %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v)</w:t>
      </w:r>
      <w:r>
        <w:rPr>
          <w:noProof/>
        </w:rPr>
        <w:tab/>
        <w:t>три (3) години след датата 1 януари, следваща датата, посочена в точка 2 от настоящото ПРИЛОЖЕНИЕ, всяко мито допълнително се намалява на 27 %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vi)</w:t>
      </w:r>
      <w:r>
        <w:rPr>
          <w:noProof/>
        </w:rPr>
        <w:tab/>
        <w:t>четири (4) години след датата 1 януари, следваща датата, посочена в точка 2 от настоящото ПРИЛОЖЕНИЕ, всяко мито допълнително се намалява на 23 %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vii)</w:t>
      </w:r>
      <w:r>
        <w:rPr>
          <w:noProof/>
        </w:rPr>
        <w:tab/>
        <w:t>пет (5) години след датата 1 януари, следваща датата, посочена в точка 2 от настоящото ПРИЛОЖЕНИЕ, всяко мито допълнително се намалява на 18 %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viii)</w:t>
      </w:r>
      <w:r>
        <w:rPr>
          <w:noProof/>
        </w:rPr>
        <w:tab/>
        <w:t>шест (6) години след датата 1 януари, следваща датата, посочена в точка 2 от настоящото ПРИЛОЖЕНИЕ, всяко мито допълнително се намалява на 14 %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ix)</w:t>
      </w:r>
      <w:r>
        <w:rPr>
          <w:noProof/>
        </w:rPr>
        <w:tab/>
        <w:t>седем (7) години след датата 1 януари, следваща датата, посочена в точка 2 от настоящото ПРИЛОЖЕНИЕ, всяко мито допълнително се намалява на 9 % от прилаганата ставка за НОН,</w:t>
      </w:r>
    </w:p>
    <w:p>
      <w:pPr>
        <w:pStyle w:val="Point3"/>
        <w:rPr>
          <w:noProof/>
        </w:rPr>
      </w:pPr>
      <w:r>
        <w:rPr>
          <w:noProof/>
        </w:rPr>
        <w:t>x)</w:t>
      </w:r>
      <w:r>
        <w:rPr>
          <w:noProof/>
        </w:rPr>
        <w:tab/>
        <w:t>осем (8) години след датата 1 януари, следваща датата, посочена в точка 2 от настоящото ПРИЛОЖЕНИЕ, всяко мито допълнително се намалява на 5 % от прилаганата ставка за НОН, и</w:t>
      </w:r>
    </w:p>
    <w:p>
      <w:pPr>
        <w:pStyle w:val="Point3"/>
        <w:rPr>
          <w:noProof/>
        </w:rPr>
      </w:pPr>
      <w:r>
        <w:rPr>
          <w:noProof/>
        </w:rPr>
        <w:t>xi)</w:t>
      </w:r>
      <w:r>
        <w:rPr>
          <w:noProof/>
        </w:rPr>
        <w:tab/>
        <w:t>девет (9) години след датата 1 януари, следваща датата, посочена в точка 2 от настоящото ПРИЛОЖЕНИЕ, се премахват останалите мита.</w:t>
      </w:r>
    </w:p>
    <w:p>
      <w:pPr>
        <w:pStyle w:val="Text3"/>
        <w:rPr>
          <w:noProof/>
        </w:rPr>
      </w:pPr>
      <w:r>
        <w:rPr>
          <w:noProof/>
        </w:rPr>
        <w:t>В случай че датата, посочена в точка 2 от настоящото ПРИЛОЖЕНИЕ, съответства на дата след 1 януари, но преди 31 декември на същата календарна година, количеството по ТК за останалата част от въпросната година е 57 156 метрични тона, намалени с количеството, внесено в рамките на ТК по СТРС и настоящото споразумение в периода от 1 януари на същата календарна година до датата, посочена в точка 2 от настоящото ПРИЛОЖЕНИЕ.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к)</w:t>
      </w:r>
      <w:r>
        <w:rPr>
          <w:noProof/>
        </w:rPr>
        <w:tab/>
      </w:r>
      <w:r>
        <w:rPr>
          <w:i/>
          <w:noProof/>
        </w:rPr>
        <w:t>[консервирани тропически плодове]</w:t>
      </w:r>
      <w:r>
        <w:rPr>
          <w:noProof/>
        </w:rPr>
        <w:t xml:space="preserve"> Сумарното количество на стоки с произход от поетапна категория „O*“, което е разрешено да бъде внасяно всяка календарна година при мито в размер на 50 % от прилаганата ставка за НОН, считано от датата, посочена в точка 1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1312"/>
        <w:gridCol w:w="1599"/>
      </w:tblGrid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2900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2960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3020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3080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3140</w:t>
            </w:r>
          </w:p>
        </w:tc>
      </w:tr>
      <w:tr>
        <w:trPr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3200</w:t>
            </w:r>
          </w:p>
        </w:tc>
      </w:tr>
    </w:tbl>
    <w:p>
      <w:pPr>
        <w:pStyle w:val="Text2"/>
        <w:rPr>
          <w:noProof/>
        </w:rPr>
      </w:pPr>
      <w:r>
        <w:rPr>
          <w:noProof/>
        </w:rPr>
        <w:t xml:space="preserve">След 2020 г. ТК се увеличава с 60 метрични тона годишно. </w:t>
      </w:r>
    </w:p>
    <w:p>
      <w:pPr>
        <w:pStyle w:val="Text2"/>
        <w:rPr>
          <w:rFonts w:eastAsia="Batang"/>
          <w:i/>
          <w:noProof/>
          <w:szCs w:val="24"/>
        </w:rPr>
      </w:pPr>
      <w:r>
        <w:rPr>
          <w:noProof/>
        </w:rPr>
        <w:t xml:space="preserve">Считано от датата, посочена в точка 2 от настоящото ПРИЛОЖЕНИЕ, митата за стоките от тази поетапна категория, класирани в код по КН на ЕС 2007.99.50, се премахват, а вносът на тези стоки престава да бъде предмет на условията на ТК или да се взема предвид при запълването на квотите. 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л)</w:t>
      </w:r>
      <w:r>
        <w:rPr>
          <w:noProof/>
        </w:rPr>
        <w:tab/>
      </w:r>
      <w:r>
        <w:rPr>
          <w:i/>
          <w:noProof/>
        </w:rPr>
        <w:t>[замразен сок от портокали]</w:t>
      </w:r>
      <w:r>
        <w:rPr>
          <w:noProof/>
        </w:rPr>
        <w:t xml:space="preserve"> Сумарното количество на стоки с произход от поетапна категория „P*“, което е разрешено да бъде внасяно всяка календарна година при мито в размер на 50 % от прилаганата ставка за НОН, считано от датата, посочена в точка 1 от настоящото ПРИЛОЖЕНИЕ, е уточнено по-долу: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164"/>
        <w:gridCol w:w="1684"/>
        <w:gridCol w:w="1767"/>
        <w:gridCol w:w="1684"/>
      </w:tblGrid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1015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1036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1057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1078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1099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1120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</w:tbl>
    <w:p>
      <w:pPr>
        <w:pStyle w:val="Text2"/>
        <w:spacing w:before="240"/>
        <w:rPr>
          <w:rFonts w:eastAsia="Batang"/>
          <w:noProof/>
          <w:szCs w:val="24"/>
        </w:rPr>
      </w:pPr>
      <w:r>
        <w:rPr>
          <w:noProof/>
        </w:rPr>
        <w:t>След 2020 г. количеството по ТК се увеличава с 21 метрични тона годишно.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Считано от датата, посочена в точка 2 от настоящото ПРИЛОЖЕНИЕ, митата върху за стоките с произход, внасяни в рамките на тази ТК, се премахват. </w:t>
      </w:r>
    </w:p>
    <w:p>
      <w:pPr>
        <w:pStyle w:val="Point1"/>
        <w:rPr>
          <w:rFonts w:eastAsia="Batang"/>
          <w:i/>
          <w:noProof/>
          <w:szCs w:val="24"/>
        </w:rPr>
      </w:pPr>
      <w:r>
        <w:rPr>
          <w:noProof/>
        </w:rPr>
        <w:t>м)</w:t>
      </w:r>
      <w:r>
        <w:rPr>
          <w:noProof/>
        </w:rPr>
        <w:tab/>
      </w:r>
      <w:r>
        <w:rPr>
          <w:i/>
          <w:noProof/>
        </w:rPr>
        <w:t>[сок от ябълки и сок от ананас]</w:t>
      </w:r>
      <w:r>
        <w:rPr>
          <w:noProof/>
        </w:rPr>
        <w:t xml:space="preserve"> Сумарното количество на стоки с произход от поетапна категория „Q*“, което е разрешено да бъде внасяно всяка календарна година при мито в размер на 50 % от прилаганата ставка за НОН, считано от датата, посочена в точка 1 от настоящото ПРИЛОЖЕНИЕ, до датата, посочена в точка 2 от настоящото ПРИЛОЖЕНИЕ, е уточнено по-долу: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1164"/>
        <w:gridCol w:w="1684"/>
        <w:gridCol w:w="1684"/>
      </w:tblGrid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 xml:space="preserve">Количество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7250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7400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7550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7700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7850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8000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</w:tbl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След 2020 г. количеството в рамките на квотата се увеличава със 150 метрични тона годишно.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Считано от датата, посочена в точка 2 на настоящото ПРИЛОЖЕНИЕ: </w:t>
      </w:r>
    </w:p>
    <w:p>
      <w:pPr>
        <w:pStyle w:val="Bullet2"/>
        <w:numPr>
          <w:ilvl w:val="0"/>
          <w:numId w:val="28"/>
        </w:numPr>
        <w:rPr>
          <w:noProof/>
        </w:rPr>
      </w:pPr>
      <w:r>
        <w:rPr>
          <w:noProof/>
        </w:rPr>
        <w:t xml:space="preserve">митата и ТК за стоките от тази поетапна категория, класирани в кодове по КН на ЕС 2009.41.92 (с изключение на стоките със стойност, непревишаваща 30 EUR на 100 kg нетно тегло) и 2009.49.30, се премахват, и </w:t>
      </w:r>
    </w:p>
    <w:p>
      <w:pPr>
        <w:pStyle w:val="Bullet2"/>
        <w:numPr>
          <w:ilvl w:val="0"/>
          <w:numId w:val="28"/>
        </w:numPr>
        <w:rPr>
          <w:rFonts w:eastAsia="Batang"/>
          <w:noProof/>
          <w:szCs w:val="24"/>
        </w:rPr>
      </w:pPr>
      <w:r>
        <w:rPr>
          <w:noProof/>
        </w:rPr>
        <w:t>сумарното количество стоки с произход за останалите стоки от тази поетапна категория, което е разрешено да бъде внасяно всяка календарна година при мито в размер на 50 % от прилаганата ставка за НОН, е 47 % от сумарното количество, посочено в таблицата по-горе и съответстващо на годината на датата, посочена в точка 2 от настоящото ПРИЛОЖЕНИЕ.</w:t>
      </w:r>
    </w:p>
    <w:p>
      <w:pPr>
        <w:pStyle w:val="Text3"/>
        <w:rPr>
          <w:noProof/>
        </w:rPr>
      </w:pPr>
      <w:r>
        <w:rPr>
          <w:noProof/>
        </w:rPr>
        <w:t>В случай че датата, посочена в точка 2 от настоящото ПРИЛОЖЕНИЕ, съответства на дата след 1 януари, но преди 31 декември на същата календарна година, количеството по ТК за останалата част от въпросната година е 47 % от сумарното количество, посочено в таблицата по-горе и съответстващо на годината на датата, посочена в точка 2 от настоящото ПРИЛОЖЕНИЕ, намалено с количеството на тези останали стоки, внесени в рамките на ТК по СТРС и настоящото споразумение в периода от 1 януари на същата календарна година до датата, посочена в точка 2 от настоящото ПРИЛОЖЕНИЕ.</w:t>
      </w:r>
    </w:p>
    <w:p>
      <w:pPr>
        <w:pStyle w:val="Text3"/>
        <w:rPr>
          <w:rFonts w:eastAsia="Batang"/>
          <w:noProof/>
        </w:rPr>
      </w:pPr>
      <w:r>
        <w:rPr>
          <w:noProof/>
        </w:rPr>
        <w:t>За всяка следваща календарна година количеството в рамките на ТК се увеличава със 70,5 метрични тона годишно, с изключение на периода от десет (10) календарни години, считано от календарната година, следваща датата, посочена в точка 2 от настоящото ПРИЛОЖЕНИЕ, през който период количеството в рамките на ТК се увеличава допълнително с 46,5 метрични тона годишно, което означава годишно увеличение от 117,0 метрични тона.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н)</w:t>
      </w:r>
      <w:r>
        <w:rPr>
          <w:noProof/>
        </w:rPr>
        <w:tab/>
      </w:r>
      <w:r>
        <w:rPr>
          <w:i/>
          <w:noProof/>
        </w:rPr>
        <w:t>[активна мая]</w:t>
      </w:r>
      <w:r>
        <w:rPr>
          <w:noProof/>
        </w:rPr>
        <w:t xml:space="preserve"> Сумарното количество на стоки с произход от поетапна категория „R*“, което е разрешено да бъде внасяно безмитно всяка календарна година, считано от датата, посочена в точка 2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</w:tblGrid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350</w:t>
            </w:r>
          </w:p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</w:tbl>
    <w:p>
      <w:pPr>
        <w:pStyle w:val="Text2"/>
        <w:rPr>
          <w:noProof/>
          <w:szCs w:val="24"/>
        </w:rPr>
      </w:pPr>
      <w:r>
        <w:rPr>
          <w:noProof/>
        </w:rPr>
        <w:t>В случай че датата, посочена в точка 2 от настоящото ПРИЛОЖЕНИЕ, съответства на дата след 1 януари, но преди 31 декември на същата календарна година, количеството по ТК, което е приложимо за останалата част от въпросната календарна година, се намалява пропорционално на оставащия брой дни в рамките на посочената календарна година.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о)</w:t>
      </w:r>
      <w:r>
        <w:rPr>
          <w:noProof/>
        </w:rPr>
        <w:tab/>
      </w:r>
      <w:r>
        <w:rPr>
          <w:i/>
          <w:noProof/>
        </w:rPr>
        <w:t xml:space="preserve">[вина] 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  <w:u w:val="single"/>
        </w:rPr>
        <w:t>1. Либерализирани вина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Митата върху стоките с произход, които са предвидени в позициите от поетапни категории „S“ и „S*“ и които:</w:t>
      </w:r>
    </w:p>
    <w:p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са с действително алкохолно съдържание по обем, превишаващо 18 %, или </w:t>
      </w:r>
    </w:p>
    <w:p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са с действително алкохолно съдържание по обем, непревишаващо 13 %, и са различни от белите вина, както и от тези в съдове с вместимост 2 литра или по-малко, </w:t>
      </w:r>
    </w:p>
    <w:p>
      <w:pPr>
        <w:pStyle w:val="Text2"/>
        <w:rPr>
          <w:noProof/>
        </w:rPr>
      </w:pPr>
      <w:r>
        <w:rPr>
          <w:noProof/>
        </w:rPr>
        <w:t xml:space="preserve">се премахват, а тези стоки се разрешава да бъдат внасяни безмитно, считано от датата, посочена в точка 1 от настоящото ПРИЛОЖЕНИЕ. </w:t>
      </w:r>
    </w:p>
    <w:p>
      <w:pPr>
        <w:pStyle w:val="Text2"/>
        <w:rPr>
          <w:rFonts w:eastAsia="Batang"/>
          <w:noProof/>
          <w:szCs w:val="24"/>
          <w:u w:val="single"/>
        </w:rPr>
      </w:pPr>
      <w:r>
        <w:rPr>
          <w:noProof/>
          <w:u w:val="single"/>
        </w:rPr>
        <w:t>2. ТК по СТРС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Сумарното количество на стоките с произход от поетапна категория „S“, различни от либерализираните вина и чието действително алкохолно съдържание по обем не превишава 15 %, което е разрешено да бъде внасяно безмитно всяка календарна година, считано от датата, посочена в точка 1 от настоящото ПРИЛОЖЕНИЕ, до датата, посочена в точка 2 от настоящото ПРИЛОЖЕНИЕ, е уточнено по-долу: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164"/>
        <w:gridCol w:w="1684"/>
      </w:tblGrid>
      <w:tr>
        <w:trPr>
          <w:jc w:val="center"/>
        </w:trPr>
        <w:tc>
          <w:tcPr>
            <w:tcW w:w="1275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116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 xml:space="preserve">Количество </w:t>
            </w:r>
          </w:p>
        </w:tc>
      </w:tr>
      <w:tr>
        <w:trPr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литри)</w:t>
            </w:r>
          </w:p>
        </w:tc>
      </w:tr>
      <w:tr>
        <w:trPr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2015 г.</w:t>
            </w:r>
          </w:p>
        </w:tc>
        <w:tc>
          <w:tcPr>
            <w:tcW w:w="116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49 067 000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2016 г.</w:t>
            </w:r>
          </w:p>
        </w:tc>
        <w:tc>
          <w:tcPr>
            <w:tcW w:w="116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50 126 000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2017 г.</w:t>
            </w:r>
          </w:p>
        </w:tc>
        <w:tc>
          <w:tcPr>
            <w:tcW w:w="116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51 185 000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2018 г.</w:t>
            </w:r>
          </w:p>
        </w:tc>
        <w:tc>
          <w:tcPr>
            <w:tcW w:w="116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52 244 000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2019 г.</w:t>
            </w:r>
          </w:p>
        </w:tc>
        <w:tc>
          <w:tcPr>
            <w:tcW w:w="116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53 303 000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2020 г.</w:t>
            </w:r>
          </w:p>
        </w:tc>
        <w:tc>
          <w:tcPr>
            <w:tcW w:w="116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</w:p>
        </w:tc>
        <w:tc>
          <w:tcPr>
            <w:tcW w:w="1684" w:type="dxa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54 362 000</w:t>
            </w:r>
          </w:p>
        </w:tc>
      </w:tr>
    </w:tbl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След 2020 г. количеството в рамките на квотата се увеличава с 1 059 000 литра годишно.</w:t>
      </w:r>
    </w:p>
    <w:p>
      <w:pPr>
        <w:pStyle w:val="Text2"/>
        <w:rPr>
          <w:rFonts w:eastAsia="Batang"/>
          <w:noProof/>
          <w:szCs w:val="24"/>
          <w:u w:val="single"/>
        </w:rPr>
      </w:pPr>
      <w:r>
        <w:rPr>
          <w:noProof/>
          <w:u w:val="single"/>
        </w:rPr>
        <w:t>3. ТК, приложима след датата, посочена в точка 2 на настоящото ПРИЛОЖЕНИЕ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Сумарното количество на стоки с произход от поетапни категории „S“ и „S*“, различни от либерализираните вина, което е разрешено да бъде внасяно безмитно всяка календарна година, считано от датата, посочена в точка 2 от настоящото ПРИЛОЖЕНИЕ, е уточнено по-долу: </w:t>
      </w:r>
    </w:p>
    <w:tbl>
      <w:tblPr>
        <w:tblpPr w:leftFromText="180" w:rightFromText="180" w:vertAnchor="text" w:horzAnchor="margin" w:tblpXSpec="center" w:tblpY="46"/>
        <w:tblW w:w="7384" w:type="dxa"/>
        <w:tblLook w:val="04A0" w:firstRow="1" w:lastRow="0" w:firstColumn="1" w:lastColumn="0" w:noHBand="0" w:noVBand="1"/>
      </w:tblPr>
      <w:tblGrid>
        <w:gridCol w:w="961"/>
        <w:gridCol w:w="3602"/>
        <w:gridCol w:w="2821"/>
      </w:tblGrid>
      <w:tr>
        <w:tc>
          <w:tcPr>
            <w:tcW w:w="828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  <w:tc>
          <w:tcPr>
            <w:tcW w:w="3676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  <w:u w:val="single"/>
              </w:rPr>
            </w:pPr>
            <w:r>
              <w:rPr>
                <w:noProof/>
                <w:u w:val="single"/>
              </w:rPr>
              <w:t>Квота за вина A:</w:t>
            </w:r>
          </w:p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 вино в съдове с вместимост, непревишаваща 2 l</w:t>
            </w:r>
          </w:p>
        </w:tc>
        <w:tc>
          <w:tcPr>
            <w:tcW w:w="2880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  <w:u w:val="single"/>
              </w:rPr>
            </w:pPr>
            <w:r>
              <w:rPr>
                <w:noProof/>
                <w:u w:val="single"/>
              </w:rPr>
              <w:t>Квота за вина B:</w:t>
            </w:r>
          </w:p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 вино в съдове с каквато и да е вместимост</w:t>
            </w:r>
          </w:p>
        </w:tc>
      </w:tr>
      <w:t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литри)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литри)</w:t>
            </w:r>
          </w:p>
        </w:tc>
      </w:tr>
      <w:t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77 000 000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33 000 000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77 741 300</w:t>
            </w:r>
          </w:p>
        </w:tc>
        <w:tc>
          <w:tcPr>
            <w:tcW w:w="2880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33 317 700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78 482 600</w:t>
            </w:r>
          </w:p>
        </w:tc>
        <w:tc>
          <w:tcPr>
            <w:tcW w:w="2880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33 635 400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3676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79 223 900</w:t>
            </w:r>
          </w:p>
        </w:tc>
        <w:tc>
          <w:tcPr>
            <w:tcW w:w="2880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33 953 100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5</w:t>
            </w:r>
          </w:p>
        </w:tc>
        <w:tc>
          <w:tcPr>
            <w:tcW w:w="3676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79 965 200</w:t>
            </w:r>
          </w:p>
        </w:tc>
        <w:tc>
          <w:tcPr>
            <w:tcW w:w="2880" w:type="dxa"/>
            <w:shd w:val="clear" w:color="auto" w:fill="auto"/>
          </w:tcPr>
          <w:p>
            <w:pPr>
              <w:contextualSpacing/>
              <w:jc w:val="center"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34 270 800</w:t>
            </w:r>
          </w:p>
        </w:tc>
      </w:tr>
    </w:tbl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Всяка календарна година след това ТК се увеличава годишно със 741 300 литра за продукти от квота за вина A и с 317 700 литра за продукти от квота за вина B.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 xml:space="preserve">От 1 септември всяка година продуктите в съдове с каквато и да е вместимост могат да бъдат внасяни в рамките на квота за вина A за останалата част от календарната година. </w:t>
      </w:r>
    </w:p>
    <w:p>
      <w:pPr>
        <w:pStyle w:val="Text2"/>
        <w:rPr>
          <w:noProof/>
          <w:szCs w:val="24"/>
        </w:rPr>
      </w:pPr>
      <w:r>
        <w:rPr>
          <w:noProof/>
        </w:rPr>
        <w:t>В случай че датата, посочена в точка 2 от настоящото ПРИЛОЖЕНИЕ, съответства на дата след 1 януари, но преди 31 декември на същата календарна година, общото количество вино по квота за вина A и квота за вина B за останалата част от посочената година е сбор от: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количеството на ТК по СТРС през посочената календарна година, намалено с количеството, внесено в рамките на квотата преди датата, посочена в точка 2 от настоящото ПРИЛОЖЕНИЕ; и</w:t>
      </w:r>
    </w:p>
    <w:p>
      <w:pPr>
        <w:pStyle w:val="Point2"/>
        <w:rPr>
          <w:strike/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110 милиона литра, намалени с количеството на ТК по СТРС през посочената календарна година, като получената разлика се намалява пропорционално на оставащия брой дни в рамките на същата календарна година.</w:t>
      </w:r>
    </w:p>
    <w:p>
      <w:pPr>
        <w:pStyle w:val="Text2"/>
        <w:rPr>
          <w:rFonts w:eastAsia="Batang"/>
          <w:noProof/>
          <w:szCs w:val="24"/>
        </w:rPr>
      </w:pPr>
      <w:r>
        <w:rPr>
          <w:noProof/>
        </w:rPr>
        <w:t>В случай че датата, посочена в точка 2 от настоящото ПРИЛОЖЕНИЕ, е преди 31 август на посочената календарна година, количеството на ТК по-горе се разделя между квота за вина A и квота за вина B в същото съотношение като указаното в таблицата по-горе за година 1 (70:30) до 31 август на същата година. От 1 септември на посочената година продуктите в съдове с каквато и да е вместимост могат да бъдат внасяни в рамките на квота за вина A за останалата част от същата година.</w:t>
      </w:r>
    </w:p>
    <w:p>
      <w:pPr>
        <w:pStyle w:val="Text2"/>
        <w:rPr>
          <w:noProof/>
          <w:szCs w:val="24"/>
        </w:rPr>
      </w:pPr>
      <w:r>
        <w:rPr>
          <w:noProof/>
        </w:rPr>
        <w:t>Без да се засягат разпоредбите на точка 11 от настоящото ПРИЛОЖЕНИЕ, може да бъдат преразгледани както разпределените количества по квоти за вина A и B, така и датата, от която вино в съдове с каквато и да е вместимост може да бъде внасяно в рамките на квота за вина A.</w:t>
      </w:r>
    </w:p>
    <w:p>
      <w:pPr>
        <w:pStyle w:val="Point1"/>
        <w:rPr>
          <w:rFonts w:eastAsia="Batang"/>
          <w:noProof/>
          <w:szCs w:val="24"/>
        </w:rPr>
      </w:pPr>
      <w:r>
        <w:rPr>
          <w:noProof/>
        </w:rPr>
        <w:t>п)</w:t>
      </w:r>
      <w:r>
        <w:rPr>
          <w:noProof/>
        </w:rPr>
        <w:tab/>
      </w:r>
      <w:r>
        <w:rPr>
          <w:i/>
          <w:noProof/>
        </w:rPr>
        <w:t>[етанол]</w:t>
      </w:r>
      <w:r>
        <w:rPr>
          <w:noProof/>
        </w:rPr>
        <w:t xml:space="preserve"> Сумарното количество на стоки с произход от поетапна категория „T*“, което е разрешено да бъде внасяно безмитно всяка календарна година, считано от датата, посочена в точка 2 от настоящото ПРИЛОЖЕНИЕ, е уточнено по-долу: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</w:tblGrid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Количество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(в метрични тонове)</w:t>
            </w:r>
          </w:p>
        </w:tc>
      </w:tr>
      <w:tr>
        <w:trPr>
          <w:jc w:val="center"/>
        </w:trPr>
        <w:tc>
          <w:tcPr>
            <w:tcW w:w="17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contextualSpacing/>
              <w:rPr>
                <w:rFonts w:eastAsia="Batang"/>
                <w:noProof/>
                <w:szCs w:val="24"/>
              </w:rPr>
            </w:pPr>
            <w:r>
              <w:rPr>
                <w:noProof/>
              </w:rPr>
              <w:t>80 000</w:t>
            </w:r>
          </w:p>
        </w:tc>
      </w:tr>
    </w:tbl>
    <w:p>
      <w:pPr>
        <w:pStyle w:val="Text2"/>
        <w:rPr>
          <w:noProof/>
          <w:szCs w:val="24"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>
        <w:rPr>
          <w:noProof/>
        </w:rPr>
        <w:t>В случай че датата, посочена в точка 2 от настоящото ПРИЛОЖЕНИЕ, съответства на дата след 1 януари, но преди 31 декември на същата календарна година, количеството по ТК, което е приложимо за останалата част от въпросната календарна година, се намалява пропорционално на оставащия брой дни в рамките на посочената календарна година</w:t>
      </w:r>
      <w:r>
        <w:rPr>
          <w:noProof/>
          <w:szCs w:val="24"/>
        </w:rPr>
        <w:t>.</w:t>
      </w:r>
    </w:p>
    <w:p>
      <w:pPr>
        <w:jc w:val="center"/>
        <w:rPr>
          <w:b/>
          <w:noProof/>
        </w:rPr>
      </w:pPr>
      <w:r>
        <w:rPr>
          <w:b/>
          <w:noProof/>
        </w:rPr>
        <w:t>ЧАСТ II</w:t>
      </w:r>
    </w:p>
    <w:p>
      <w:pPr>
        <w:jc w:val="center"/>
        <w:rPr>
          <w:b/>
          <w:noProof/>
        </w:rPr>
      </w:pPr>
      <w:r>
        <w:rPr>
          <w:b/>
          <w:noProof/>
        </w:rPr>
        <w:t>ГРАФИК ЗА ПРЕМАХВАНЕ НА МИТАТА НА ЕС</w:t>
      </w:r>
    </w:p>
    <w:p>
      <w:pPr>
        <w:jc w:val="center"/>
        <w:rPr>
          <w:b/>
          <w:noProof/>
        </w:rPr>
      </w:pPr>
      <w:r>
        <w:rPr>
          <w:b/>
          <w:noProof/>
        </w:rPr>
        <w:t>Връзка с Комбинираната номенклатура (КН) на Европейската общност</w:t>
      </w:r>
    </w:p>
    <w:p>
      <w:pPr>
        <w:rPr>
          <w:rFonts w:eastAsia="Batang"/>
          <w:noProof/>
          <w:szCs w:val="24"/>
        </w:rPr>
      </w:pPr>
      <w:r>
        <w:rPr>
          <w:noProof/>
        </w:rPr>
        <w:t>Разпоредбите на настоящия график в общия случай са формулирани при използване на терминологията от КН, като тълкуването на разпоредбите на настоящия график, включително продуктовият обхват на подпозициите от настоящия график, се урежда от общите забележки и забележките към разделите и главите от КН. Доколкото са идентични със съответните разпоредби на КН, разпоредбите на настоящия график имат същото значение като съответните разпоредби на КН.</w:t>
      </w:r>
    </w:p>
    <w:p>
      <w:pPr>
        <w:rPr>
          <w:rFonts w:eastAsia="Batang"/>
          <w:noProof/>
          <w:szCs w:val="24"/>
          <w:lang w:eastAsia="zh-TW"/>
        </w:rPr>
      </w:pPr>
      <w:r>
        <w:rPr>
          <w:b/>
          <w:noProof/>
        </w:rPr>
        <w:t>[Графикът на ЕС и допълнението към него да бъдат поместени тук]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B4E5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B6D9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AACA2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60B2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0873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742A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5B8D85E"/>
    <w:lvl w:ilvl="0">
      <w:start w:val="1"/>
      <w:numFmt w:val="decimal"/>
      <w:pStyle w:val="ListNumberLeve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3700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11675D7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4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5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7">
    <w:nsid w:val="39053DE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40C33EEF"/>
    <w:multiLevelType w:val="hybridMultilevel"/>
    <w:tmpl w:val="3A203E1A"/>
    <w:lvl w:ilvl="0" w:tplc="1F961EDC">
      <w:start w:val="1"/>
      <w:numFmt w:val="bullet"/>
      <w:pStyle w:val="Briefinglis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8">
    <w:nsid w:val="596D67A1"/>
    <w:multiLevelType w:val="singleLevel"/>
    <w:tmpl w:val="9AC8831A"/>
    <w:name w:val="List Number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3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name w:val="List Bullet 3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9"/>
  </w:num>
  <w:num w:numId="11">
    <w:abstractNumId w:val="38"/>
  </w:num>
  <w:num w:numId="12">
    <w:abstractNumId w:val="11"/>
  </w:num>
  <w:num w:numId="13">
    <w:abstractNumId w:val="25"/>
  </w:num>
  <w:num w:numId="14">
    <w:abstractNumId w:val="18"/>
  </w:num>
  <w:num w:numId="15">
    <w:abstractNumId w:val="20"/>
  </w:num>
  <w:num w:numId="16">
    <w:abstractNumId w:val="35"/>
  </w:num>
  <w:num w:numId="17">
    <w:abstractNumId w:val="15"/>
  </w:num>
  <w:num w:numId="18">
    <w:abstractNumId w:val="8"/>
  </w:num>
  <w:num w:numId="19">
    <w:abstractNumId w:val="21"/>
  </w:num>
  <w:num w:numId="20">
    <w:abstractNumId w:val="32"/>
  </w:num>
  <w:num w:numId="21">
    <w:abstractNumId w:val="28"/>
  </w:num>
  <w:num w:numId="22">
    <w:abstractNumId w:val="36"/>
  </w:num>
  <w:num w:numId="23">
    <w:abstractNumId w:val="40"/>
  </w:num>
  <w:num w:numId="24">
    <w:abstractNumId w:val="37"/>
  </w:num>
  <w:num w:numId="25">
    <w:abstractNumId w:val="17"/>
  </w:num>
  <w:num w:numId="26">
    <w:abstractNumId w:val="9"/>
  </w:num>
  <w:num w:numId="27">
    <w:abstractNumId w:val="22"/>
  </w:num>
  <w:num w:numId="28">
    <w:abstractNumId w:val="30"/>
    <w:lvlOverride w:ilvl="0">
      <w:startOverride w:val="1"/>
    </w:lvlOverride>
  </w:num>
  <w:num w:numId="29">
    <w:abstractNumId w:val="31"/>
  </w:num>
  <w:num w:numId="30">
    <w:abstractNumId w:val="23"/>
  </w:num>
  <w:num w:numId="31">
    <w:abstractNumId w:val="34"/>
  </w:num>
  <w:num w:numId="32">
    <w:abstractNumId w:val="14"/>
  </w:num>
  <w:num w:numId="33">
    <w:abstractNumId w:val="24"/>
  </w:num>
  <w:num w:numId="34">
    <w:abstractNumId w:val="12"/>
  </w:num>
  <w:num w:numId="35">
    <w:abstractNumId w:val="33"/>
  </w:num>
  <w:num w:numId="36">
    <w:abstractNumId w:val="10"/>
  </w:num>
  <w:num w:numId="37">
    <w:abstractNumId w:val="26"/>
  </w:num>
  <w:num w:numId="38">
    <w:abstractNumId w:val="29"/>
  </w:num>
  <w:num w:numId="39">
    <w:abstractNumId w:val="30"/>
  </w:num>
  <w:num w:numId="40">
    <w:abstractNumId w:val="13"/>
  </w:num>
  <w:num w:numId="41">
    <w:abstractNumId w:val="27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1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3 15:54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70C7214F3745466F99C150BEB48928A1"/>
    <w:docVar w:name="LW_CROSSREFERENCE" w:val="&lt;UNUSED&gt;"/>
    <w:docVar w:name="LW_DocType" w:val="ANNEX"/>
    <w:docVar w:name="LW_EMISSION" w:val="22.1.2016"/>
    <w:docVar w:name="LW_EMISSION_ISODATE" w:val="2016-01-2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 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 "/>
    <w:docVar w:name="LW_PART_NBR" w:val="1"/>
    <w:docVar w:name="LW_PART_NBR_TOTAL" w:val="8"/>
    <w:docVar w:name="LW_REF.INST.NEW" w:val="COM"/>
    <w:docVar w:name="LW_REF.INST.NEW_ADOPTED" w:val="final"/>
    <w:docVar w:name="LW_REF.INST.NEW_TEXT" w:val="(2016) 18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HTML Sample" w:uiPriority="99"/>
    <w:lsdException w:name="Normal Table" w:uiPriority="99"/>
    <w:lsdException w:name="No List" w:uiPriority="99"/>
    <w:lsdException w:name="Outline List 3" w:uiPriority="99"/>
    <w:lsdException w:name="Table Colorful 2" w:uiPriority="99"/>
    <w:lsdException w:name="Table Web 2" w:uiPriority="99"/>
    <w:lsdException w:name="Table Web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  <w:lang w:val="x-none" w:eastAsia="fr-B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  <w:lang w:val="x-none" w:eastAsia="fr-B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  <w:lang w:val="x-none" w:eastAsia="fr-B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fr-BE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  <w:lang w:val="x-none"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">
    <w:name w:val="List Number"/>
    <w:basedOn w:val="Normal"/>
    <w:unhideWhenUsed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Cs w:val="20"/>
      <w:lang w:val="x-none" w:eastAsia="fr-BE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i/>
      <w:szCs w:val="20"/>
      <w:lang w:val="x-none" w:eastAsia="fr-BE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sz w:val="20"/>
      <w:szCs w:val="20"/>
      <w:lang w:val="x-none" w:eastAsia="fr-BE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i/>
      <w:sz w:val="20"/>
      <w:szCs w:val="20"/>
      <w:lang w:val="x-none" w:eastAsia="fr-BE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i/>
      <w:sz w:val="18"/>
      <w:szCs w:val="20"/>
      <w:lang w:val="x-none" w:eastAsia="fr-BE"/>
    </w:r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  <w:lang w:eastAsia="fr-BE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5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  <w:lang w:eastAsia="fr-BE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14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6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8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dash">
    <w:name w:val="Par-dash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  <w:lang w:eastAsia="fr-BE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7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  <w:lang w:val="x-none" w:eastAsia="fr-BE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/>
      <w:sz w:val="24"/>
      <w:szCs w:val="20"/>
      <w:lang w:val="x-none" w:eastAsia="fr-BE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  <w:lang w:eastAsia="fr-BE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9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/>
      <w:szCs w:val="20"/>
      <w:lang w:val="x-none" w:eastAsia="fr-BE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/>
      <w:sz w:val="24"/>
      <w:szCs w:val="20"/>
      <w:shd w:val="clear" w:color="auto" w:fill="000080"/>
      <w:lang w:val="x-none" w:eastAsia="fr-B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ListBullet1">
    <w:name w:val="List Bullet 1"/>
    <w:basedOn w:val="Normal"/>
    <w:rPr>
      <w:rFonts w:eastAsia="Times New Roman"/>
      <w:szCs w:val="24"/>
      <w:lang w:eastAsia="de-DE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pPr>
      <w:numPr>
        <w:ilvl w:val="1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pPr>
      <w:numPr>
        <w:ilvl w:val="3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styleId="ListBullet5">
    <w:name w:val="List Bullet 5"/>
    <w:basedOn w:val="Normal"/>
    <w:autoRedefine/>
    <w:pPr>
      <w:tabs>
        <w:tab w:val="num" w:pos="1134"/>
        <w:tab w:val="num" w:pos="1492"/>
        <w:tab w:val="num" w:pos="2551"/>
      </w:tabs>
      <w:spacing w:before="0" w:after="240"/>
      <w:ind w:left="1492" w:hanging="360"/>
    </w:pPr>
    <w:rPr>
      <w:rFonts w:eastAsia="Times New Roman"/>
      <w:szCs w:val="20"/>
      <w:lang w:eastAsia="en-US"/>
    </w:rPr>
  </w:style>
  <w:style w:type="paragraph" w:styleId="ListNumber5">
    <w:name w:val="List Number 5"/>
    <w:basedOn w:val="Normal"/>
    <w:pPr>
      <w:tabs>
        <w:tab w:val="num" w:pos="1134"/>
        <w:tab w:val="num" w:pos="1492"/>
        <w:tab w:val="num" w:pos="3118"/>
      </w:tabs>
      <w:spacing w:before="0" w:after="240"/>
      <w:ind w:left="1492" w:hanging="360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Titrearticle"/>
    <w:rPr>
      <w:rFonts w:eastAsia="Times New Roman"/>
      <w:szCs w:val="24"/>
      <w:lang w:eastAsia="de-DE"/>
    </w:rPr>
  </w:style>
  <w:style w:type="paragraph" w:styleId="BlockText">
    <w:name w:val="Block Text"/>
    <w:basedOn w:val="Normal"/>
    <w:pPr>
      <w:ind w:left="1440" w:right="1440"/>
    </w:pPr>
    <w:rPr>
      <w:rFonts w:eastAsia="Times New Roman"/>
      <w:szCs w:val="24"/>
      <w:lang w:eastAsia="de-DE"/>
    </w:rPr>
  </w:style>
  <w:style w:type="paragraph" w:styleId="BodyText">
    <w:name w:val="Body Text"/>
    <w:basedOn w:val="Normal"/>
    <w:link w:val="BodyTextChar"/>
    <w:rPr>
      <w:rFonts w:eastAsia="Times New Roman"/>
      <w:szCs w:val="24"/>
      <w:lang w:val="x-none" w:eastAsia="de-D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2">
    <w:name w:val="Body Text 2"/>
    <w:basedOn w:val="Normal"/>
    <w:link w:val="BodyText2Char"/>
    <w:pPr>
      <w:spacing w:line="480" w:lineRule="auto"/>
    </w:pPr>
    <w:rPr>
      <w:rFonts w:eastAsia="Times New Roman"/>
      <w:szCs w:val="24"/>
      <w:lang w:val="x-none" w:eastAsia="de-DE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3">
    <w:name w:val="Body Text 3"/>
    <w:basedOn w:val="Normal"/>
    <w:link w:val="BodyText3Char"/>
    <w:rPr>
      <w:rFonts w:eastAsia="Times New Roman"/>
      <w:sz w:val="16"/>
      <w:szCs w:val="16"/>
      <w:lang w:val="x-none" w:eastAsia="de-DE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/>
      <w:sz w:val="16"/>
      <w:szCs w:val="16"/>
      <w:lang w:val="x-none" w:eastAsia="de-DE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">
    <w:name w:val="Body Text Indent"/>
    <w:basedOn w:val="Normal"/>
    <w:link w:val="BodyTextIndentChar"/>
    <w:pPr>
      <w:ind w:left="283"/>
    </w:pPr>
    <w:rPr>
      <w:rFonts w:eastAsia="Times New Roman"/>
      <w:szCs w:val="24"/>
      <w:lang w:val="x-none" w:eastAsia="de-DE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283"/>
    </w:pPr>
    <w:rPr>
      <w:rFonts w:eastAsia="Times New Roman"/>
      <w:szCs w:val="24"/>
      <w:lang w:val="x-none" w:eastAsia="de-DE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3">
    <w:name w:val="Body Text Indent 3"/>
    <w:basedOn w:val="Normal"/>
    <w:link w:val="BodyTextIndent3Char"/>
    <w:pPr>
      <w:ind w:left="283"/>
    </w:pPr>
    <w:rPr>
      <w:rFonts w:eastAsia="Times New Roman"/>
      <w:sz w:val="16"/>
      <w:szCs w:val="16"/>
      <w:lang w:val="x-none" w:eastAsia="de-DE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/>
      <w:sz w:val="16"/>
      <w:szCs w:val="16"/>
      <w:lang w:val="x-none" w:eastAsia="de-DE"/>
    </w:rPr>
  </w:style>
  <w:style w:type="paragraph" w:styleId="Closing">
    <w:name w:val="Closing"/>
    <w:basedOn w:val="Normal"/>
    <w:link w:val="ClosingChar"/>
    <w:pPr>
      <w:ind w:left="4252"/>
    </w:pPr>
    <w:rPr>
      <w:rFonts w:eastAsia="Times New Roman"/>
      <w:szCs w:val="24"/>
      <w:lang w:val="x-none" w:eastAsia="de-DE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Date">
    <w:name w:val="Date"/>
    <w:basedOn w:val="Normal"/>
    <w:next w:val="Normal"/>
    <w:link w:val="DateChar"/>
    <w:rPr>
      <w:rFonts w:eastAsia="Times New Roman"/>
      <w:szCs w:val="24"/>
      <w:lang w:val="x-none" w:eastAsia="de-DE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E-mailSignature">
    <w:name w:val="E-mail Signature"/>
    <w:basedOn w:val="Normal"/>
    <w:link w:val="E-mailSignatureChar"/>
    <w:semiHidden/>
    <w:rPr>
      <w:rFonts w:eastAsia="Times New Roman"/>
      <w:szCs w:val="24"/>
      <w:lang w:eastAsia="de-DE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eastAsia="Times New Roman" w:hAnsi="Times New Roman"/>
      <w:sz w:val="24"/>
      <w:szCs w:val="24"/>
      <w:lang w:eastAsia="de-DE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Cs w:val="24"/>
      <w:lang w:eastAsia="de-DE"/>
    </w:rPr>
  </w:style>
  <w:style w:type="paragraph" w:styleId="EnvelopeReturn">
    <w:name w:val="envelope return"/>
    <w:basedOn w:val="Normal"/>
    <w:rPr>
      <w:rFonts w:ascii="Arial" w:eastAsia="Times New Roman" w:hAnsi="Arial" w:cs="Arial"/>
      <w:sz w:val="20"/>
      <w:szCs w:val="20"/>
      <w:lang w:eastAsia="de-DE"/>
    </w:rPr>
  </w:style>
  <w:style w:type="character" w:styleId="HTMLAcronym">
    <w:name w:val="HTML Acronym"/>
    <w:semiHidden/>
    <w:rPr>
      <w:rFonts w:cs="Times New Roman"/>
    </w:rPr>
  </w:style>
  <w:style w:type="paragraph" w:styleId="HTMLAddress">
    <w:name w:val="HTML Address"/>
    <w:basedOn w:val="Normal"/>
    <w:link w:val="HTMLAddressChar"/>
    <w:semiHidden/>
    <w:rPr>
      <w:rFonts w:eastAsia="Times New Roman"/>
      <w:i/>
      <w:iCs/>
      <w:szCs w:val="24"/>
      <w:lang w:eastAsia="de-DE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styleId="HTMLCite">
    <w:name w:val="HTML Cite"/>
    <w:semiHidden/>
    <w:rPr>
      <w:rFonts w:cs="Times New Roman"/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rFonts w:cs="Times New Roman"/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rFonts w:cs="Times New Roman"/>
      <w:i/>
      <w:iCs/>
    </w:rPr>
  </w:style>
  <w:style w:type="character" w:styleId="LineNumber">
    <w:name w:val="line number"/>
    <w:semiHidden/>
    <w:rPr>
      <w:rFonts w:cs="Times New Roman"/>
    </w:rPr>
  </w:style>
  <w:style w:type="paragraph" w:styleId="List">
    <w:name w:val="List"/>
    <w:basedOn w:val="Normal"/>
    <w:pPr>
      <w:ind w:left="283" w:hanging="283"/>
    </w:pPr>
    <w:rPr>
      <w:rFonts w:eastAsia="Times New Roman"/>
      <w:szCs w:val="24"/>
      <w:lang w:eastAsia="de-DE"/>
    </w:rPr>
  </w:style>
  <w:style w:type="paragraph" w:styleId="List2">
    <w:name w:val="List 2"/>
    <w:basedOn w:val="Normal"/>
    <w:pPr>
      <w:ind w:left="566" w:hanging="283"/>
    </w:pPr>
    <w:rPr>
      <w:rFonts w:eastAsia="Times New Roman"/>
      <w:szCs w:val="24"/>
      <w:lang w:eastAsia="de-DE"/>
    </w:rPr>
  </w:style>
  <w:style w:type="paragraph" w:styleId="List3">
    <w:name w:val="List 3"/>
    <w:basedOn w:val="Normal"/>
    <w:pPr>
      <w:ind w:left="849" w:hanging="283"/>
    </w:pPr>
    <w:rPr>
      <w:rFonts w:eastAsia="Times New Roman"/>
      <w:szCs w:val="24"/>
      <w:lang w:eastAsia="de-DE"/>
    </w:rPr>
  </w:style>
  <w:style w:type="paragraph" w:styleId="List4">
    <w:name w:val="List 4"/>
    <w:basedOn w:val="Normal"/>
    <w:pPr>
      <w:ind w:left="1132" w:hanging="283"/>
    </w:pPr>
    <w:rPr>
      <w:rFonts w:eastAsia="Times New Roman"/>
      <w:szCs w:val="24"/>
      <w:lang w:eastAsia="de-DE"/>
    </w:rPr>
  </w:style>
  <w:style w:type="paragraph" w:styleId="List5">
    <w:name w:val="List 5"/>
    <w:basedOn w:val="Normal"/>
    <w:pPr>
      <w:ind w:left="1415" w:hanging="283"/>
    </w:pPr>
    <w:rPr>
      <w:rFonts w:eastAsia="Times New Roman"/>
      <w:szCs w:val="24"/>
      <w:lang w:eastAsia="de-DE"/>
    </w:rPr>
  </w:style>
  <w:style w:type="paragraph" w:styleId="ListContinue">
    <w:name w:val="List Continue"/>
    <w:basedOn w:val="Normal"/>
    <w:pPr>
      <w:ind w:left="283"/>
    </w:pPr>
    <w:rPr>
      <w:rFonts w:eastAsia="Times New Roman"/>
      <w:szCs w:val="24"/>
      <w:lang w:eastAsia="de-DE"/>
    </w:rPr>
  </w:style>
  <w:style w:type="paragraph" w:styleId="ListContinue2">
    <w:name w:val="List Continue 2"/>
    <w:basedOn w:val="Normal"/>
    <w:pPr>
      <w:ind w:left="566"/>
    </w:pPr>
    <w:rPr>
      <w:rFonts w:eastAsia="Times New Roman"/>
      <w:szCs w:val="24"/>
      <w:lang w:eastAsia="de-DE"/>
    </w:rPr>
  </w:style>
  <w:style w:type="paragraph" w:styleId="ListContinue3">
    <w:name w:val="List Continue 3"/>
    <w:basedOn w:val="Normal"/>
    <w:pPr>
      <w:ind w:left="849"/>
    </w:pPr>
    <w:rPr>
      <w:rFonts w:eastAsia="Times New Roman"/>
      <w:szCs w:val="24"/>
      <w:lang w:eastAsia="de-DE"/>
    </w:rPr>
  </w:style>
  <w:style w:type="paragraph" w:styleId="ListContinue4">
    <w:name w:val="List Continue 4"/>
    <w:basedOn w:val="Normal"/>
    <w:pPr>
      <w:ind w:left="1132"/>
    </w:pPr>
    <w:rPr>
      <w:rFonts w:eastAsia="Times New Roman"/>
      <w:szCs w:val="24"/>
      <w:lang w:eastAsia="de-DE"/>
    </w:rPr>
  </w:style>
  <w:style w:type="paragraph" w:styleId="ListContinue5">
    <w:name w:val="List Continue 5"/>
    <w:basedOn w:val="Normal"/>
    <w:pPr>
      <w:ind w:left="1415"/>
    </w:pPr>
    <w:rPr>
      <w:rFonts w:eastAsia="Times New Roman"/>
      <w:szCs w:val="24"/>
      <w:lang w:eastAsia="de-DE"/>
    </w:rPr>
  </w:style>
  <w:style w:type="character" w:styleId="Strong">
    <w:name w:val="Strong"/>
    <w:qFormat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eastAsia="Times New Roman" w:hAnsi="Arial"/>
      <w:szCs w:val="24"/>
      <w:lang w:val="x-none" w:eastAsia="de-DE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/>
      <w:sz w:val="24"/>
      <w:szCs w:val="24"/>
      <w:lang w:val="x-none" w:eastAsia="de-DE"/>
    </w:rPr>
  </w:style>
  <w:style w:type="table" w:styleId="Table3Deffects1">
    <w:name w:val="Table 3D effects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color w:val="000080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Heading3"/>
    <w:next w:val="Normal"/>
    <w:pPr>
      <w:numPr>
        <w:ilvl w:val="0"/>
        <w:numId w:val="0"/>
      </w:numPr>
      <w:jc w:val="center"/>
    </w:pPr>
    <w:rPr>
      <w:rFonts w:eastAsia="Times New Roman"/>
      <w:b/>
      <w:szCs w:val="26"/>
      <w:lang w:val="x-none" w:eastAsia="de-DE"/>
    </w:rPr>
  </w:style>
  <w:style w:type="paragraph" w:customStyle="1" w:styleId="Style3">
    <w:name w:val="Style3"/>
    <w:basedOn w:val="Heading3"/>
    <w:next w:val="Style1"/>
    <w:pPr>
      <w:numPr>
        <w:ilvl w:val="0"/>
        <w:numId w:val="0"/>
      </w:numPr>
      <w:tabs>
        <w:tab w:val="num" w:pos="360"/>
      </w:tabs>
      <w:ind w:left="360" w:hanging="360"/>
    </w:pPr>
    <w:rPr>
      <w:rFonts w:eastAsia="Times New Roman"/>
      <w:szCs w:val="28"/>
      <w:lang w:val="x-none" w:eastAsia="de-DE"/>
    </w:rPr>
  </w:style>
  <w:style w:type="numbering" w:styleId="1ai">
    <w:name w:val="Outline List 1"/>
    <w:basedOn w:val="NoList"/>
    <w:pPr>
      <w:numPr>
        <w:numId w:val="26"/>
      </w:numPr>
    </w:pPr>
  </w:style>
  <w:style w:type="numbering" w:styleId="111111">
    <w:name w:val="Outline List 2"/>
    <w:basedOn w:val="NoList"/>
    <w:pPr>
      <w:numPr>
        <w:numId w:val="25"/>
      </w:numPr>
    </w:pPr>
  </w:style>
  <w:style w:type="paragraph" w:customStyle="1" w:styleId="Prlimin">
    <w:name w:val="Prélimin"/>
    <w:basedOn w:val="Prliminairetyp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MS Mincho" w:hAnsi="Calibri"/>
      <w:sz w:val="22"/>
      <w:lang w:eastAsia="ja-JP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ColorfulShading-Accent11">
    <w:name w:val="Colorful Shading - Accent 11"/>
    <w:hidden/>
    <w:uiPriority w:val="99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  <w:lang w:eastAsia="en-US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  <w:lang w:eastAsia="en-US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  <w:lang w:val="x-none" w:eastAsia="en-US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/>
      <w:sz w:val="24"/>
      <w:szCs w:val="20"/>
      <w:lang w:val="x-none" w:eastAsia="en-US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  <w:lang w:eastAsia="en-US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  <w:lang w:eastAsia="en-US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  <w:lang w:eastAsia="en-US"/>
    </w:rPr>
  </w:style>
  <w:style w:type="paragraph" w:styleId="Index1">
    <w:name w:val="index 1"/>
    <w:basedOn w:val="Normal"/>
    <w:next w:val="Normal"/>
    <w:autoRedefine/>
    <w:pPr>
      <w:spacing w:before="0" w:after="240"/>
      <w:ind w:left="240" w:hanging="240"/>
    </w:pPr>
    <w:rPr>
      <w:rFonts w:eastAsia="Times New Roman"/>
      <w:szCs w:val="20"/>
      <w:lang w:eastAsia="en-US"/>
    </w:rPr>
  </w:style>
  <w:style w:type="paragraph" w:styleId="Index2">
    <w:name w:val="index 2"/>
    <w:basedOn w:val="Normal"/>
    <w:next w:val="Normal"/>
    <w:autoRedefine/>
    <w:pPr>
      <w:spacing w:before="0" w:after="240"/>
      <w:ind w:left="480" w:hanging="240"/>
    </w:pPr>
    <w:rPr>
      <w:rFonts w:eastAsia="Times New Roman"/>
      <w:szCs w:val="20"/>
      <w:lang w:eastAsia="en-US"/>
    </w:rPr>
  </w:style>
  <w:style w:type="paragraph" w:styleId="Index3">
    <w:name w:val="index 3"/>
    <w:basedOn w:val="Normal"/>
    <w:next w:val="Normal"/>
    <w:autoRedefine/>
    <w:pPr>
      <w:spacing w:before="0" w:after="240"/>
      <w:ind w:left="720" w:hanging="240"/>
    </w:pPr>
    <w:rPr>
      <w:rFonts w:eastAsia="Times New Roman"/>
      <w:szCs w:val="20"/>
      <w:lang w:eastAsia="en-US"/>
    </w:rPr>
  </w:style>
  <w:style w:type="paragraph" w:styleId="Index4">
    <w:name w:val="index 4"/>
    <w:basedOn w:val="Normal"/>
    <w:next w:val="Normal"/>
    <w:autoRedefine/>
    <w:pPr>
      <w:spacing w:before="0" w:after="240"/>
      <w:ind w:left="960" w:hanging="240"/>
    </w:pPr>
    <w:rPr>
      <w:rFonts w:eastAsia="Times New Roman"/>
      <w:szCs w:val="20"/>
      <w:lang w:eastAsia="en-US"/>
    </w:rPr>
  </w:style>
  <w:style w:type="paragraph" w:styleId="Index5">
    <w:name w:val="index 5"/>
    <w:basedOn w:val="Normal"/>
    <w:next w:val="Normal"/>
    <w:autoRedefine/>
    <w:pPr>
      <w:spacing w:before="0" w:after="240"/>
      <w:ind w:left="1200" w:hanging="240"/>
    </w:pPr>
    <w:rPr>
      <w:rFonts w:eastAsia="Times New Roman"/>
      <w:szCs w:val="20"/>
      <w:lang w:eastAsia="en-US"/>
    </w:rPr>
  </w:style>
  <w:style w:type="paragraph" w:styleId="Index6">
    <w:name w:val="index 6"/>
    <w:basedOn w:val="Normal"/>
    <w:next w:val="Normal"/>
    <w:autoRedefine/>
    <w:pPr>
      <w:spacing w:before="0" w:after="240"/>
      <w:ind w:left="1440" w:hanging="240"/>
    </w:pPr>
    <w:rPr>
      <w:rFonts w:eastAsia="Times New Roman"/>
      <w:szCs w:val="20"/>
      <w:lang w:eastAsia="en-US"/>
    </w:rPr>
  </w:style>
  <w:style w:type="paragraph" w:styleId="Index7">
    <w:name w:val="index 7"/>
    <w:basedOn w:val="Normal"/>
    <w:next w:val="Normal"/>
    <w:autoRedefine/>
    <w:pPr>
      <w:spacing w:before="0" w:after="240"/>
      <w:ind w:left="1680" w:hanging="240"/>
    </w:pPr>
    <w:rPr>
      <w:rFonts w:eastAsia="Times New Roman"/>
      <w:szCs w:val="20"/>
      <w:lang w:eastAsia="en-US"/>
    </w:rPr>
  </w:style>
  <w:style w:type="paragraph" w:styleId="Index8">
    <w:name w:val="index 8"/>
    <w:basedOn w:val="Normal"/>
    <w:next w:val="Normal"/>
    <w:autoRedefine/>
    <w:pPr>
      <w:spacing w:before="0" w:after="240"/>
      <w:ind w:left="1920" w:hanging="240"/>
    </w:pPr>
    <w:rPr>
      <w:rFonts w:eastAsia="Times New Roman"/>
      <w:szCs w:val="20"/>
      <w:lang w:eastAsia="en-US"/>
    </w:rPr>
  </w:style>
  <w:style w:type="paragraph" w:styleId="Index9">
    <w:name w:val="index 9"/>
    <w:basedOn w:val="Normal"/>
    <w:next w:val="Normal"/>
    <w:autoRedefine/>
    <w:pPr>
      <w:spacing w:before="0" w:after="240"/>
      <w:ind w:left="2160" w:hanging="240"/>
    </w:pPr>
    <w:rPr>
      <w:rFonts w:eastAsia="Times New Roman"/>
      <w:szCs w:val="20"/>
      <w:lang w:eastAsia="en-US"/>
    </w:rPr>
  </w:style>
  <w:style w:type="paragraph" w:styleId="IndexHeading">
    <w:name w:val="index heading"/>
    <w:basedOn w:val="Normal"/>
    <w:next w:val="Index1"/>
    <w:pPr>
      <w:spacing w:before="0" w:after="240"/>
    </w:pPr>
    <w:rPr>
      <w:rFonts w:ascii="Arial" w:eastAsia="Times New Roman" w:hAnsi="Arial"/>
      <w:b/>
      <w:szCs w:val="20"/>
      <w:lang w:eastAsia="en-US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/>
      <w:sz w:val="20"/>
      <w:szCs w:val="20"/>
      <w:lang w:val="en-ZA" w:eastAsia="en-US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Times New Roman" w:hAnsi="Courier New"/>
      <w:sz w:val="20"/>
      <w:szCs w:val="20"/>
      <w:lang w:val="en-ZA"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Cambria" w:eastAsia="Times New Roman" w:hAnsi="Cambria"/>
      <w:szCs w:val="24"/>
      <w:lang w:val="x-none" w:eastAsia="en-US"/>
    </w:rPr>
  </w:style>
  <w:style w:type="character" w:customStyle="1" w:styleId="MessageHeaderChar">
    <w:name w:val="Message Header Char"/>
    <w:basedOn w:val="DefaultParagraphFont"/>
    <w:link w:val="MessageHeader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NormalIndent">
    <w:name w:val="Normal Indent"/>
    <w:basedOn w:val="Normal"/>
    <w:pPr>
      <w:spacing w:before="0" w:after="240"/>
      <w:ind w:left="720"/>
    </w:pPr>
    <w:rPr>
      <w:rFonts w:eastAsia="Times New Roman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  <w:lang w:val="x-none" w:eastAsia="en-US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/>
      <w:sz w:val="24"/>
      <w:szCs w:val="20"/>
      <w:lang w:val="x-none" w:eastAsia="en-US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  <w:lang w:eastAsia="en-US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  <w:lang w:eastAsia="en-US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  <w:lang w:eastAsia="en-US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  <w:lang w:val="x-none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  <w:lang w:val="x-none" w:eastAsia="en-US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  <w:lang w:val="x-none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/>
      <w:sz w:val="24"/>
      <w:szCs w:val="20"/>
      <w:lang w:val="x-none" w:eastAsia="en-US"/>
    </w:rPr>
  </w:style>
  <w:style w:type="paragraph" w:styleId="TableofAuthorities">
    <w:name w:val="table of authorities"/>
    <w:basedOn w:val="Normal"/>
    <w:next w:val="Normal"/>
    <w:pPr>
      <w:spacing w:before="0" w:after="240"/>
      <w:ind w:left="240" w:hanging="240"/>
    </w:pPr>
    <w:rPr>
      <w:rFonts w:eastAsia="Times New Roman"/>
      <w:szCs w:val="20"/>
      <w:lang w:eastAsia="en-US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styleId="TOAHeading">
    <w:name w:val="toa heading"/>
    <w:basedOn w:val="Normal"/>
    <w:next w:val="Normal"/>
    <w:pPr>
      <w:spacing w:after="240"/>
    </w:pPr>
    <w:rPr>
      <w:rFonts w:ascii="Arial" w:eastAsia="Times New Roman" w:hAnsi="Arial"/>
      <w:b/>
      <w:szCs w:val="20"/>
      <w:lang w:eastAsia="en-US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  <w:lang w:eastAsia="en-US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  <w:lang w:eastAsia="en-US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  <w:lang w:eastAsia="en-US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  <w:lang w:eastAsia="en-US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  <w:lang w:bidi="ks-Deva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  <w:lang w:bidi="ks-Deva"/>
    </w:rPr>
  </w:style>
  <w:style w:type="character" w:styleId="BookTitle">
    <w:name w:val="Book Title"/>
    <w:qFormat/>
    <w:rPr>
      <w:rFonts w:cs="Times New Roman"/>
      <w:b/>
      <w:smallCaps/>
      <w:spacing w:val="5"/>
    </w:rPr>
  </w:style>
  <w:style w:type="paragraph" w:customStyle="1" w:styleId="Briefinglist1">
    <w:name w:val="Briefing list 1"/>
    <w:basedOn w:val="Normal"/>
    <w:pPr>
      <w:numPr>
        <w:numId w:val="27"/>
      </w:numPr>
      <w:spacing w:before="0" w:after="240"/>
    </w:pPr>
    <w:rPr>
      <w:rFonts w:eastAsia="Times New Roman"/>
      <w:szCs w:val="20"/>
      <w:lang w:eastAsia="en-US"/>
    </w:rPr>
  </w:style>
  <w:style w:type="paragraph" w:customStyle="1" w:styleId="ListNumberLevel1">
    <w:name w:val="List Number (Level 1)"/>
    <w:basedOn w:val="ListNumberLevel2"/>
    <w:pPr>
      <w:numPr>
        <w:ilvl w:val="1"/>
        <w:numId w:val="5"/>
      </w:numPr>
      <w:tabs>
        <w:tab w:val="clear" w:pos="360"/>
        <w:tab w:val="num" w:pos="1417"/>
      </w:tabs>
      <w:spacing w:before="0" w:after="240"/>
      <w:ind w:left="1417" w:hanging="708"/>
    </w:pPr>
    <w:rPr>
      <w:szCs w:val="20"/>
      <w:lang w:eastAsia="en-US"/>
    </w:rPr>
  </w:style>
  <w:style w:type="character" w:customStyle="1" w:styleId="st1">
    <w:name w:val="st1"/>
    <w:rPr>
      <w:rFonts w:cs="Times New Roman"/>
    </w:rPr>
  </w:style>
  <w:style w:type="character" w:customStyle="1" w:styleId="ManualNumPar1Char">
    <w:name w:val="Manual NumPar 1 Char"/>
    <w:rPr>
      <w:rFonts w:ascii="Times New Roman" w:hAnsi="Times New Roman"/>
      <w:sz w:val="24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0">
    <w:name w:val="xl40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1">
    <w:name w:val="xl41"/>
    <w:basedOn w:val="Normal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4">
    <w:name w:val="xl44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50">
    <w:name w:val="xl50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5">
    <w:name w:val="xl5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6">
    <w:name w:val="xl56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7">
    <w:name w:val="xl57"/>
    <w:basedOn w:val="Normal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8">
    <w:name w:val="xl58"/>
    <w:basedOn w:val="Normal"/>
    <w:pPr>
      <w:pBdr>
        <w:top w:val="single" w:sz="8" w:space="0" w:color="0000FF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59">
    <w:name w:val="xl59"/>
    <w:basedOn w:val="Normal"/>
    <w:pPr>
      <w:pBdr>
        <w:top w:val="single" w:sz="8" w:space="0" w:color="0000FF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ediumGrid21">
    <w:name w:val="Medium Grid 21"/>
    <w:uiPriority w:val="1"/>
    <w:qFormat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 w:line="360" w:lineRule="auto"/>
      <w:ind w:left="720"/>
      <w:jc w:val="left"/>
    </w:pPr>
    <w:rPr>
      <w:rFonts w:eastAsia="Times New Roman"/>
      <w:szCs w:val="20"/>
      <w:lang w:eastAsia="fr-BE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  <w:lang w:eastAsia="en-US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tabs>
        <w:tab w:val="num" w:pos="283"/>
        <w:tab w:val="num" w:pos="720"/>
        <w:tab w:val="num" w:pos="926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/>
      <w:bCs w:val="0"/>
      <w:smallCaps w:val="0"/>
      <w:szCs w:val="20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/>
      <w:sz w:val="28"/>
      <w:szCs w:val="32"/>
      <w:lang w:eastAsia="de-DE"/>
    </w:rPr>
  </w:style>
  <w:style w:type="numbering" w:customStyle="1" w:styleId="NoList1">
    <w:name w:val="No List1"/>
    <w:next w:val="NoList"/>
    <w:semiHidden/>
    <w:unhideWhenUsed/>
  </w:style>
  <w:style w:type="table" w:customStyle="1" w:styleId="TableGrid10">
    <w:name w:val="Table Grid1"/>
    <w:basedOn w:val="TableNormal"/>
    <w:next w:val="TableGrid"/>
    <w:pPr>
      <w:spacing w:after="0" w:line="240" w:lineRule="auto"/>
    </w:pPr>
    <w:rPr>
      <w:rFonts w:ascii="Times New Roman" w:eastAsia="Batang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1Char">
    <w:name w:val="Point 1 Char"/>
    <w:rPr>
      <w:rFonts w:ascii="Times New Roman" w:hAnsi="Times New Roman"/>
      <w:sz w:val="24"/>
    </w:rPr>
  </w:style>
  <w:style w:type="paragraph" w:customStyle="1" w:styleId="a">
    <w:name w:val="목록 단락"/>
    <w:basedOn w:val="Normal"/>
    <w:qFormat/>
    <w:pPr>
      <w:widowControl w:val="0"/>
      <w:wordWrap w:val="0"/>
      <w:autoSpaceDE w:val="0"/>
      <w:autoSpaceDN w:val="0"/>
      <w:spacing w:before="0" w:after="0"/>
      <w:ind w:leftChars="400" w:left="800"/>
    </w:pPr>
    <w:rPr>
      <w:rFonts w:ascii="Malgun Gothic" w:eastAsia="Malgun Gothic" w:hAnsi="Malgun Gothic"/>
      <w:kern w:val="2"/>
      <w:sz w:val="20"/>
      <w:lang w:val="en-US" w:eastAsia="ko-KR"/>
    </w:rPr>
  </w:style>
  <w:style w:type="character" w:customStyle="1" w:styleId="DocumentMapChar1">
    <w:name w:val="Document Map Char1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Batang" w:hAnsi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lang w:eastAsia="en-US"/>
    </w:rPr>
  </w:style>
  <w:style w:type="table" w:styleId="TableColorful1">
    <w:name w:val="Table Colorful 1"/>
    <w:basedOn w:val="TableNormal"/>
    <w:pPr>
      <w:widowControl w:val="0"/>
      <w:spacing w:after="0" w:line="360" w:lineRule="auto"/>
    </w:pPr>
    <w:rPr>
      <w:rFonts w:ascii="Times New Roman" w:eastAsia="Times New Roman" w:hAnsi="Times New Roman"/>
      <w:color w:val="FFFFFF"/>
      <w:sz w:val="20"/>
      <w:szCs w:val="20"/>
      <w:lang w:eastAsia="ja-JP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HTML Sample" w:uiPriority="99"/>
    <w:lsdException w:name="Normal Table" w:uiPriority="99"/>
    <w:lsdException w:name="No List" w:uiPriority="99"/>
    <w:lsdException w:name="Outline List 3" w:uiPriority="99"/>
    <w:lsdException w:name="Table Colorful 2" w:uiPriority="99"/>
    <w:lsdException w:name="Table Web 2" w:uiPriority="99"/>
    <w:lsdException w:name="Table Web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  <w:lang w:val="x-none" w:eastAsia="fr-B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  <w:lang w:val="x-none" w:eastAsia="fr-B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  <w:lang w:val="x-none" w:eastAsia="fr-B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fr-BE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  <w:lang w:val="x-none"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">
    <w:name w:val="List Number"/>
    <w:basedOn w:val="Normal"/>
    <w:unhideWhenUsed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Cs w:val="20"/>
      <w:lang w:val="x-none" w:eastAsia="fr-BE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i/>
      <w:szCs w:val="20"/>
      <w:lang w:val="x-none" w:eastAsia="fr-BE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sz w:val="20"/>
      <w:szCs w:val="20"/>
      <w:lang w:val="x-none" w:eastAsia="fr-BE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i/>
      <w:sz w:val="20"/>
      <w:szCs w:val="20"/>
      <w:lang w:val="x-none" w:eastAsia="fr-BE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i/>
      <w:sz w:val="18"/>
      <w:szCs w:val="20"/>
      <w:lang w:val="x-none" w:eastAsia="fr-BE"/>
    </w:r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  <w:lang w:eastAsia="fr-BE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5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  <w:lang w:eastAsia="fr-BE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14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6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8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dash">
    <w:name w:val="Par-dash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  <w:lang w:eastAsia="fr-BE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7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  <w:lang w:val="x-none" w:eastAsia="fr-BE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/>
      <w:sz w:val="24"/>
      <w:szCs w:val="20"/>
      <w:lang w:val="x-none" w:eastAsia="fr-BE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  <w:lang w:eastAsia="fr-BE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9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/>
      <w:szCs w:val="20"/>
      <w:lang w:val="x-none" w:eastAsia="fr-BE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/>
      <w:sz w:val="24"/>
      <w:szCs w:val="20"/>
      <w:shd w:val="clear" w:color="auto" w:fill="000080"/>
      <w:lang w:val="x-none" w:eastAsia="fr-B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ListBullet1">
    <w:name w:val="List Bullet 1"/>
    <w:basedOn w:val="Normal"/>
    <w:rPr>
      <w:rFonts w:eastAsia="Times New Roman"/>
      <w:szCs w:val="24"/>
      <w:lang w:eastAsia="de-DE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pPr>
      <w:numPr>
        <w:ilvl w:val="1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pPr>
      <w:numPr>
        <w:ilvl w:val="3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styleId="ListBullet5">
    <w:name w:val="List Bullet 5"/>
    <w:basedOn w:val="Normal"/>
    <w:autoRedefine/>
    <w:pPr>
      <w:tabs>
        <w:tab w:val="num" w:pos="1134"/>
        <w:tab w:val="num" w:pos="1492"/>
        <w:tab w:val="num" w:pos="2551"/>
      </w:tabs>
      <w:spacing w:before="0" w:after="240"/>
      <w:ind w:left="1492" w:hanging="360"/>
    </w:pPr>
    <w:rPr>
      <w:rFonts w:eastAsia="Times New Roman"/>
      <w:szCs w:val="20"/>
      <w:lang w:eastAsia="en-US"/>
    </w:rPr>
  </w:style>
  <w:style w:type="paragraph" w:styleId="ListNumber5">
    <w:name w:val="List Number 5"/>
    <w:basedOn w:val="Normal"/>
    <w:pPr>
      <w:tabs>
        <w:tab w:val="num" w:pos="1134"/>
        <w:tab w:val="num" w:pos="1492"/>
        <w:tab w:val="num" w:pos="3118"/>
      </w:tabs>
      <w:spacing w:before="0" w:after="240"/>
      <w:ind w:left="1492" w:hanging="360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Titrearticle"/>
    <w:rPr>
      <w:rFonts w:eastAsia="Times New Roman"/>
      <w:szCs w:val="24"/>
      <w:lang w:eastAsia="de-DE"/>
    </w:rPr>
  </w:style>
  <w:style w:type="paragraph" w:styleId="BlockText">
    <w:name w:val="Block Text"/>
    <w:basedOn w:val="Normal"/>
    <w:pPr>
      <w:ind w:left="1440" w:right="1440"/>
    </w:pPr>
    <w:rPr>
      <w:rFonts w:eastAsia="Times New Roman"/>
      <w:szCs w:val="24"/>
      <w:lang w:eastAsia="de-DE"/>
    </w:rPr>
  </w:style>
  <w:style w:type="paragraph" w:styleId="BodyText">
    <w:name w:val="Body Text"/>
    <w:basedOn w:val="Normal"/>
    <w:link w:val="BodyTextChar"/>
    <w:rPr>
      <w:rFonts w:eastAsia="Times New Roman"/>
      <w:szCs w:val="24"/>
      <w:lang w:val="x-none" w:eastAsia="de-D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2">
    <w:name w:val="Body Text 2"/>
    <w:basedOn w:val="Normal"/>
    <w:link w:val="BodyText2Char"/>
    <w:pPr>
      <w:spacing w:line="480" w:lineRule="auto"/>
    </w:pPr>
    <w:rPr>
      <w:rFonts w:eastAsia="Times New Roman"/>
      <w:szCs w:val="24"/>
      <w:lang w:val="x-none" w:eastAsia="de-DE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3">
    <w:name w:val="Body Text 3"/>
    <w:basedOn w:val="Normal"/>
    <w:link w:val="BodyText3Char"/>
    <w:rPr>
      <w:rFonts w:eastAsia="Times New Roman"/>
      <w:sz w:val="16"/>
      <w:szCs w:val="16"/>
      <w:lang w:val="x-none" w:eastAsia="de-DE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/>
      <w:sz w:val="16"/>
      <w:szCs w:val="16"/>
      <w:lang w:val="x-none" w:eastAsia="de-DE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">
    <w:name w:val="Body Text Indent"/>
    <w:basedOn w:val="Normal"/>
    <w:link w:val="BodyTextIndentChar"/>
    <w:pPr>
      <w:ind w:left="283"/>
    </w:pPr>
    <w:rPr>
      <w:rFonts w:eastAsia="Times New Roman"/>
      <w:szCs w:val="24"/>
      <w:lang w:val="x-none" w:eastAsia="de-DE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283"/>
    </w:pPr>
    <w:rPr>
      <w:rFonts w:eastAsia="Times New Roman"/>
      <w:szCs w:val="24"/>
      <w:lang w:val="x-none" w:eastAsia="de-DE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3">
    <w:name w:val="Body Text Indent 3"/>
    <w:basedOn w:val="Normal"/>
    <w:link w:val="BodyTextIndent3Char"/>
    <w:pPr>
      <w:ind w:left="283"/>
    </w:pPr>
    <w:rPr>
      <w:rFonts w:eastAsia="Times New Roman"/>
      <w:sz w:val="16"/>
      <w:szCs w:val="16"/>
      <w:lang w:val="x-none" w:eastAsia="de-DE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/>
      <w:sz w:val="16"/>
      <w:szCs w:val="16"/>
      <w:lang w:val="x-none" w:eastAsia="de-DE"/>
    </w:rPr>
  </w:style>
  <w:style w:type="paragraph" w:styleId="Closing">
    <w:name w:val="Closing"/>
    <w:basedOn w:val="Normal"/>
    <w:link w:val="ClosingChar"/>
    <w:pPr>
      <w:ind w:left="4252"/>
    </w:pPr>
    <w:rPr>
      <w:rFonts w:eastAsia="Times New Roman"/>
      <w:szCs w:val="24"/>
      <w:lang w:val="x-none" w:eastAsia="de-DE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Date">
    <w:name w:val="Date"/>
    <w:basedOn w:val="Normal"/>
    <w:next w:val="Normal"/>
    <w:link w:val="DateChar"/>
    <w:rPr>
      <w:rFonts w:eastAsia="Times New Roman"/>
      <w:szCs w:val="24"/>
      <w:lang w:val="x-none" w:eastAsia="de-DE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E-mailSignature">
    <w:name w:val="E-mail Signature"/>
    <w:basedOn w:val="Normal"/>
    <w:link w:val="E-mailSignatureChar"/>
    <w:semiHidden/>
    <w:rPr>
      <w:rFonts w:eastAsia="Times New Roman"/>
      <w:szCs w:val="24"/>
      <w:lang w:eastAsia="de-DE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eastAsia="Times New Roman" w:hAnsi="Times New Roman"/>
      <w:sz w:val="24"/>
      <w:szCs w:val="24"/>
      <w:lang w:eastAsia="de-DE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Cs w:val="24"/>
      <w:lang w:eastAsia="de-DE"/>
    </w:rPr>
  </w:style>
  <w:style w:type="paragraph" w:styleId="EnvelopeReturn">
    <w:name w:val="envelope return"/>
    <w:basedOn w:val="Normal"/>
    <w:rPr>
      <w:rFonts w:ascii="Arial" w:eastAsia="Times New Roman" w:hAnsi="Arial" w:cs="Arial"/>
      <w:sz w:val="20"/>
      <w:szCs w:val="20"/>
      <w:lang w:eastAsia="de-DE"/>
    </w:rPr>
  </w:style>
  <w:style w:type="character" w:styleId="HTMLAcronym">
    <w:name w:val="HTML Acronym"/>
    <w:semiHidden/>
    <w:rPr>
      <w:rFonts w:cs="Times New Roman"/>
    </w:rPr>
  </w:style>
  <w:style w:type="paragraph" w:styleId="HTMLAddress">
    <w:name w:val="HTML Address"/>
    <w:basedOn w:val="Normal"/>
    <w:link w:val="HTMLAddressChar"/>
    <w:semiHidden/>
    <w:rPr>
      <w:rFonts w:eastAsia="Times New Roman"/>
      <w:i/>
      <w:iCs/>
      <w:szCs w:val="24"/>
      <w:lang w:eastAsia="de-DE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styleId="HTMLCite">
    <w:name w:val="HTML Cite"/>
    <w:semiHidden/>
    <w:rPr>
      <w:rFonts w:cs="Times New Roman"/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rFonts w:cs="Times New Roman"/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rFonts w:cs="Times New Roman"/>
      <w:i/>
      <w:iCs/>
    </w:rPr>
  </w:style>
  <w:style w:type="character" w:styleId="LineNumber">
    <w:name w:val="line number"/>
    <w:semiHidden/>
    <w:rPr>
      <w:rFonts w:cs="Times New Roman"/>
    </w:rPr>
  </w:style>
  <w:style w:type="paragraph" w:styleId="List">
    <w:name w:val="List"/>
    <w:basedOn w:val="Normal"/>
    <w:pPr>
      <w:ind w:left="283" w:hanging="283"/>
    </w:pPr>
    <w:rPr>
      <w:rFonts w:eastAsia="Times New Roman"/>
      <w:szCs w:val="24"/>
      <w:lang w:eastAsia="de-DE"/>
    </w:rPr>
  </w:style>
  <w:style w:type="paragraph" w:styleId="List2">
    <w:name w:val="List 2"/>
    <w:basedOn w:val="Normal"/>
    <w:pPr>
      <w:ind w:left="566" w:hanging="283"/>
    </w:pPr>
    <w:rPr>
      <w:rFonts w:eastAsia="Times New Roman"/>
      <w:szCs w:val="24"/>
      <w:lang w:eastAsia="de-DE"/>
    </w:rPr>
  </w:style>
  <w:style w:type="paragraph" w:styleId="List3">
    <w:name w:val="List 3"/>
    <w:basedOn w:val="Normal"/>
    <w:pPr>
      <w:ind w:left="849" w:hanging="283"/>
    </w:pPr>
    <w:rPr>
      <w:rFonts w:eastAsia="Times New Roman"/>
      <w:szCs w:val="24"/>
      <w:lang w:eastAsia="de-DE"/>
    </w:rPr>
  </w:style>
  <w:style w:type="paragraph" w:styleId="List4">
    <w:name w:val="List 4"/>
    <w:basedOn w:val="Normal"/>
    <w:pPr>
      <w:ind w:left="1132" w:hanging="283"/>
    </w:pPr>
    <w:rPr>
      <w:rFonts w:eastAsia="Times New Roman"/>
      <w:szCs w:val="24"/>
      <w:lang w:eastAsia="de-DE"/>
    </w:rPr>
  </w:style>
  <w:style w:type="paragraph" w:styleId="List5">
    <w:name w:val="List 5"/>
    <w:basedOn w:val="Normal"/>
    <w:pPr>
      <w:ind w:left="1415" w:hanging="283"/>
    </w:pPr>
    <w:rPr>
      <w:rFonts w:eastAsia="Times New Roman"/>
      <w:szCs w:val="24"/>
      <w:lang w:eastAsia="de-DE"/>
    </w:rPr>
  </w:style>
  <w:style w:type="paragraph" w:styleId="ListContinue">
    <w:name w:val="List Continue"/>
    <w:basedOn w:val="Normal"/>
    <w:pPr>
      <w:ind w:left="283"/>
    </w:pPr>
    <w:rPr>
      <w:rFonts w:eastAsia="Times New Roman"/>
      <w:szCs w:val="24"/>
      <w:lang w:eastAsia="de-DE"/>
    </w:rPr>
  </w:style>
  <w:style w:type="paragraph" w:styleId="ListContinue2">
    <w:name w:val="List Continue 2"/>
    <w:basedOn w:val="Normal"/>
    <w:pPr>
      <w:ind w:left="566"/>
    </w:pPr>
    <w:rPr>
      <w:rFonts w:eastAsia="Times New Roman"/>
      <w:szCs w:val="24"/>
      <w:lang w:eastAsia="de-DE"/>
    </w:rPr>
  </w:style>
  <w:style w:type="paragraph" w:styleId="ListContinue3">
    <w:name w:val="List Continue 3"/>
    <w:basedOn w:val="Normal"/>
    <w:pPr>
      <w:ind w:left="849"/>
    </w:pPr>
    <w:rPr>
      <w:rFonts w:eastAsia="Times New Roman"/>
      <w:szCs w:val="24"/>
      <w:lang w:eastAsia="de-DE"/>
    </w:rPr>
  </w:style>
  <w:style w:type="paragraph" w:styleId="ListContinue4">
    <w:name w:val="List Continue 4"/>
    <w:basedOn w:val="Normal"/>
    <w:pPr>
      <w:ind w:left="1132"/>
    </w:pPr>
    <w:rPr>
      <w:rFonts w:eastAsia="Times New Roman"/>
      <w:szCs w:val="24"/>
      <w:lang w:eastAsia="de-DE"/>
    </w:rPr>
  </w:style>
  <w:style w:type="paragraph" w:styleId="ListContinue5">
    <w:name w:val="List Continue 5"/>
    <w:basedOn w:val="Normal"/>
    <w:pPr>
      <w:ind w:left="1415"/>
    </w:pPr>
    <w:rPr>
      <w:rFonts w:eastAsia="Times New Roman"/>
      <w:szCs w:val="24"/>
      <w:lang w:eastAsia="de-DE"/>
    </w:rPr>
  </w:style>
  <w:style w:type="character" w:styleId="Strong">
    <w:name w:val="Strong"/>
    <w:qFormat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eastAsia="Times New Roman" w:hAnsi="Arial"/>
      <w:szCs w:val="24"/>
      <w:lang w:val="x-none" w:eastAsia="de-DE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/>
      <w:sz w:val="24"/>
      <w:szCs w:val="24"/>
      <w:lang w:val="x-none" w:eastAsia="de-DE"/>
    </w:rPr>
  </w:style>
  <w:style w:type="table" w:styleId="Table3Deffects1">
    <w:name w:val="Table 3D effects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color w:val="000080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Heading3"/>
    <w:next w:val="Normal"/>
    <w:pPr>
      <w:numPr>
        <w:ilvl w:val="0"/>
        <w:numId w:val="0"/>
      </w:numPr>
      <w:jc w:val="center"/>
    </w:pPr>
    <w:rPr>
      <w:rFonts w:eastAsia="Times New Roman"/>
      <w:b/>
      <w:szCs w:val="26"/>
      <w:lang w:val="x-none" w:eastAsia="de-DE"/>
    </w:rPr>
  </w:style>
  <w:style w:type="paragraph" w:customStyle="1" w:styleId="Style3">
    <w:name w:val="Style3"/>
    <w:basedOn w:val="Heading3"/>
    <w:next w:val="Style1"/>
    <w:pPr>
      <w:numPr>
        <w:ilvl w:val="0"/>
        <w:numId w:val="0"/>
      </w:numPr>
      <w:tabs>
        <w:tab w:val="num" w:pos="360"/>
      </w:tabs>
      <w:ind w:left="360" w:hanging="360"/>
    </w:pPr>
    <w:rPr>
      <w:rFonts w:eastAsia="Times New Roman"/>
      <w:szCs w:val="28"/>
      <w:lang w:val="x-none" w:eastAsia="de-DE"/>
    </w:rPr>
  </w:style>
  <w:style w:type="numbering" w:styleId="1ai">
    <w:name w:val="Outline List 1"/>
    <w:basedOn w:val="NoList"/>
    <w:pPr>
      <w:numPr>
        <w:numId w:val="26"/>
      </w:numPr>
    </w:pPr>
  </w:style>
  <w:style w:type="numbering" w:styleId="111111">
    <w:name w:val="Outline List 2"/>
    <w:basedOn w:val="NoList"/>
    <w:pPr>
      <w:numPr>
        <w:numId w:val="25"/>
      </w:numPr>
    </w:pPr>
  </w:style>
  <w:style w:type="paragraph" w:customStyle="1" w:styleId="Prlimin">
    <w:name w:val="Prélimin"/>
    <w:basedOn w:val="Prliminairetyp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MS Mincho" w:hAnsi="Calibri"/>
      <w:sz w:val="22"/>
      <w:lang w:eastAsia="ja-JP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ColorfulShading-Accent11">
    <w:name w:val="Colorful Shading - Accent 11"/>
    <w:hidden/>
    <w:uiPriority w:val="99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  <w:lang w:eastAsia="en-US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  <w:lang w:eastAsia="en-US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  <w:lang w:val="x-none" w:eastAsia="en-US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/>
      <w:sz w:val="24"/>
      <w:szCs w:val="20"/>
      <w:lang w:val="x-none" w:eastAsia="en-US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  <w:lang w:eastAsia="en-US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  <w:lang w:eastAsia="en-US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  <w:lang w:eastAsia="en-US"/>
    </w:rPr>
  </w:style>
  <w:style w:type="paragraph" w:styleId="Index1">
    <w:name w:val="index 1"/>
    <w:basedOn w:val="Normal"/>
    <w:next w:val="Normal"/>
    <w:autoRedefine/>
    <w:pPr>
      <w:spacing w:before="0" w:after="240"/>
      <w:ind w:left="240" w:hanging="240"/>
    </w:pPr>
    <w:rPr>
      <w:rFonts w:eastAsia="Times New Roman"/>
      <w:szCs w:val="20"/>
      <w:lang w:eastAsia="en-US"/>
    </w:rPr>
  </w:style>
  <w:style w:type="paragraph" w:styleId="Index2">
    <w:name w:val="index 2"/>
    <w:basedOn w:val="Normal"/>
    <w:next w:val="Normal"/>
    <w:autoRedefine/>
    <w:pPr>
      <w:spacing w:before="0" w:after="240"/>
      <w:ind w:left="480" w:hanging="240"/>
    </w:pPr>
    <w:rPr>
      <w:rFonts w:eastAsia="Times New Roman"/>
      <w:szCs w:val="20"/>
      <w:lang w:eastAsia="en-US"/>
    </w:rPr>
  </w:style>
  <w:style w:type="paragraph" w:styleId="Index3">
    <w:name w:val="index 3"/>
    <w:basedOn w:val="Normal"/>
    <w:next w:val="Normal"/>
    <w:autoRedefine/>
    <w:pPr>
      <w:spacing w:before="0" w:after="240"/>
      <w:ind w:left="720" w:hanging="240"/>
    </w:pPr>
    <w:rPr>
      <w:rFonts w:eastAsia="Times New Roman"/>
      <w:szCs w:val="20"/>
      <w:lang w:eastAsia="en-US"/>
    </w:rPr>
  </w:style>
  <w:style w:type="paragraph" w:styleId="Index4">
    <w:name w:val="index 4"/>
    <w:basedOn w:val="Normal"/>
    <w:next w:val="Normal"/>
    <w:autoRedefine/>
    <w:pPr>
      <w:spacing w:before="0" w:after="240"/>
      <w:ind w:left="960" w:hanging="240"/>
    </w:pPr>
    <w:rPr>
      <w:rFonts w:eastAsia="Times New Roman"/>
      <w:szCs w:val="20"/>
      <w:lang w:eastAsia="en-US"/>
    </w:rPr>
  </w:style>
  <w:style w:type="paragraph" w:styleId="Index5">
    <w:name w:val="index 5"/>
    <w:basedOn w:val="Normal"/>
    <w:next w:val="Normal"/>
    <w:autoRedefine/>
    <w:pPr>
      <w:spacing w:before="0" w:after="240"/>
      <w:ind w:left="1200" w:hanging="240"/>
    </w:pPr>
    <w:rPr>
      <w:rFonts w:eastAsia="Times New Roman"/>
      <w:szCs w:val="20"/>
      <w:lang w:eastAsia="en-US"/>
    </w:rPr>
  </w:style>
  <w:style w:type="paragraph" w:styleId="Index6">
    <w:name w:val="index 6"/>
    <w:basedOn w:val="Normal"/>
    <w:next w:val="Normal"/>
    <w:autoRedefine/>
    <w:pPr>
      <w:spacing w:before="0" w:after="240"/>
      <w:ind w:left="1440" w:hanging="240"/>
    </w:pPr>
    <w:rPr>
      <w:rFonts w:eastAsia="Times New Roman"/>
      <w:szCs w:val="20"/>
      <w:lang w:eastAsia="en-US"/>
    </w:rPr>
  </w:style>
  <w:style w:type="paragraph" w:styleId="Index7">
    <w:name w:val="index 7"/>
    <w:basedOn w:val="Normal"/>
    <w:next w:val="Normal"/>
    <w:autoRedefine/>
    <w:pPr>
      <w:spacing w:before="0" w:after="240"/>
      <w:ind w:left="1680" w:hanging="240"/>
    </w:pPr>
    <w:rPr>
      <w:rFonts w:eastAsia="Times New Roman"/>
      <w:szCs w:val="20"/>
      <w:lang w:eastAsia="en-US"/>
    </w:rPr>
  </w:style>
  <w:style w:type="paragraph" w:styleId="Index8">
    <w:name w:val="index 8"/>
    <w:basedOn w:val="Normal"/>
    <w:next w:val="Normal"/>
    <w:autoRedefine/>
    <w:pPr>
      <w:spacing w:before="0" w:after="240"/>
      <w:ind w:left="1920" w:hanging="240"/>
    </w:pPr>
    <w:rPr>
      <w:rFonts w:eastAsia="Times New Roman"/>
      <w:szCs w:val="20"/>
      <w:lang w:eastAsia="en-US"/>
    </w:rPr>
  </w:style>
  <w:style w:type="paragraph" w:styleId="Index9">
    <w:name w:val="index 9"/>
    <w:basedOn w:val="Normal"/>
    <w:next w:val="Normal"/>
    <w:autoRedefine/>
    <w:pPr>
      <w:spacing w:before="0" w:after="240"/>
      <w:ind w:left="2160" w:hanging="240"/>
    </w:pPr>
    <w:rPr>
      <w:rFonts w:eastAsia="Times New Roman"/>
      <w:szCs w:val="20"/>
      <w:lang w:eastAsia="en-US"/>
    </w:rPr>
  </w:style>
  <w:style w:type="paragraph" w:styleId="IndexHeading">
    <w:name w:val="index heading"/>
    <w:basedOn w:val="Normal"/>
    <w:next w:val="Index1"/>
    <w:pPr>
      <w:spacing w:before="0" w:after="240"/>
    </w:pPr>
    <w:rPr>
      <w:rFonts w:ascii="Arial" w:eastAsia="Times New Roman" w:hAnsi="Arial"/>
      <w:b/>
      <w:szCs w:val="20"/>
      <w:lang w:eastAsia="en-US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/>
      <w:sz w:val="20"/>
      <w:szCs w:val="20"/>
      <w:lang w:val="en-ZA" w:eastAsia="en-US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Times New Roman" w:hAnsi="Courier New"/>
      <w:sz w:val="20"/>
      <w:szCs w:val="20"/>
      <w:lang w:val="en-ZA"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Cambria" w:eastAsia="Times New Roman" w:hAnsi="Cambria"/>
      <w:szCs w:val="24"/>
      <w:lang w:val="x-none" w:eastAsia="en-US"/>
    </w:rPr>
  </w:style>
  <w:style w:type="character" w:customStyle="1" w:styleId="MessageHeaderChar">
    <w:name w:val="Message Header Char"/>
    <w:basedOn w:val="DefaultParagraphFont"/>
    <w:link w:val="MessageHeader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NormalIndent">
    <w:name w:val="Normal Indent"/>
    <w:basedOn w:val="Normal"/>
    <w:pPr>
      <w:spacing w:before="0" w:after="240"/>
      <w:ind w:left="720"/>
    </w:pPr>
    <w:rPr>
      <w:rFonts w:eastAsia="Times New Roman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  <w:lang w:val="x-none" w:eastAsia="en-US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/>
      <w:sz w:val="24"/>
      <w:szCs w:val="20"/>
      <w:lang w:val="x-none" w:eastAsia="en-US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  <w:lang w:eastAsia="en-US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  <w:lang w:eastAsia="en-US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  <w:lang w:eastAsia="en-US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  <w:lang w:val="x-none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  <w:lang w:val="x-none" w:eastAsia="en-US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  <w:lang w:val="x-none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/>
      <w:sz w:val="24"/>
      <w:szCs w:val="20"/>
      <w:lang w:val="x-none" w:eastAsia="en-US"/>
    </w:rPr>
  </w:style>
  <w:style w:type="paragraph" w:styleId="TableofAuthorities">
    <w:name w:val="table of authorities"/>
    <w:basedOn w:val="Normal"/>
    <w:next w:val="Normal"/>
    <w:pPr>
      <w:spacing w:before="0" w:after="240"/>
      <w:ind w:left="240" w:hanging="240"/>
    </w:pPr>
    <w:rPr>
      <w:rFonts w:eastAsia="Times New Roman"/>
      <w:szCs w:val="20"/>
      <w:lang w:eastAsia="en-US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styleId="TOAHeading">
    <w:name w:val="toa heading"/>
    <w:basedOn w:val="Normal"/>
    <w:next w:val="Normal"/>
    <w:pPr>
      <w:spacing w:after="240"/>
    </w:pPr>
    <w:rPr>
      <w:rFonts w:ascii="Arial" w:eastAsia="Times New Roman" w:hAnsi="Arial"/>
      <w:b/>
      <w:szCs w:val="20"/>
      <w:lang w:eastAsia="en-US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  <w:lang w:eastAsia="en-US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  <w:lang w:eastAsia="en-US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  <w:lang w:eastAsia="en-US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  <w:lang w:eastAsia="en-US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  <w:lang w:bidi="ks-Deva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  <w:lang w:bidi="ks-Deva"/>
    </w:rPr>
  </w:style>
  <w:style w:type="character" w:styleId="BookTitle">
    <w:name w:val="Book Title"/>
    <w:qFormat/>
    <w:rPr>
      <w:rFonts w:cs="Times New Roman"/>
      <w:b/>
      <w:smallCaps/>
      <w:spacing w:val="5"/>
    </w:rPr>
  </w:style>
  <w:style w:type="paragraph" w:customStyle="1" w:styleId="Briefinglist1">
    <w:name w:val="Briefing list 1"/>
    <w:basedOn w:val="Normal"/>
    <w:pPr>
      <w:numPr>
        <w:numId w:val="27"/>
      </w:numPr>
      <w:spacing w:before="0" w:after="240"/>
    </w:pPr>
    <w:rPr>
      <w:rFonts w:eastAsia="Times New Roman"/>
      <w:szCs w:val="20"/>
      <w:lang w:eastAsia="en-US"/>
    </w:rPr>
  </w:style>
  <w:style w:type="paragraph" w:customStyle="1" w:styleId="ListNumberLevel1">
    <w:name w:val="List Number (Level 1)"/>
    <w:basedOn w:val="ListNumberLevel2"/>
    <w:pPr>
      <w:numPr>
        <w:ilvl w:val="1"/>
        <w:numId w:val="5"/>
      </w:numPr>
      <w:tabs>
        <w:tab w:val="clear" w:pos="360"/>
        <w:tab w:val="num" w:pos="1417"/>
      </w:tabs>
      <w:spacing w:before="0" w:after="240"/>
      <w:ind w:left="1417" w:hanging="708"/>
    </w:pPr>
    <w:rPr>
      <w:szCs w:val="20"/>
      <w:lang w:eastAsia="en-US"/>
    </w:rPr>
  </w:style>
  <w:style w:type="character" w:customStyle="1" w:styleId="st1">
    <w:name w:val="st1"/>
    <w:rPr>
      <w:rFonts w:cs="Times New Roman"/>
    </w:rPr>
  </w:style>
  <w:style w:type="character" w:customStyle="1" w:styleId="ManualNumPar1Char">
    <w:name w:val="Manual NumPar 1 Char"/>
    <w:rPr>
      <w:rFonts w:ascii="Times New Roman" w:hAnsi="Times New Roman"/>
      <w:sz w:val="24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0">
    <w:name w:val="xl40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1">
    <w:name w:val="xl41"/>
    <w:basedOn w:val="Normal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4">
    <w:name w:val="xl44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50">
    <w:name w:val="xl50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5">
    <w:name w:val="xl5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6">
    <w:name w:val="xl56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7">
    <w:name w:val="xl57"/>
    <w:basedOn w:val="Normal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8">
    <w:name w:val="xl58"/>
    <w:basedOn w:val="Normal"/>
    <w:pPr>
      <w:pBdr>
        <w:top w:val="single" w:sz="8" w:space="0" w:color="0000FF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59">
    <w:name w:val="xl59"/>
    <w:basedOn w:val="Normal"/>
    <w:pPr>
      <w:pBdr>
        <w:top w:val="single" w:sz="8" w:space="0" w:color="0000FF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ediumGrid21">
    <w:name w:val="Medium Grid 21"/>
    <w:uiPriority w:val="1"/>
    <w:qFormat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 w:line="360" w:lineRule="auto"/>
      <w:ind w:left="720"/>
      <w:jc w:val="left"/>
    </w:pPr>
    <w:rPr>
      <w:rFonts w:eastAsia="Times New Roman"/>
      <w:szCs w:val="20"/>
      <w:lang w:eastAsia="fr-BE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  <w:lang w:eastAsia="en-US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tabs>
        <w:tab w:val="num" w:pos="283"/>
        <w:tab w:val="num" w:pos="720"/>
        <w:tab w:val="num" w:pos="926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/>
      <w:bCs w:val="0"/>
      <w:smallCaps w:val="0"/>
      <w:szCs w:val="20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/>
      <w:sz w:val="28"/>
      <w:szCs w:val="32"/>
      <w:lang w:eastAsia="de-DE"/>
    </w:rPr>
  </w:style>
  <w:style w:type="numbering" w:customStyle="1" w:styleId="NoList1">
    <w:name w:val="No List1"/>
    <w:next w:val="NoList"/>
    <w:semiHidden/>
    <w:unhideWhenUsed/>
  </w:style>
  <w:style w:type="table" w:customStyle="1" w:styleId="TableGrid10">
    <w:name w:val="Table Grid1"/>
    <w:basedOn w:val="TableNormal"/>
    <w:next w:val="TableGrid"/>
    <w:pPr>
      <w:spacing w:after="0" w:line="240" w:lineRule="auto"/>
    </w:pPr>
    <w:rPr>
      <w:rFonts w:ascii="Times New Roman" w:eastAsia="Batang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1Char">
    <w:name w:val="Point 1 Char"/>
    <w:rPr>
      <w:rFonts w:ascii="Times New Roman" w:hAnsi="Times New Roman"/>
      <w:sz w:val="24"/>
    </w:rPr>
  </w:style>
  <w:style w:type="paragraph" w:customStyle="1" w:styleId="a">
    <w:name w:val="목록 단락"/>
    <w:basedOn w:val="Normal"/>
    <w:qFormat/>
    <w:pPr>
      <w:widowControl w:val="0"/>
      <w:wordWrap w:val="0"/>
      <w:autoSpaceDE w:val="0"/>
      <w:autoSpaceDN w:val="0"/>
      <w:spacing w:before="0" w:after="0"/>
      <w:ind w:leftChars="400" w:left="800"/>
    </w:pPr>
    <w:rPr>
      <w:rFonts w:ascii="Malgun Gothic" w:eastAsia="Malgun Gothic" w:hAnsi="Malgun Gothic"/>
      <w:kern w:val="2"/>
      <w:sz w:val="20"/>
      <w:lang w:val="en-US" w:eastAsia="ko-KR"/>
    </w:rPr>
  </w:style>
  <w:style w:type="character" w:customStyle="1" w:styleId="DocumentMapChar1">
    <w:name w:val="Document Map Char1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Batang" w:hAnsi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lang w:eastAsia="en-US"/>
    </w:rPr>
  </w:style>
  <w:style w:type="table" w:styleId="TableColorful1">
    <w:name w:val="Table Colorful 1"/>
    <w:basedOn w:val="TableNormal"/>
    <w:pPr>
      <w:widowControl w:val="0"/>
      <w:spacing w:after="0" w:line="360" w:lineRule="auto"/>
    </w:pPr>
    <w:rPr>
      <w:rFonts w:ascii="Times New Roman" w:eastAsia="Times New Roman" w:hAnsi="Times New Roman"/>
      <w:color w:val="FFFFFF"/>
      <w:sz w:val="20"/>
      <w:szCs w:val="20"/>
      <w:lang w:eastAsia="ja-JP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E1D2-9D5C-4398-A19D-98356E7A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17</Pages>
  <Words>4939</Words>
  <Characters>24847</Characters>
  <Application>Microsoft Office Word</Application>
  <DocSecurity>0</DocSecurity>
  <Lines>856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2016-01-07T11:18:00Z</dcterms:created>
  <dcterms:modified xsi:type="dcterms:W3CDTF">2016-01-13T14:54:00Z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8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