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F3434FEA0A14B598AB991121DAB3F14" style="width:450.75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GoBack"/>
      <w:bookmarkEnd w:id="0"/>
      <w:r>
        <w:rPr>
          <w:noProof/>
        </w:rPr>
        <w:lastRenderedPageBreak/>
        <w:t xml:space="preserve">ANNEX </w:t>
      </w:r>
    </w:p>
    <w:p>
      <w:pPr>
        <w:jc w:val="center"/>
        <w:rPr>
          <w:b/>
          <w:noProof/>
        </w:rPr>
      </w:pPr>
      <w:r>
        <w:rPr>
          <w:b/>
          <w:noProof/>
        </w:rPr>
        <w:t>ANNEX I: Appendix to Customs duties of the EU on products originating in the SADC EPA States – Part 7</w:t>
      </w:r>
    </w:p>
    <w:tbl>
      <w:tblPr>
        <w:tblW w:w="9240" w:type="dxa"/>
        <w:tblInd w:w="93" w:type="dxa"/>
        <w:tblLook w:val="04A0" w:firstRow="1" w:lastRow="0" w:firstColumn="1" w:lastColumn="0" w:noHBand="0" w:noVBand="1"/>
      </w:tblPr>
      <w:tblGrid>
        <w:gridCol w:w="8280"/>
        <w:gridCol w:w="960"/>
      </w:tblGrid>
      <w:tr>
        <w:trPr>
          <w:trHeight w:val="510"/>
        </w:trPr>
        <w:tc>
          <w:tcPr>
            <w:tcW w:w="8280" w:type="dxa"/>
            <w:tcBorders>
              <w:top w:val="single" w:sz="4" w:space="0" w:color="auto"/>
              <w:left w:val="single" w:sz="4" w:space="0" w:color="auto"/>
              <w:bottom w:val="single" w:sz="4" w:space="0" w:color="auto"/>
              <w:right w:val="single" w:sz="4" w:space="0" w:color="auto"/>
            </w:tcBorders>
            <w:shd w:val="clear" w:color="000000" w:fill="F2F2F2"/>
            <w:hideMark/>
          </w:tcPr>
          <w:p>
            <w:pPr>
              <w:spacing w:before="0" w:after="0"/>
              <w:jc w:val="left"/>
              <w:rPr>
                <w:rFonts w:eastAsia="Times New Roman"/>
                <w:b/>
                <w:bCs/>
                <w:noProof/>
                <w:sz w:val="20"/>
                <w:szCs w:val="20"/>
              </w:rPr>
            </w:pPr>
            <w:r>
              <w:rPr>
                <w:rFonts w:eastAsia="Times New Roman"/>
                <w:b/>
                <w:bCs/>
                <w:noProof/>
                <w:sz w:val="20"/>
                <w:szCs w:val="20"/>
              </w:rPr>
              <w:t>CN code and label</w:t>
            </w:r>
          </w:p>
        </w:tc>
        <w:tc>
          <w:tcPr>
            <w:tcW w:w="960" w:type="dxa"/>
            <w:tcBorders>
              <w:top w:val="single" w:sz="4" w:space="0" w:color="auto"/>
              <w:left w:val="nil"/>
              <w:bottom w:val="single" w:sz="4" w:space="0" w:color="auto"/>
              <w:right w:val="single" w:sz="4" w:space="0" w:color="auto"/>
            </w:tcBorders>
            <w:shd w:val="clear" w:color="000000" w:fill="F2F2F2"/>
            <w:hideMark/>
          </w:tcPr>
          <w:p>
            <w:pPr>
              <w:spacing w:before="0" w:after="0"/>
              <w:jc w:val="center"/>
              <w:rPr>
                <w:rFonts w:eastAsia="Times New Roman"/>
                <w:b/>
                <w:bCs/>
                <w:noProof/>
                <w:sz w:val="20"/>
                <w:szCs w:val="20"/>
              </w:rPr>
            </w:pPr>
            <w:r>
              <w:rPr>
                <w:rFonts w:eastAsia="Times New Roman"/>
                <w:b/>
                <w:bCs/>
                <w:noProof/>
                <w:sz w:val="20"/>
                <w:szCs w:val="20"/>
              </w:rPr>
              <w:t>Staging category</w:t>
            </w:r>
          </w:p>
        </w:tc>
      </w:tr>
      <w:tr>
        <w:trPr>
          <w:trHeight w:val="109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20079939 - Jams, fruit jellies, marmalades, fruit or nut purée and fruit or nut pastes, obtained by cooking, with sugar content of &gt; 30% by weight (excl. such products made from raspberries, strawberries, cherries and citrus fruit, chestnut purée and paste, homogenised preparations of subheading 2007.10, and plum or prune purée and paste in packings of &gt; 100 kg for industrial processing)</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sz w:val="20"/>
                <w:szCs w:val="20"/>
              </w:rPr>
            </w:pPr>
            <w:r>
              <w:rPr>
                <w:rFonts w:eastAsia="Times New Roman"/>
                <w:noProof/>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Fig paste, pistachio paste and hazelnut paste</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Fruit purées obtained by sieving then brought to the boil in a vacuum, the texture and chemical composition of which have not been changed by the heat treatment</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Pears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Apricots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Peaches, incl. nectarines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Mixtures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Containing added sugar, in immediate packings of a net content exceeding 1 kg</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Of tropical fruit, including mixtures containing 50 % or more by weight of tropical nuts and tropical fruit</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Mixtures of fruit in which no single fruit exceeds 50 % of the total weight of the fruits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Of tropical fruit, including mixtures containing 50 % or more by weight of tropical nuts and tropical fruit</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O*</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Other mixtures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Of tropical fruit, including mixtures containing 50 % or more by weight of tropical nuts and tropical fruit</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X</w:t>
            </w:r>
          </w:p>
        </w:tc>
      </w:tr>
      <w:tr>
        <w:trPr>
          <w:trHeight w:val="81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20079950 - Jams, fruit jellies, marmalades, fruit or nut purée and fruit or nut pastes, obtained by cooking, with sugar content of &gt; 13 to 30% by weight (excl. such products made from citrus fruit and homogenised preparations of subheading 2007.10)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xml:space="preserve"> - Chestnut purée and paste</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xml:space="preserve"> - Apple purée, incl. compotes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xml:space="preserve"> -- Fruit purées obtained by sieving then brought to the boil in a vacuum, the texture and chemical composition of which have not been changed by the heat treatment</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xml:space="preserve"> - Fig paste, pistachio paste and hazelnut paste</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xml:space="preserve"> - Other</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xml:space="preserve"> -- Fruit purées obtained by sieving then brought to the boil in a vacuum, the texture and chemical composition of which have not been changed by the heat treatment</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Pears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lastRenderedPageBreak/>
              <w:t>--- Apricots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Peaches, incl. nectarines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Mixtures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Containing added sugar, in immediate packings of a net content exceeding 1 kg</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Of tropical fruit, including mixtures containing 50 % or more by weight of tropical nuts and tropical fruit</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Mixtures of fruit in which no single fruit exceeds 50 % of the total weight of the fruits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Of tropical fruit, including mixtures containing 50 % or more by weight of tropical nuts and tropical fruit</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O*</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Other mixtures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Of tropical fruit, including mixtures containing 50 % or more by weight of tropical nuts and tropical fruit</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85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20079997 Jams, fruit jellies, marmalades, fruit or nut purée and fruit or nut pastes, obtained by cooking, with sugar content not exceeding 13% by weight (excl. excl. such products made from tropical fruit and tropical nuts, citrus fruit and homogenised preparations of subheading 2007.10)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Apple purée, incl. compotes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Fig paste, pistachio paste and hazelnut paste</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Peach or pear and mixtures thereof, in jelly of these fruits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Fruit purées obtained by sieving then brought to the boil in a vacuum, the texture and chemical composition of which have not been changed by the heat treatment</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color w:val="FF0000"/>
                <w:sz w:val="20"/>
                <w:szCs w:val="20"/>
              </w:rPr>
            </w:pPr>
            <w:r>
              <w:rPr>
                <w:rFonts w:eastAsia="Times New Roman"/>
                <w:noProof/>
                <w:color w:val="FF0000"/>
                <w:sz w:val="20"/>
                <w:szCs w:val="20"/>
              </w:rPr>
              <w:t> </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Pears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Apricots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Peaches, incl. nectarines</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Mixtures</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sz w:val="20"/>
                <w:szCs w:val="20"/>
              </w:rPr>
            </w:pPr>
            <w:r>
              <w:rPr>
                <w:rFonts w:eastAsia="Times New Roman"/>
                <w:noProof/>
                <w:sz w:val="20"/>
                <w:szCs w:val="20"/>
              </w:rPr>
              <w:t> </w:t>
            </w:r>
          </w:p>
        </w:tc>
      </w:tr>
      <w:tr>
        <w:trPr>
          <w:trHeight w:val="315"/>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Containing added sugar</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sz w:val="20"/>
                <w:szCs w:val="20"/>
              </w:rPr>
            </w:pPr>
            <w:r>
              <w:rPr>
                <w:rFonts w:eastAsia="Times New Roman"/>
                <w:noProof/>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Of tropical fruit, including mixtures containing 50 % or more by weight of tropical nuts and tropical fruit</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auto" w:fill="auto"/>
            <w:vAlign w:val="bottom"/>
            <w:hideMark/>
          </w:tcPr>
          <w:p>
            <w:pPr>
              <w:spacing w:before="0" w:after="0"/>
              <w:jc w:val="left"/>
              <w:rPr>
                <w:rFonts w:eastAsia="Times New Roman"/>
                <w:noProof/>
                <w:sz w:val="20"/>
                <w:szCs w:val="20"/>
              </w:rPr>
            </w:pPr>
            <w:r>
              <w:rPr>
                <w:rFonts w:eastAsia="Times New Roman"/>
                <w:noProof/>
                <w:sz w:val="20"/>
                <w:szCs w:val="20"/>
              </w:rPr>
              <w:t>---- Not containing added sugar, in immediate packings of a net content of less than 4,5 kg</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eastAsia="Times New Roman"/>
                <w:noProof/>
                <w:sz w:val="20"/>
                <w:szCs w:val="20"/>
              </w:rPr>
            </w:pPr>
            <w:r>
              <w:rPr>
                <w:rFonts w:eastAsia="Times New Roman"/>
                <w:noProof/>
                <w:sz w:val="20"/>
                <w:szCs w:val="20"/>
              </w:rPr>
              <w:t> </w:t>
            </w:r>
          </w:p>
        </w:tc>
      </w:tr>
      <w:tr>
        <w:trPr>
          <w:trHeight w:val="525"/>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Of tropical fruit, including mixtures containing 50 % or more by weight of tropical nuts and tropical fruit</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N*</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Not containing added sugar,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X</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r>
        <w:trPr>
          <w:trHeight w:val="300"/>
        </w:trPr>
        <w:tc>
          <w:tcPr>
            <w:tcW w:w="8280" w:type="dxa"/>
            <w:tcBorders>
              <w:top w:val="nil"/>
              <w:left w:val="single" w:sz="4" w:space="0" w:color="auto"/>
              <w:bottom w:val="single" w:sz="4" w:space="0" w:color="auto"/>
              <w:right w:val="single" w:sz="4" w:space="0" w:color="auto"/>
            </w:tcBorders>
            <w:shd w:val="clear" w:color="000000" w:fill="F2F2F2"/>
            <w:vAlign w:val="bottom"/>
            <w:hideMark/>
          </w:tcPr>
          <w:p>
            <w:pPr>
              <w:spacing w:before="0" w:after="0"/>
              <w:jc w:val="left"/>
              <w:rPr>
                <w:rFonts w:eastAsia="Times New Roman"/>
                <w:noProof/>
                <w:sz w:val="20"/>
                <w:szCs w:val="20"/>
              </w:rPr>
            </w:pPr>
            <w:r>
              <w:rPr>
                <w:rFonts w:eastAsia="Times New Roman"/>
                <w:noProof/>
                <w:sz w:val="20"/>
                <w:szCs w:val="20"/>
              </w:rPr>
              <w:t>-- Other</w:t>
            </w:r>
          </w:p>
        </w:tc>
        <w:tc>
          <w:tcPr>
            <w:tcW w:w="960" w:type="dxa"/>
            <w:tcBorders>
              <w:top w:val="nil"/>
              <w:left w:val="nil"/>
              <w:bottom w:val="single" w:sz="4" w:space="0" w:color="auto"/>
              <w:right w:val="single" w:sz="4" w:space="0" w:color="auto"/>
            </w:tcBorders>
            <w:shd w:val="clear" w:color="000000" w:fill="F2F2F2"/>
            <w:noWrap/>
            <w:vAlign w:val="bottom"/>
            <w:hideMark/>
          </w:tcPr>
          <w:p>
            <w:pPr>
              <w:spacing w:before="0" w:after="0"/>
              <w:jc w:val="center"/>
              <w:rPr>
                <w:rFonts w:eastAsia="Times New Roman"/>
                <w:noProof/>
                <w:sz w:val="20"/>
                <w:szCs w:val="20"/>
              </w:rPr>
            </w:pPr>
            <w:r>
              <w:rPr>
                <w:rFonts w:eastAsia="Times New Roman"/>
                <w:noProof/>
                <w:sz w:val="20"/>
                <w:szCs w:val="20"/>
              </w:rPr>
              <w:t>A</w:t>
            </w:r>
          </w:p>
        </w:tc>
      </w:tr>
    </w:tbl>
    <w:p>
      <w:pPr>
        <w:rPr>
          <w:b/>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B4E5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B6D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ACA2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E160B2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0873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742AC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B8D85E"/>
    <w:lvl w:ilvl="0">
      <w:start w:val="1"/>
      <w:numFmt w:val="decimal"/>
      <w:pStyle w:val="ListNumber"/>
      <w:lvlText w:val="%1."/>
      <w:lvlJc w:val="left"/>
      <w:pPr>
        <w:tabs>
          <w:tab w:val="num" w:pos="360"/>
        </w:tabs>
        <w:ind w:left="360" w:hanging="360"/>
      </w:pPr>
    </w:lvl>
  </w:abstractNum>
  <w:abstractNum w:abstractNumId="7">
    <w:nsid w:val="FFFFFF89"/>
    <w:multiLevelType w:val="singleLevel"/>
    <w:tmpl w:val="23700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3 15:40: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2"/>
    <w:docVar w:name="LW_ANNEX_NBR_LAST" w:val="2"/>
    <w:docVar w:name="LW_CONFIDENCE" w:val=" "/>
    <w:docVar w:name="LW_CONST_RESTREINT_UE" w:val="RESTREINT UE"/>
    <w:docVar w:name="LW_CORRIGENDUM" w:val="&lt;UNUSED&gt;"/>
    <w:docVar w:name="LW_COVERPAGE_GUID" w:val="5F3434FEA0A14B598AB991121DAB3F14"/>
    <w:docVar w:name="LW_CROSSREFERENCE" w:val="&lt;UNUSED&gt;"/>
    <w:docVar w:name="LW_DocType" w:val="ANNEX"/>
    <w:docVar w:name="LW_EMISSION" w:val="22.1.2016"/>
    <w:docVar w:name="LW_EMISSION_ISODATE" w:val="2016-01-22"/>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between the European Union and its Member States, of the one part, and the SADC EPA States, of the other part "/>
    <w:docVar w:name="LW_OBJETACTEPRINCIPAL.CP" w:val="on the conclusion of the Economic Partnership Agreement between the European Union and its Member States, of the one part, and the SADC EPA States, of the other part "/>
    <w:docVar w:name="LW_PART_NBR" w:val="7"/>
    <w:docVar w:name="LW_PART_NBR_TOTAL" w:val="8"/>
    <w:docVar w:name="LW_REF.INST.NEW" w:val="COM"/>
    <w:docVar w:name="LW_REF.INST.NEW_ADOPTED" w:val="final"/>
    <w:docVar w:name="LW_REF.INST.NEW_TEXT" w:val="(2016) 18"/>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Calibri" w:eastAsia="Times New Roman" w:hAnsi="Calibri" w:cs="Calibri"/>
      <w:sz w:val="20"/>
      <w:szCs w:val="20"/>
    </w:rPr>
  </w:style>
  <w:style w:type="paragraph" w:customStyle="1" w:styleId="xl71">
    <w:name w:val="xl71"/>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2">
    <w:name w:val="xl72"/>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pPr>
      <w:pBdr>
        <w:top w:val="single" w:sz="8" w:space="0" w:color="auto"/>
        <w:left w:val="single" w:sz="8" w:space="0" w:color="auto"/>
        <w:bottom w:val="single" w:sz="8" w:space="0" w:color="auto"/>
        <w:right w:val="single" w:sz="4" w:space="0" w:color="auto"/>
      </w:pBdr>
      <w:shd w:val="clear" w:color="C0C0C0" w:fill="FFFFFF"/>
      <w:spacing w:before="100" w:beforeAutospacing="1" w:after="100" w:afterAutospacing="1"/>
      <w:jc w:val="right"/>
      <w:textAlignment w:val="center"/>
    </w:pPr>
    <w:rPr>
      <w:rFonts w:eastAsia="Times New Roman"/>
      <w:b/>
      <w:bCs/>
      <w:color w:val="000000"/>
      <w:sz w:val="20"/>
      <w:szCs w:val="20"/>
    </w:rPr>
  </w:style>
  <w:style w:type="paragraph" w:customStyle="1" w:styleId="xl74">
    <w:name w:val="xl74"/>
    <w:basedOn w:val="Normal"/>
    <w:pPr>
      <w:shd w:val="clear" w:color="000000" w:fill="FFFFFF"/>
      <w:spacing w:before="100" w:beforeAutospacing="1" w:after="100" w:afterAutospacing="1"/>
      <w:jc w:val="left"/>
    </w:pPr>
    <w:rPr>
      <w:rFonts w:eastAsia="Times New Roman"/>
      <w:sz w:val="20"/>
      <w:szCs w:val="20"/>
    </w:rPr>
  </w:style>
  <w:style w:type="paragraph" w:customStyle="1" w:styleId="xl75">
    <w:name w:val="xl75"/>
    <w:basedOn w:val="Normal"/>
    <w:pPr>
      <w:shd w:val="clear" w:color="000000" w:fill="FFFFFF"/>
      <w:spacing w:before="100" w:beforeAutospacing="1" w:after="100" w:afterAutospacing="1"/>
      <w:jc w:val="left"/>
    </w:pPr>
    <w:rPr>
      <w:rFonts w:eastAsia="Times New Roman"/>
      <w:b/>
      <w:bCs/>
      <w:sz w:val="28"/>
      <w:szCs w:val="28"/>
      <w:u w:val="single"/>
    </w:rPr>
  </w:style>
  <w:style w:type="paragraph" w:customStyle="1" w:styleId="xl76">
    <w:name w:val="xl76"/>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7">
    <w:name w:val="xl77"/>
    <w:basedOn w:val="Normal"/>
    <w:pPr>
      <w:shd w:val="clear" w:color="000000" w:fill="FFFFFF"/>
      <w:spacing w:before="100" w:beforeAutospacing="1" w:after="100" w:afterAutospacing="1"/>
      <w:jc w:val="left"/>
      <w:textAlignment w:val="center"/>
    </w:pPr>
    <w:rPr>
      <w:rFonts w:eastAsia="Times New Roman"/>
      <w:b/>
      <w:bCs/>
      <w:color w:val="000000"/>
      <w:szCs w:val="24"/>
    </w:rPr>
  </w:style>
  <w:style w:type="paragraph" w:customStyle="1" w:styleId="xl78">
    <w:name w:val="xl7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sz w:val="28"/>
      <w:szCs w:val="2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color w:val="000000"/>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20"/>
      <w:szCs w:val="20"/>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16"/>
      <w:szCs w:val="16"/>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94">
    <w:name w:val="xl94"/>
    <w:basedOn w:val="Normal"/>
    <w:pPr>
      <w:shd w:val="clear" w:color="000000" w:fill="FFFFFF"/>
      <w:spacing w:before="100" w:beforeAutospacing="1" w:after="100" w:afterAutospacing="1"/>
      <w:jc w:val="right"/>
      <w:textAlignment w:val="top"/>
    </w:pPr>
    <w:rPr>
      <w:rFonts w:eastAsia="Times New Roman"/>
      <w:sz w:val="20"/>
      <w:szCs w:val="20"/>
    </w:rPr>
  </w:style>
  <w:style w:type="paragraph" w:customStyle="1" w:styleId="xl95">
    <w:name w:val="xl95"/>
    <w:basedOn w:val="Normal"/>
    <w:pPr>
      <w:shd w:val="clear" w:color="000000" w:fill="FFFFFF"/>
      <w:spacing w:before="100" w:beforeAutospacing="1" w:after="100" w:afterAutospacing="1"/>
      <w:jc w:val="left"/>
      <w:textAlignment w:val="top"/>
    </w:pPr>
    <w:rPr>
      <w:rFonts w:eastAsia="Times New Roman"/>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0"/>
      <w:szCs w:val="20"/>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000000"/>
      <w:sz w:val="20"/>
      <w:szCs w:val="20"/>
    </w:rPr>
  </w:style>
  <w:style w:type="paragraph" w:customStyle="1" w:styleId="xl101">
    <w:name w:val="xl101"/>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20"/>
      <w:szCs w:val="2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 w:val="28"/>
      <w:szCs w:val="28"/>
    </w:rPr>
  </w:style>
  <w:style w:type="paragraph" w:customStyle="1" w:styleId="xl103">
    <w:name w:val="xl103"/>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0"/>
      <w:szCs w:val="20"/>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FF0000"/>
      <w:sz w:val="20"/>
      <w:szCs w:val="20"/>
    </w:rPr>
  </w:style>
  <w:style w:type="paragraph" w:customStyle="1" w:styleId="xl111">
    <w:name w:val="xl111"/>
    <w:basedOn w:val="Normal"/>
    <w:pPr>
      <w:shd w:val="clear" w:color="000000" w:fill="FFFFFF"/>
      <w:spacing w:before="100" w:beforeAutospacing="1" w:after="100" w:afterAutospacing="1"/>
      <w:jc w:val="center"/>
      <w:textAlignment w:val="top"/>
    </w:pPr>
    <w:rPr>
      <w:rFonts w:eastAsia="Times New Roman"/>
      <w:sz w:val="20"/>
      <w:szCs w:val="20"/>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FF0000"/>
      <w:sz w:val="20"/>
      <w:szCs w:val="20"/>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FF0000"/>
      <w:sz w:val="20"/>
      <w:szCs w:val="2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b/>
      <w:bCs/>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6"/>
      <w:szCs w:val="16"/>
    </w:rPr>
  </w:style>
  <w:style w:type="paragraph" w:customStyle="1" w:styleId="xl116">
    <w:name w:val="xl116"/>
    <w:basedOn w:val="Normal"/>
    <w:pPr>
      <w:spacing w:before="100" w:beforeAutospacing="1" w:after="100" w:afterAutospacing="1"/>
      <w:jc w:val="left"/>
      <w:textAlignment w:val="top"/>
    </w:pPr>
    <w:rPr>
      <w:rFonts w:ascii="Cambria" w:eastAsia="Times New Roman" w:hAnsi="Cambria"/>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3722">
      <w:bodyDiv w:val="1"/>
      <w:marLeft w:val="0"/>
      <w:marRight w:val="0"/>
      <w:marTop w:val="0"/>
      <w:marBottom w:val="0"/>
      <w:divBdr>
        <w:top w:val="none" w:sz="0" w:space="0" w:color="auto"/>
        <w:left w:val="none" w:sz="0" w:space="0" w:color="auto"/>
        <w:bottom w:val="none" w:sz="0" w:space="0" w:color="auto"/>
        <w:right w:val="none" w:sz="0" w:space="0" w:color="auto"/>
      </w:divBdr>
    </w:div>
    <w:div w:id="1508909600">
      <w:bodyDiv w:val="1"/>
      <w:marLeft w:val="0"/>
      <w:marRight w:val="0"/>
      <w:marTop w:val="0"/>
      <w:marBottom w:val="0"/>
      <w:divBdr>
        <w:top w:val="none" w:sz="0" w:space="0" w:color="auto"/>
        <w:left w:val="none" w:sz="0" w:space="0" w:color="auto"/>
        <w:bottom w:val="none" w:sz="0" w:space="0" w:color="auto"/>
        <w:right w:val="none" w:sz="0" w:space="0" w:color="auto"/>
      </w:divBdr>
    </w:div>
    <w:div w:id="152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9737C-023C-427E-861F-7D6FAEDB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722</Words>
  <Characters>3413</Characters>
  <Application>Microsoft Office Word</Application>
  <DocSecurity>0</DocSecurity>
  <Lines>162</Lines>
  <Paragraphs>133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2016-01-01T21:07:00Z</dcterms:created>
  <dcterms:modified xsi:type="dcterms:W3CDTF">2016-01-13T14:40:00Z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2</vt:lpwstr>
  </property>
  <property fmtid="{D5CDD505-2E9C-101B-9397-08002B2CF9AE}" pid="8" name="Last annex">
    <vt:lpwstr>2</vt:lpwstr>
  </property>
  <property fmtid="{D5CDD505-2E9C-101B-9397-08002B2CF9AE}" pid="9" name="Part">
    <vt:lpwstr>7</vt:lpwstr>
  </property>
  <property fmtid="{D5CDD505-2E9C-101B-9397-08002B2CF9AE}" pid="10" name="Total parts">
    <vt:lpwstr>8</vt:lpwstr>
  </property>
  <property fmtid="{D5CDD505-2E9C-101B-9397-08002B2CF9AE}" pid="11" name="LWTemplateID">
    <vt:lpwstr>SG-017</vt:lpwstr>
  </property>
  <property fmtid="{D5CDD505-2E9C-101B-9397-08002B2CF9AE}" pid="12" name="DQCStatus">
    <vt:lpwstr>Green (DQC version 03)</vt:lpwstr>
  </property>
</Properties>
</file>