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540ACF2643D4855A5B31077C98C5C2A"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t>ANNEXE</w:t>
      </w:r>
    </w:p>
    <w:p>
      <w:pPr>
        <w:jc w:val="center"/>
        <w:rPr>
          <w:b/>
          <w:noProof/>
        </w:rPr>
      </w:pPr>
      <w:r>
        <w:rPr>
          <w:b/>
          <w:noProof/>
        </w:rPr>
        <w:t>ANNEXE I: Appendice aux droits de douane de l’UE sur les produits originaires des États de l’APE CDAA – partie 7</w:t>
      </w:r>
    </w:p>
    <w:tbl>
      <w:tblPr>
        <w:tblW w:w="9240" w:type="dxa"/>
        <w:tblInd w:w="93" w:type="dxa"/>
        <w:tblLook w:val="04A0" w:firstRow="1" w:lastRow="0" w:firstColumn="1" w:lastColumn="0" w:noHBand="0" w:noVBand="1"/>
      </w:tblPr>
      <w:tblGrid>
        <w:gridCol w:w="7713"/>
        <w:gridCol w:w="1527"/>
      </w:tblGrid>
      <w:tr>
        <w:trPr>
          <w:trHeight w:val="510"/>
        </w:trPr>
        <w:tc>
          <w:tcPr>
            <w:tcW w:w="8280" w:type="dxa"/>
            <w:tcBorders>
              <w:top w:val="single" w:sz="4" w:space="0" w:color="auto"/>
              <w:left w:val="single" w:sz="4" w:space="0" w:color="auto"/>
              <w:bottom w:val="single" w:sz="4" w:space="0" w:color="auto"/>
              <w:right w:val="single" w:sz="4" w:space="0" w:color="auto"/>
            </w:tcBorders>
            <w:shd w:val="clear" w:color="000000" w:fill="F2F2F2"/>
            <w:hideMark/>
          </w:tcPr>
          <w:p>
            <w:pPr>
              <w:spacing w:before="0" w:after="0"/>
              <w:jc w:val="left"/>
              <w:rPr>
                <w:rFonts w:eastAsia="Times New Roman"/>
                <w:b/>
                <w:bCs/>
                <w:noProof/>
                <w:sz w:val="20"/>
                <w:szCs w:val="20"/>
              </w:rPr>
            </w:pPr>
            <w:r>
              <w:rPr>
                <w:b/>
                <w:noProof/>
                <w:sz w:val="20"/>
              </w:rPr>
              <w:t>Code NC et désignation</w:t>
            </w:r>
          </w:p>
        </w:tc>
        <w:tc>
          <w:tcPr>
            <w:tcW w:w="960" w:type="dxa"/>
            <w:tcBorders>
              <w:top w:val="single" w:sz="4" w:space="0" w:color="auto"/>
              <w:left w:val="nil"/>
              <w:bottom w:val="single" w:sz="4" w:space="0" w:color="auto"/>
              <w:right w:val="single" w:sz="4" w:space="0" w:color="auto"/>
            </w:tcBorders>
            <w:shd w:val="clear" w:color="000000" w:fill="F2F2F2"/>
            <w:hideMark/>
          </w:tcPr>
          <w:p>
            <w:pPr>
              <w:spacing w:before="0" w:after="0"/>
              <w:jc w:val="center"/>
              <w:rPr>
                <w:rFonts w:eastAsia="Times New Roman"/>
                <w:b/>
                <w:bCs/>
                <w:noProof/>
                <w:sz w:val="20"/>
                <w:szCs w:val="20"/>
              </w:rPr>
            </w:pPr>
            <w:r>
              <w:rPr>
                <w:b/>
                <w:noProof/>
                <w:sz w:val="20"/>
              </w:rPr>
              <w:t>Catégorie de démantèlement</w:t>
            </w:r>
          </w:p>
        </w:tc>
      </w:tr>
      <w:tr>
        <w:trPr>
          <w:trHeight w:val="109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20079939 - Confitures, gelées, marmelades, purées et pâtes de fruits, obtenues par cuisson, d’une teneur en sucres excédant 30 % en poids (à l’exclusion des produits élaborés à partir de framboises, fraises, cerises et agrumes, des purées et pâtes de marrons, des préparations homogénéisées du nº 2007.10 et des purées et pâtes de prunes en emballages excédant 100 kg destinées à la transformation industrielle)</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Pâtes de figues, de pistaches et de noisettes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Purées de fruits obtenues par passage dans un tamis puis portées à ébullition sous vide, dont les caractéristiques chimiques et le goût n’ont pas été modifiés par le procédé thermique</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Poires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Abricots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Pêches, y compris les brugnons et nectarines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Mélanges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avec addition de sucre, en emballages immédiats d’un contenu net excédant 1 kg</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de fruits tropicaux, y compris les mélanges contenant en poids 50 % ou plus de fruits tropicaux et fruits à coques tropicaux</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Mélanges dans lesquels aucun des fruits les composant ne dépasse 50 % en poids du total des fruits présentés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de fruits tropicaux, y compris les mélanges contenant en poids 50 % ou plus de fruits tropicaux et fruits à coques tropicaux</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O*</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Autres mélanges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de fruits tropicaux, y compris les mélanges contenant en poids 50 % ou plus de fruits tropicaux et fruits à coques tropicaux</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X</w:t>
            </w:r>
          </w:p>
        </w:tc>
      </w:tr>
      <w:tr>
        <w:trPr>
          <w:trHeight w:val="81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20079950 - Confitures, gelées, marmelades, purées et pâtes de fruits, obtenues par cuisson, d’une teneur en sucres excédant 13 % et n’excédant pas 30 % en poids (à l’exclusion des produits élaborés à partir d’agrumes et des préparations homogénéisées du nº 2007.10)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Purées et pâtes de marrons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Purées et compotes de pommes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Purées de fruits obtenues par passage dans un tamis puis portées à ébullition sous vide, dont les caractéristiques chimiques et le goût n’ont pas été modifiés par le procédé thermique</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Pâtes de figues, de pistaches et de noisettes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Purées de fruits obtenues par passage dans un tamis puis portées à ébullition sous vide, dont les caractéristiques chimiques et le goût n’ont pas été modifiés par le procédé thermique</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Poires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Abricots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Pêches, y compris les brugnons et nectarines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Mélanges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avec addition de sucre, en emballages immédiats d’un contenu net excédant 1 kg</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de fruits tropicaux, y compris les mélanges contenant en poids 50 % ou plus de fruits tropicaux et fruits à coques tropicaux</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Mélanges dans lesquels aucun des fruits les composant ne dépasse 50 % en poids du total des fruits présentés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de fruits tropicaux, y compris les mélanges contenant en poids 50 % ou plus de fruits tropicaux et fruits à coques tropicaux</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O*</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Autres mélanges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de fruits tropicaux, y compris les mélanges contenant en poids 50 % ou plus de fruits tropicaux et fruits à coques tropicaux</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85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20079997 - Confitures, gelées, marmelades, purées et pâtes de fruits, obtenues par cuisson, d’une teneur en sucres n’excédant pas 13 % en poids (à l’exclusion des produits élaborés à partir de fruits tropicaux et fruits à coques tropicaux et d’agrumes et des préparations homogénéisées du nº 2007.10)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Purées et compotes de pommes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Pâtes de figues, de pistaches et de noisettes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Pêches ou poires et mélanges de celles-ci, dans une gelée de ces fruits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Purées de fruits obtenues par passage dans un tamis puis portées à ébullition sous vide, dont les caractéristiques chimiques et le goût n’ont pas été modifiés par le procédé thermique</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Poires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Abricots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Pêches, y compris les brugnons et nectarines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Mélanges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sz w:val="20"/>
                <w:szCs w:val="20"/>
              </w:rPr>
            </w:pPr>
          </w:p>
        </w:tc>
      </w:tr>
      <w:tr>
        <w:trPr>
          <w:trHeight w:val="31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avec addition de sucre</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de fruits tropicaux, y compris les mélanges contenant en poids 50 % ou plus de fruits tropicaux et fruits à coques tropicaux</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noProof/>
                <w:sz w:val="20"/>
              </w:rPr>
              <w:t>---- sans addition de sucre, en emballages immédiats d’un contenu net de moins de 4,5 kg</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sz w:val="20"/>
                <w:szCs w:val="20"/>
              </w:rPr>
            </w:pP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de fruits tropicaux, y compris les mélanges contenant en poids 50 % ou plus de fruits tropicaux et fruits à coques tropicaux</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sans addition de sucre,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noProof/>
                <w:sz w:val="20"/>
              </w:rPr>
              <w:t>-- autres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noProof/>
                <w:sz w:val="20"/>
              </w:rPr>
              <w:t>A</w:t>
            </w:r>
          </w:p>
        </w:tc>
      </w:tr>
    </w:tbl>
    <w:p>
      <w:pPr>
        <w:rPr>
          <w:b/>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39: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5540ACF2643D4855A5B31077C98C5C2A"/>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_x000b_"/>
    <w:docVar w:name="LW_OBJETACTEPRINCIPAL.CP" w:val="relative à la conclusion de l\u8217?accord de partenariat économique entre l\u8217?Union européenne et ses États membres, d\u8217?une part, et les États de l\u8217?APE CDAA, d\u8217?autre part_x000b_"/>
    <w:docVar w:name="LW_PART_NBR" w:val="7"/>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08909600">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4167-7583-439B-9A67-1F0E3D3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788</Words>
  <Characters>3751</Characters>
  <Application>Microsoft Office Word</Application>
  <DocSecurity>0</DocSecurity>
  <Lines>163</Lines>
  <Paragraphs>129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2016-01-11T10:41:00Z</dcterms:created>
  <dcterms:modified xsi:type="dcterms:W3CDTF">2016-01-13T14:39:00Z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7</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