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B35B161300B4BD2A8CF01BCDBFD8263" style="width:450.8pt;height:411.35pt">
            <v:imagedata r:id="rId9" o:title=""/>
          </v:shape>
        </w:pict>
      </w:r>
    </w:p>
    <w:p>
      <w:pPr>
        <w:rPr>
          <w:noProof/>
          <w:szCs w:val="24"/>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spacing w:after="360"/>
        <w:rPr>
          <w:noProof/>
          <w:szCs w:val="24"/>
        </w:rPr>
      </w:pPr>
      <w:bookmarkStart w:id="0" w:name="_GoBack"/>
      <w:bookmarkEnd w:id="0"/>
      <w:r>
        <w:rPr>
          <w:noProof/>
        </w:rPr>
        <w:lastRenderedPageBreak/>
        <w:t>ANNEXE</w:t>
      </w:r>
    </w:p>
    <w:p>
      <w:pPr>
        <w:jc w:val="center"/>
        <w:rPr>
          <w:b/>
          <w:noProof/>
          <w:szCs w:val="24"/>
        </w:rPr>
      </w:pPr>
      <w:r>
        <w:rPr>
          <w:b/>
          <w:noProof/>
        </w:rPr>
        <w:t>ANNEXE I: Droits de douane de l’UE sur les produits originaires des États de l’APE CDAA – Partie 1</w:t>
      </w:r>
    </w:p>
    <w:p>
      <w:pPr>
        <w:jc w:val="center"/>
        <w:rPr>
          <w:b/>
          <w:noProof/>
          <w:szCs w:val="24"/>
          <w:u w:val="single"/>
        </w:rPr>
      </w:pPr>
      <w:r>
        <w:rPr>
          <w:b/>
          <w:noProof/>
          <w:u w:val="single"/>
        </w:rPr>
        <w:t>ANNEXE I</w:t>
      </w:r>
    </w:p>
    <w:p>
      <w:pPr>
        <w:jc w:val="center"/>
        <w:rPr>
          <w:b/>
          <w:noProof/>
        </w:rPr>
      </w:pPr>
      <w:r>
        <w:rPr>
          <w:b/>
          <w:smallCaps/>
          <w:noProof/>
        </w:rPr>
        <w:t>DROITS DE DOUANE DE L’UE SUR LES PRODUITS ORIGINAIRES DES ÉTATS DE L’APE CDAA</w:t>
      </w:r>
    </w:p>
    <w:p>
      <w:pPr>
        <w:jc w:val="center"/>
        <w:rPr>
          <w:b/>
          <w:smallCaps/>
          <w:noProof/>
        </w:rPr>
      </w:pPr>
      <w:r>
        <w:rPr>
          <w:b/>
          <w:smallCaps/>
          <w:noProof/>
        </w:rPr>
        <w:t>PARTIE I</w:t>
      </w:r>
    </w:p>
    <w:p>
      <w:pPr>
        <w:pStyle w:val="ManualNumPar1"/>
        <w:jc w:val="center"/>
        <w:rPr>
          <w:b/>
          <w:noProof/>
        </w:rPr>
      </w:pPr>
      <w:r>
        <w:rPr>
          <w:b/>
          <w:noProof/>
        </w:rPr>
        <w:t>NOTES GÉNÉRALES</w:t>
      </w:r>
    </w:p>
    <w:p>
      <w:pPr>
        <w:pStyle w:val="ManualNumPar1"/>
        <w:rPr>
          <w:rFonts w:eastAsia="Batang"/>
          <w:noProof/>
          <w:szCs w:val="24"/>
        </w:rPr>
      </w:pPr>
      <w:r>
        <w:rPr>
          <w:noProof/>
        </w:rPr>
        <w:t>1.</w:t>
      </w:r>
      <w:r>
        <w:rPr>
          <w:noProof/>
        </w:rPr>
        <w:tab/>
        <w:t>Lorsqu’une catégorie de démantèlement est signalée par une lettre, la concession ou la partie de la concession décrite dans la présente ANNEXE s’applique, pour les marchandises originaires d’un État de l’APE CDAA et présentées au dédouanement dans l’UE, à partir de la date d’entrée en vigueur du présent accord prévue à l’article 113, paragraphe 2, ou à partir de la date d’application provisoire pertinente prévue à l’article 113, paragraphe 4, la date la plus proche étant retenue.</w:t>
      </w:r>
    </w:p>
    <w:p>
      <w:pPr>
        <w:pStyle w:val="ManualNumPar1"/>
        <w:rPr>
          <w:rFonts w:eastAsia="Batang"/>
          <w:noProof/>
          <w:szCs w:val="24"/>
        </w:rPr>
      </w:pPr>
      <w:r>
        <w:rPr>
          <w:noProof/>
        </w:rPr>
        <w:t>2.</w:t>
      </w:r>
      <w:r>
        <w:rPr>
          <w:noProof/>
        </w:rPr>
        <w:tab/>
        <w:t>Lorsqu’une catégorie de démantèlement signalée par une lettre est également signalée par un astérisque (*), la concession ou la partie de la concession décrite dans la présente ANNEXE s’applique, pour les marchandises originaires d’un État de l’APE CDAA et présentées au dédouanement dans l’UE, à partir de la date à laquelle les deux conditions prévues à l’article 113, paragraphes 5 et 6, sont remplies.</w:t>
      </w:r>
    </w:p>
    <w:p>
      <w:pPr>
        <w:pStyle w:val="ManualNumPar1"/>
        <w:rPr>
          <w:rFonts w:eastAsia="Batang"/>
          <w:noProof/>
          <w:szCs w:val="24"/>
        </w:rPr>
      </w:pPr>
      <w:r>
        <w:rPr>
          <w:noProof/>
        </w:rPr>
        <w:t>3.</w:t>
      </w:r>
      <w:r>
        <w:rPr>
          <w:noProof/>
        </w:rPr>
        <w:tab/>
        <w:t>Lorsque la colonne intitulée «Catégorie de démantèlement pour l’Afrique du Sud» de la liste figurant dans la PARTIE II indique un droit de douane au lieu d’une catégorie de démantèlement signalée par une lettre, ce droit, tel que décrit dans la présente ANNEXE, s’applique à partir de la date visée au point 1.</w:t>
      </w:r>
    </w:p>
    <w:p>
      <w:pPr>
        <w:pStyle w:val="ManualNumPar1"/>
        <w:rPr>
          <w:rFonts w:eastAsia="Batang"/>
          <w:noProof/>
          <w:szCs w:val="24"/>
        </w:rPr>
      </w:pPr>
      <w:r>
        <w:rPr>
          <w:noProof/>
        </w:rPr>
        <w:t>4.</w:t>
      </w:r>
      <w:r>
        <w:rPr>
          <w:noProof/>
        </w:rPr>
        <w:tab/>
        <w:t>Les références génériques à une catégorie de marchandises indiquées entre crochets dans les sections A et B sont données uniquement à titre indicatif. Les produits relevant de chaque catégorie de démantèlement sont définis dans la liste figurant dans la PARTIE II.</w:t>
      </w:r>
    </w:p>
    <w:p>
      <w:pPr>
        <w:pStyle w:val="ManualNumPar1"/>
        <w:rPr>
          <w:noProof/>
          <w:szCs w:val="24"/>
        </w:rPr>
      </w:pPr>
      <w:r>
        <w:rPr>
          <w:noProof/>
        </w:rPr>
        <w:t>5.</w:t>
      </w:r>
      <w:r>
        <w:rPr>
          <w:noProof/>
        </w:rPr>
        <w:tab/>
        <w:t>Outre les exigences établies à l’article 23, paragraphe 5, à la date d’entrée en vigueur du présent accord, l’UE notifie au ministère du commerce et de l’industrie de l’Afrique du Sud la liste des droits qu’elle applique aux marchandises originaires d’Afrique du Sud relevant des catégories de démantèlement «B*» et «C*» la veille de l’entrée en vigueur du présent accord. Après la notification prévue par le présent point, l’UE publie ladite liste, conformément à ses procédures internes, dans un délai d’un mois suivant la notification. Lors de sa première réunion après la notification et la publication, le comité «Commerce et développement» adopte ladite liste communiquée par l’UE.</w:t>
      </w:r>
    </w:p>
    <w:p>
      <w:pPr>
        <w:jc w:val="center"/>
        <w:rPr>
          <w:b/>
          <w:noProof/>
        </w:rPr>
      </w:pPr>
      <w:r>
        <w:rPr>
          <w:b/>
          <w:noProof/>
        </w:rPr>
        <w:t>SECTION A</w:t>
      </w:r>
    </w:p>
    <w:p>
      <w:pPr>
        <w:jc w:val="center"/>
        <w:rPr>
          <w:rFonts w:eastAsia="Batang"/>
          <w:b/>
          <w:smallCaps/>
          <w:noProof/>
          <w:szCs w:val="24"/>
        </w:rPr>
      </w:pPr>
      <w:r>
        <w:rPr>
          <w:b/>
          <w:noProof/>
        </w:rPr>
        <w:t>ÉLIMINATION DES DROITS DE DOUANE</w:t>
      </w:r>
    </w:p>
    <w:p>
      <w:pPr>
        <w:pStyle w:val="ManualNumPar1"/>
        <w:rPr>
          <w:rFonts w:eastAsia="Batang"/>
          <w:noProof/>
          <w:szCs w:val="24"/>
        </w:rPr>
      </w:pPr>
      <w:r>
        <w:rPr>
          <w:noProof/>
        </w:rPr>
        <w:t>6.</w:t>
      </w:r>
      <w:r>
        <w:rPr>
          <w:noProof/>
        </w:rPr>
        <w:tab/>
        <w:t>Sauf disposition contraire dans la liste de l’UE figurant dans la PARTIE II de la présente ANNEXE, les catégories de démantèlement ci-après s’appliquent à l’élimination des droits de douane par l’UE conformément à l’article 24.</w:t>
      </w:r>
    </w:p>
    <w:p>
      <w:pPr>
        <w:pStyle w:val="Point1"/>
        <w:rPr>
          <w:noProof/>
        </w:rPr>
      </w:pPr>
      <w:r>
        <w:rPr>
          <w:noProof/>
        </w:rPr>
        <w:lastRenderedPageBreak/>
        <w:t>a)</w:t>
      </w:r>
      <w:r>
        <w:rPr>
          <w:noProof/>
        </w:rPr>
        <w:tab/>
        <w:t>Les droits de douane sur les marchandises originaires indiquées comme relevant de la catégorie de démantèlement «A» dans la liste de l’UE sont éliminés à la date visée au point 1 de la présente ANNEXE.</w:t>
      </w:r>
    </w:p>
    <w:p>
      <w:pPr>
        <w:pStyle w:val="Point1"/>
        <w:rPr>
          <w:noProof/>
        </w:rPr>
      </w:pPr>
      <w:r>
        <w:rPr>
          <w:noProof/>
        </w:rPr>
        <w:t>b)</w:t>
      </w:r>
      <w:r>
        <w:rPr>
          <w:noProof/>
        </w:rPr>
        <w:tab/>
        <w:t>Les droits de douane sur les marchandises originaires indiquées comme relevant de la catégorie de démantèlement «A*» dans la liste de l’UE sont éliminés à la date visée au point 2 de la présente ANNEXE.</w:t>
      </w:r>
    </w:p>
    <w:p>
      <w:pPr>
        <w:pStyle w:val="Point1"/>
        <w:rPr>
          <w:noProof/>
        </w:rPr>
      </w:pPr>
      <w:r>
        <w:rPr>
          <w:noProof/>
        </w:rPr>
        <w:t>c)</w:t>
      </w:r>
      <w:r>
        <w:rPr>
          <w:noProof/>
        </w:rPr>
        <w:tab/>
        <w:t>[</w:t>
      </w:r>
      <w:r>
        <w:rPr>
          <w:i/>
          <w:noProof/>
        </w:rPr>
        <w:t>poissons</w:t>
      </w:r>
      <w:r>
        <w:rPr>
          <w:noProof/>
        </w:rPr>
        <w:t>] Les droits de douane sur les marchandises originaires indiquées comme relevant de la catégorie de démantèlement «B*» dans la liste de l’UE sont progressivement éliminés conformément aux dispositions suivantes:</w:t>
      </w:r>
    </w:p>
    <w:p>
      <w:pPr>
        <w:pStyle w:val="Point2"/>
        <w:rPr>
          <w:noProof/>
        </w:rPr>
      </w:pPr>
      <w:r>
        <w:rPr>
          <w:noProof/>
        </w:rPr>
        <w:t>i)</w:t>
      </w:r>
      <w:r>
        <w:rPr>
          <w:noProof/>
        </w:rPr>
        <w:tab/>
        <w:t>à la date visée au point 2 de la présente ANNEXE, chaque droit de douane est ramené à 83 % du droit de douane de l’UE appliqué aux marchandises originaires d’Afrique du Sud la veille de l’entrée en vigueur du présent accord;</w:t>
      </w:r>
    </w:p>
    <w:p>
      <w:pPr>
        <w:pStyle w:val="Point2"/>
        <w:rPr>
          <w:noProof/>
        </w:rPr>
      </w:pPr>
      <w:r>
        <w:rPr>
          <w:noProof/>
        </w:rPr>
        <w:t>ii)</w:t>
      </w:r>
      <w:r>
        <w:rPr>
          <w:noProof/>
        </w:rPr>
        <w:tab/>
        <w:t>le 1</w:t>
      </w:r>
      <w:r>
        <w:rPr>
          <w:noProof/>
          <w:vertAlign w:val="superscript"/>
        </w:rPr>
        <w:t>er</w:t>
      </w:r>
      <w:r>
        <w:rPr>
          <w:noProof/>
        </w:rPr>
        <w:t xml:space="preserve"> janvier qui suit la date visée au point 2 de la présente ANNEXE, chaque droit de douane est à nouveau réduit et ramené à 67 % du droit de douane de l’UE appliqué aux marchandises originaires d’Afrique du Sud la veille de l’entrée en vigueur du présent accord;</w:t>
      </w:r>
    </w:p>
    <w:p>
      <w:pPr>
        <w:pStyle w:val="Point2"/>
        <w:rPr>
          <w:noProof/>
        </w:rPr>
      </w:pPr>
      <w:r>
        <w:rPr>
          <w:noProof/>
        </w:rPr>
        <w:t>iii)</w:t>
      </w:r>
      <w:r>
        <w:rPr>
          <w:noProof/>
        </w:rPr>
        <w:tab/>
        <w:t>un an après le 1</w:t>
      </w:r>
      <w:r>
        <w:rPr>
          <w:noProof/>
          <w:vertAlign w:val="superscript"/>
        </w:rPr>
        <w:t>er</w:t>
      </w:r>
      <w:r>
        <w:rPr>
          <w:noProof/>
        </w:rPr>
        <w:t xml:space="preserve"> janvier qui suit la date visée au point 2 de la présente ANNEXE, chaque droit de douane est à nouveau réduit et ramené à 50 % du droit de douane de l’UE appliqué aux marchandises originaires d’Afrique du Sud la veille de l’entrée en vigueur du présent accord;</w:t>
      </w:r>
    </w:p>
    <w:p>
      <w:pPr>
        <w:pStyle w:val="Point2"/>
        <w:rPr>
          <w:noProof/>
        </w:rPr>
      </w:pPr>
      <w:r>
        <w:rPr>
          <w:noProof/>
        </w:rPr>
        <w:t>iv)</w:t>
      </w:r>
      <w:r>
        <w:rPr>
          <w:noProof/>
        </w:rPr>
        <w:tab/>
        <w:t>deux (2) ans après le 1</w:t>
      </w:r>
      <w:r>
        <w:rPr>
          <w:noProof/>
          <w:vertAlign w:val="superscript"/>
        </w:rPr>
        <w:t>er</w:t>
      </w:r>
      <w:r>
        <w:rPr>
          <w:noProof/>
        </w:rPr>
        <w:t xml:space="preserve"> janvier qui suit la date visée au point 2 de la présente ANNEXE, chaque droit de douane est à nouveau réduit et ramené à 33 % du droit de douane de l’UE appliqué aux marchandises originaires d’Afrique du Sud la veille de l’entrée en vigueur du présent accord;</w:t>
      </w:r>
    </w:p>
    <w:p>
      <w:pPr>
        <w:pStyle w:val="Point2"/>
        <w:rPr>
          <w:noProof/>
        </w:rPr>
      </w:pPr>
      <w:r>
        <w:rPr>
          <w:noProof/>
        </w:rPr>
        <w:t>v)</w:t>
      </w:r>
      <w:r>
        <w:rPr>
          <w:noProof/>
        </w:rPr>
        <w:tab/>
        <w:t>trois (3) ans après le 1</w:t>
      </w:r>
      <w:r>
        <w:rPr>
          <w:noProof/>
          <w:vertAlign w:val="superscript"/>
        </w:rPr>
        <w:t>er</w:t>
      </w:r>
      <w:r>
        <w:rPr>
          <w:noProof/>
        </w:rPr>
        <w:t xml:space="preserve"> janvier qui suit la date visée au point 2 de la présente ANNEXE, chaque droit de douane est à nouveau réduit et ramené à 17 % du droit de douane de l’UE appliqué aux marchandises originaires d’Afrique du Sud la veille de l’entrée en vigueur du présent accord; et</w:t>
      </w:r>
    </w:p>
    <w:p>
      <w:pPr>
        <w:pStyle w:val="Point2"/>
        <w:rPr>
          <w:noProof/>
        </w:rPr>
      </w:pPr>
      <w:r>
        <w:rPr>
          <w:noProof/>
        </w:rPr>
        <w:t>vi)</w:t>
      </w:r>
      <w:r>
        <w:rPr>
          <w:noProof/>
        </w:rPr>
        <w:tab/>
        <w:t>quatre (4) ans après le 1</w:t>
      </w:r>
      <w:r>
        <w:rPr>
          <w:noProof/>
          <w:vertAlign w:val="superscript"/>
        </w:rPr>
        <w:t>er</w:t>
      </w:r>
      <w:r>
        <w:rPr>
          <w:noProof/>
        </w:rPr>
        <w:t xml:space="preserve"> janvier qui suit la date visée au point 2 de la présente ANNEXE, les droits de douane restants sont éliminés.</w:t>
      </w:r>
    </w:p>
    <w:p>
      <w:pPr>
        <w:pStyle w:val="Point1"/>
        <w:rPr>
          <w:rFonts w:eastAsia="Batang"/>
          <w:noProof/>
          <w:szCs w:val="24"/>
        </w:rPr>
      </w:pPr>
      <w:r>
        <w:rPr>
          <w:noProof/>
        </w:rPr>
        <w:t>d)</w:t>
      </w:r>
      <w:r>
        <w:rPr>
          <w:noProof/>
        </w:rPr>
        <w:tab/>
        <w:t>[</w:t>
      </w:r>
      <w:r>
        <w:rPr>
          <w:i/>
          <w:noProof/>
        </w:rPr>
        <w:t>poissons</w:t>
      </w:r>
      <w:r>
        <w:rPr>
          <w:noProof/>
        </w:rPr>
        <w:t>] Les droits de douane sur les marchandises originaires indiquées comme relevant de la catégorie de démantèlement «C*» dans la liste de l’UE sont progressivement éliminés conformément aux dispositions suivantes:</w:t>
      </w:r>
    </w:p>
    <w:p>
      <w:pPr>
        <w:pStyle w:val="Point2"/>
        <w:rPr>
          <w:noProof/>
        </w:rPr>
      </w:pPr>
      <w:r>
        <w:rPr>
          <w:noProof/>
        </w:rPr>
        <w:t>i)</w:t>
      </w:r>
      <w:r>
        <w:rPr>
          <w:noProof/>
        </w:rPr>
        <w:tab/>
        <w:t>à la date visée au point 2 de la présente ANNEXE, chaque droit de douane est ramené à 90 % du droit de douane de l’UE appliqué aux marchandises originaires d’Afrique du Sud la veille de l’entrée en vigueur du présent accord;</w:t>
      </w:r>
    </w:p>
    <w:p>
      <w:pPr>
        <w:pStyle w:val="Point2"/>
        <w:rPr>
          <w:noProof/>
        </w:rPr>
      </w:pPr>
      <w:r>
        <w:rPr>
          <w:noProof/>
        </w:rPr>
        <w:t>ii)</w:t>
      </w:r>
      <w:r>
        <w:rPr>
          <w:noProof/>
        </w:rPr>
        <w:tab/>
        <w:t>le 1</w:t>
      </w:r>
      <w:r>
        <w:rPr>
          <w:noProof/>
          <w:vertAlign w:val="superscript"/>
        </w:rPr>
        <w:t>er</w:t>
      </w:r>
      <w:r>
        <w:rPr>
          <w:noProof/>
        </w:rPr>
        <w:t xml:space="preserve"> janvier qui suit la date visée au point 2 de la présente ANNEXE, chaque droit de douane est à nouveau réduit et ramené à 80 % du droit de douane de l’UE appliqué aux marchandises originaires d’Afrique du Sud la veille de l’entrée en vigueur du présent accord;</w:t>
      </w:r>
    </w:p>
    <w:p>
      <w:pPr>
        <w:pStyle w:val="Point2"/>
        <w:rPr>
          <w:noProof/>
        </w:rPr>
      </w:pPr>
      <w:r>
        <w:rPr>
          <w:noProof/>
        </w:rPr>
        <w:lastRenderedPageBreak/>
        <w:t>iii)</w:t>
      </w:r>
      <w:r>
        <w:rPr>
          <w:noProof/>
        </w:rPr>
        <w:tab/>
        <w:t>un an après le 1</w:t>
      </w:r>
      <w:r>
        <w:rPr>
          <w:noProof/>
          <w:vertAlign w:val="superscript"/>
        </w:rPr>
        <w:t>er</w:t>
      </w:r>
      <w:r>
        <w:rPr>
          <w:noProof/>
        </w:rPr>
        <w:t xml:space="preserve"> janvier qui suit la date visée au point 2 de la présente ANNEXE, chaque droit de douane est à nouveau réduit et ramené à 70 % du droit de douane de l’UE appliqué aux marchandises originaires d’Afrique du Sud la veille de l’entrée en vigueur du présent accord;</w:t>
      </w:r>
    </w:p>
    <w:p>
      <w:pPr>
        <w:pStyle w:val="Point2"/>
        <w:rPr>
          <w:noProof/>
        </w:rPr>
      </w:pPr>
      <w:r>
        <w:rPr>
          <w:noProof/>
        </w:rPr>
        <w:t>iv)</w:t>
      </w:r>
      <w:r>
        <w:rPr>
          <w:noProof/>
        </w:rPr>
        <w:tab/>
        <w:t>deux (2) ans après le 1</w:t>
      </w:r>
      <w:r>
        <w:rPr>
          <w:noProof/>
          <w:vertAlign w:val="superscript"/>
        </w:rPr>
        <w:t>er</w:t>
      </w:r>
      <w:r>
        <w:rPr>
          <w:noProof/>
        </w:rPr>
        <w:t xml:space="preserve"> janvier qui suit la date visée au point 2 de la présente ANNEXE, chaque droit de douane est à nouveau réduit et ramené à 60 % du droit de douane de l’UE appliqué aux marchandises originaires d’Afrique du Sud la veille de l’entrée en vigueur du présent accord;</w:t>
      </w:r>
    </w:p>
    <w:p>
      <w:pPr>
        <w:pStyle w:val="Point2"/>
        <w:rPr>
          <w:noProof/>
        </w:rPr>
      </w:pPr>
      <w:r>
        <w:rPr>
          <w:noProof/>
        </w:rPr>
        <w:t>v)</w:t>
      </w:r>
      <w:r>
        <w:rPr>
          <w:noProof/>
        </w:rPr>
        <w:tab/>
        <w:t>trois (3) ans après le 1</w:t>
      </w:r>
      <w:r>
        <w:rPr>
          <w:noProof/>
          <w:vertAlign w:val="superscript"/>
        </w:rPr>
        <w:t>er</w:t>
      </w:r>
      <w:r>
        <w:rPr>
          <w:noProof/>
        </w:rPr>
        <w:t xml:space="preserve"> janvier qui suit la date visée au point 2 de la présente ANNEXE, chaque droit de douane est à nouveau réduit et ramené à 50 % du droit de douane de l’UE appliqué aux marchandises originaires d’Afrique du Sud la veille de l’entrée en vigueur du présent accord;</w:t>
      </w:r>
    </w:p>
    <w:p>
      <w:pPr>
        <w:pStyle w:val="Point2"/>
        <w:rPr>
          <w:noProof/>
        </w:rPr>
      </w:pPr>
      <w:r>
        <w:rPr>
          <w:noProof/>
        </w:rPr>
        <w:t>vi)</w:t>
      </w:r>
      <w:r>
        <w:rPr>
          <w:noProof/>
        </w:rPr>
        <w:tab/>
        <w:t>quatre (4) ans après le 1</w:t>
      </w:r>
      <w:r>
        <w:rPr>
          <w:noProof/>
          <w:vertAlign w:val="superscript"/>
        </w:rPr>
        <w:t>er</w:t>
      </w:r>
      <w:r>
        <w:rPr>
          <w:noProof/>
        </w:rPr>
        <w:t xml:space="preserve"> janvier qui suit la date visée au point 2 de la présente ANNEXE, chaque droit de douane est à nouveau réduit et ramené à 40 % du droit de douane de l’UE appliqué aux marchandises originaires d’Afrique du Sud la veille de l’entrée en vigueur du présent accord;</w:t>
      </w:r>
    </w:p>
    <w:p>
      <w:pPr>
        <w:pStyle w:val="Point2"/>
        <w:rPr>
          <w:noProof/>
        </w:rPr>
      </w:pPr>
      <w:r>
        <w:rPr>
          <w:noProof/>
        </w:rPr>
        <w:t>vii)</w:t>
      </w:r>
      <w:r>
        <w:rPr>
          <w:noProof/>
        </w:rPr>
        <w:tab/>
        <w:t>cinq (5) ans après le 1</w:t>
      </w:r>
      <w:r>
        <w:rPr>
          <w:noProof/>
          <w:vertAlign w:val="superscript"/>
        </w:rPr>
        <w:t>er</w:t>
      </w:r>
      <w:r>
        <w:rPr>
          <w:noProof/>
        </w:rPr>
        <w:t xml:space="preserve"> janvier qui suit la date visée au point 2 de la présente ANNEXE, chaque droit de douane est à nouveau réduit et ramené à 30 % du droit de douane de l’UE appliqué aux marchandises originaires d’Afrique du Sud la veille de l’entrée en vigueur du présent accord;</w:t>
      </w:r>
    </w:p>
    <w:p>
      <w:pPr>
        <w:pStyle w:val="Point2"/>
        <w:rPr>
          <w:noProof/>
        </w:rPr>
      </w:pPr>
      <w:r>
        <w:rPr>
          <w:noProof/>
        </w:rPr>
        <w:t>viii)</w:t>
      </w:r>
      <w:r>
        <w:rPr>
          <w:noProof/>
        </w:rPr>
        <w:tab/>
        <w:t>six (6) ans après le 1</w:t>
      </w:r>
      <w:r>
        <w:rPr>
          <w:noProof/>
          <w:vertAlign w:val="superscript"/>
        </w:rPr>
        <w:t>er</w:t>
      </w:r>
      <w:r>
        <w:rPr>
          <w:noProof/>
        </w:rPr>
        <w:t xml:space="preserve"> janvier qui suit la date visée au point 2 de la présente ANNEXE, chaque droit de douane est à nouveau réduit et ramené à 20 % du droit de douane de l’UE appliqué aux marchandises originaires d’Afrique du Sud la veille de l’entrée en vigueur du présent accord;</w:t>
      </w:r>
    </w:p>
    <w:p>
      <w:pPr>
        <w:pStyle w:val="Point2"/>
        <w:rPr>
          <w:noProof/>
        </w:rPr>
      </w:pPr>
      <w:r>
        <w:rPr>
          <w:noProof/>
        </w:rPr>
        <w:t>ix)</w:t>
      </w:r>
      <w:r>
        <w:rPr>
          <w:noProof/>
        </w:rPr>
        <w:tab/>
        <w:t>sept (7) ans après le 1</w:t>
      </w:r>
      <w:r>
        <w:rPr>
          <w:noProof/>
          <w:vertAlign w:val="superscript"/>
        </w:rPr>
        <w:t>er</w:t>
      </w:r>
      <w:r>
        <w:rPr>
          <w:noProof/>
        </w:rPr>
        <w:t xml:space="preserve"> janvier qui suit la date visée au point 2 de la présente ANNEXE, chaque droit de douane est à nouveau réduit et ramené à 10 % du droit de douane de l’UE appliqué aux marchandises originaires d’Afrique du Sud la veille de l’entrée en vigueur du présent accord; et</w:t>
      </w:r>
    </w:p>
    <w:p>
      <w:pPr>
        <w:pStyle w:val="Point2"/>
        <w:rPr>
          <w:noProof/>
          <w:szCs w:val="24"/>
        </w:rPr>
      </w:pPr>
      <w:r>
        <w:rPr>
          <w:noProof/>
        </w:rPr>
        <w:t>x)</w:t>
      </w:r>
      <w:r>
        <w:rPr>
          <w:noProof/>
        </w:rPr>
        <w:tab/>
        <w:t>huit (8) ans après le 1</w:t>
      </w:r>
      <w:r>
        <w:rPr>
          <w:noProof/>
          <w:vertAlign w:val="superscript"/>
        </w:rPr>
        <w:t>er</w:t>
      </w:r>
      <w:r>
        <w:rPr>
          <w:noProof/>
        </w:rPr>
        <w:t xml:space="preserve"> janvier qui suit la date visée au point 2 de la présente ANNEXE, les droits de douane restants sont éliminés.</w:t>
      </w:r>
    </w:p>
    <w:p>
      <w:pPr>
        <w:pStyle w:val="Point1"/>
        <w:rPr>
          <w:rFonts w:eastAsia="Batang"/>
          <w:noProof/>
          <w:szCs w:val="24"/>
        </w:rPr>
      </w:pPr>
      <w:r>
        <w:rPr>
          <w:noProof/>
        </w:rPr>
        <w:t>e)</w:t>
      </w:r>
      <w:r>
        <w:rPr>
          <w:noProof/>
        </w:rPr>
        <w:tab/>
        <w:t>[</w:t>
      </w:r>
      <w:r>
        <w:rPr>
          <w:i/>
          <w:noProof/>
        </w:rPr>
        <w:t>oranges douces</w:t>
      </w:r>
      <w:r>
        <w:rPr>
          <w:noProof/>
        </w:rPr>
        <w:t>] Les droits de douane sur les marchandises originaires indiquées comme relevant de la catégorie de démantèlement «D*» dans la liste de l’UE sont, à partir de la date visée au point 1 de la présente ANNEXE, exclus des engagements de réduction tarifaire, sauf pendant:</w:t>
      </w:r>
    </w:p>
    <w:p>
      <w:pPr>
        <w:pStyle w:val="Bullet2"/>
        <w:numPr>
          <w:ilvl w:val="0"/>
          <w:numId w:val="28"/>
        </w:numPr>
        <w:rPr>
          <w:noProof/>
        </w:rPr>
      </w:pPr>
      <w:r>
        <w:rPr>
          <w:noProof/>
        </w:rPr>
        <w:t>la période du 1</w:t>
      </w:r>
      <w:r>
        <w:rPr>
          <w:noProof/>
          <w:vertAlign w:val="superscript"/>
        </w:rPr>
        <w:t>er</w:t>
      </w:r>
      <w:r>
        <w:rPr>
          <w:noProof/>
        </w:rPr>
        <w:t xml:space="preserve"> juin au 15 octobre, durant laquelle aucun droit n’est appliqué, et</w:t>
      </w:r>
    </w:p>
    <w:p>
      <w:pPr>
        <w:pStyle w:val="Bullet2"/>
        <w:rPr>
          <w:noProof/>
        </w:rPr>
      </w:pPr>
      <w:r>
        <w:rPr>
          <w:noProof/>
        </w:rPr>
        <w:lastRenderedPageBreak/>
        <w:t>la période du 16 octobre au 30 novembre, et avec effet à la date visée au point 2 de la présente ANNEXE, durant laquelle les droits de douane sont progressivement éliminés conformément aux dispositions suivantes:</w:t>
      </w:r>
    </w:p>
    <w:p>
      <w:pPr>
        <w:pStyle w:val="Point3"/>
        <w:rPr>
          <w:noProof/>
        </w:rPr>
      </w:pPr>
      <w:r>
        <w:rPr>
          <w:noProof/>
        </w:rPr>
        <w:t>i)</w:t>
      </w:r>
      <w:r>
        <w:rPr>
          <w:noProof/>
        </w:rPr>
        <w:tab/>
        <w:t>à la date visée au point 2 de la présente ANNEXE, chaque droit de douane est ramené à 91 % du droit de base;</w:t>
      </w:r>
    </w:p>
    <w:p>
      <w:pPr>
        <w:pStyle w:val="Point3"/>
        <w:rPr>
          <w:noProof/>
        </w:rPr>
      </w:pPr>
      <w:r>
        <w:rPr>
          <w:noProof/>
        </w:rPr>
        <w:t>ii)</w:t>
      </w:r>
      <w:r>
        <w:rPr>
          <w:noProof/>
        </w:rPr>
        <w:tab/>
        <w:t>le 1</w:t>
      </w:r>
      <w:r>
        <w:rPr>
          <w:noProof/>
          <w:vertAlign w:val="superscript"/>
        </w:rPr>
        <w:t>er</w:t>
      </w:r>
      <w:r>
        <w:rPr>
          <w:noProof/>
        </w:rPr>
        <w:t xml:space="preserve"> janvier qui suit la date visée au point 2 de la présente ANNEXE, chaque droit de douane est à nouveau réduit et ramené à 82 % du droit de base;</w:t>
      </w:r>
    </w:p>
    <w:p>
      <w:pPr>
        <w:pStyle w:val="Point3"/>
        <w:rPr>
          <w:noProof/>
        </w:rPr>
      </w:pPr>
      <w:r>
        <w:rPr>
          <w:noProof/>
        </w:rPr>
        <w:t>iii)</w:t>
      </w:r>
      <w:r>
        <w:rPr>
          <w:noProof/>
        </w:rPr>
        <w:tab/>
        <w:t>un an après le 1</w:t>
      </w:r>
      <w:r>
        <w:rPr>
          <w:noProof/>
          <w:vertAlign w:val="superscript"/>
        </w:rPr>
        <w:t>er</w:t>
      </w:r>
      <w:r>
        <w:rPr>
          <w:noProof/>
        </w:rPr>
        <w:t xml:space="preserve"> janvier qui suit la date visée au point 2 de la présente ANNEXE, chaque droit de douane est à nouveau réduit et ramené à 73 % du droit de base;</w:t>
      </w:r>
    </w:p>
    <w:p>
      <w:pPr>
        <w:pStyle w:val="Point3"/>
        <w:rPr>
          <w:noProof/>
        </w:rPr>
      </w:pPr>
      <w:r>
        <w:rPr>
          <w:noProof/>
        </w:rPr>
        <w:t>iv)</w:t>
      </w:r>
      <w:r>
        <w:rPr>
          <w:noProof/>
        </w:rPr>
        <w:tab/>
        <w:t>deux (2) ans après le 1</w:t>
      </w:r>
      <w:r>
        <w:rPr>
          <w:noProof/>
          <w:vertAlign w:val="superscript"/>
        </w:rPr>
        <w:t>er</w:t>
      </w:r>
      <w:r>
        <w:rPr>
          <w:noProof/>
        </w:rPr>
        <w:t xml:space="preserve"> janvier qui suit la date visée au point 2 de la présente ANNEXE, chaque droit de douane est à nouveau réduit et ramené à 64 % du droit de base;</w:t>
      </w:r>
    </w:p>
    <w:p>
      <w:pPr>
        <w:pStyle w:val="Point3"/>
        <w:rPr>
          <w:noProof/>
        </w:rPr>
      </w:pPr>
      <w:r>
        <w:rPr>
          <w:noProof/>
        </w:rPr>
        <w:t>v)</w:t>
      </w:r>
      <w:r>
        <w:rPr>
          <w:noProof/>
        </w:rPr>
        <w:tab/>
        <w:t>trois (3) ans après le 1</w:t>
      </w:r>
      <w:r>
        <w:rPr>
          <w:noProof/>
          <w:vertAlign w:val="superscript"/>
        </w:rPr>
        <w:t>er</w:t>
      </w:r>
      <w:r>
        <w:rPr>
          <w:noProof/>
        </w:rPr>
        <w:t xml:space="preserve"> janvier qui suit la date visée au point 2 de la présente ANNEXE, chaque droit de douane est à nouveau réduit et ramené à 55 % du droit de base;</w:t>
      </w:r>
    </w:p>
    <w:p>
      <w:pPr>
        <w:pStyle w:val="Point3"/>
        <w:rPr>
          <w:noProof/>
        </w:rPr>
      </w:pPr>
      <w:r>
        <w:rPr>
          <w:noProof/>
        </w:rPr>
        <w:t>vi)</w:t>
      </w:r>
      <w:r>
        <w:rPr>
          <w:noProof/>
        </w:rPr>
        <w:tab/>
        <w:t>quatre (4) ans après le 1</w:t>
      </w:r>
      <w:r>
        <w:rPr>
          <w:noProof/>
          <w:vertAlign w:val="superscript"/>
        </w:rPr>
        <w:t>er</w:t>
      </w:r>
      <w:r>
        <w:rPr>
          <w:noProof/>
        </w:rPr>
        <w:t xml:space="preserve"> janvier qui suit la date visée au point 2 de la présente ANNEXE, chaque droit de douane est à nouveau réduit et ramené à 45 % du droit de base;</w:t>
      </w:r>
    </w:p>
    <w:p>
      <w:pPr>
        <w:pStyle w:val="Point3"/>
        <w:rPr>
          <w:noProof/>
        </w:rPr>
      </w:pPr>
      <w:r>
        <w:rPr>
          <w:noProof/>
        </w:rPr>
        <w:t>vii)</w:t>
      </w:r>
      <w:r>
        <w:rPr>
          <w:noProof/>
        </w:rPr>
        <w:tab/>
        <w:t>cinq (5) ans après le 1</w:t>
      </w:r>
      <w:r>
        <w:rPr>
          <w:noProof/>
          <w:vertAlign w:val="superscript"/>
        </w:rPr>
        <w:t>er</w:t>
      </w:r>
      <w:r>
        <w:rPr>
          <w:noProof/>
        </w:rPr>
        <w:t xml:space="preserve"> janvier qui suit la date visée au point 2 de la présente ANNEXE, chaque droit de douane est à nouveau réduit et ramené à 36 % du droit de base;</w:t>
      </w:r>
    </w:p>
    <w:p>
      <w:pPr>
        <w:pStyle w:val="Point3"/>
        <w:rPr>
          <w:noProof/>
        </w:rPr>
      </w:pPr>
      <w:r>
        <w:rPr>
          <w:noProof/>
        </w:rPr>
        <w:t>viii)</w:t>
      </w:r>
      <w:r>
        <w:rPr>
          <w:noProof/>
        </w:rPr>
        <w:tab/>
        <w:t>six (6) ans après le 1</w:t>
      </w:r>
      <w:r>
        <w:rPr>
          <w:noProof/>
          <w:vertAlign w:val="superscript"/>
        </w:rPr>
        <w:t>er</w:t>
      </w:r>
      <w:r>
        <w:rPr>
          <w:noProof/>
        </w:rPr>
        <w:t xml:space="preserve"> janvier qui suit la date visée au point 2 de la présente ANNEXE, chaque droit de douane est à nouveau réduit et ramené à 27 % du droit de base;</w:t>
      </w:r>
    </w:p>
    <w:p>
      <w:pPr>
        <w:pStyle w:val="Point3"/>
        <w:rPr>
          <w:noProof/>
        </w:rPr>
      </w:pPr>
      <w:r>
        <w:rPr>
          <w:noProof/>
        </w:rPr>
        <w:t>ix)</w:t>
      </w:r>
      <w:r>
        <w:rPr>
          <w:noProof/>
        </w:rPr>
        <w:tab/>
        <w:t>sept (7) ans après le 1</w:t>
      </w:r>
      <w:r>
        <w:rPr>
          <w:noProof/>
          <w:vertAlign w:val="superscript"/>
        </w:rPr>
        <w:t>er</w:t>
      </w:r>
      <w:r>
        <w:rPr>
          <w:noProof/>
        </w:rPr>
        <w:t xml:space="preserve"> janvier qui suit la date visée au point 2 de la présente ANNEXE, chaque droit de douane est à nouveau réduit et ramené à 18 % du droit de base;</w:t>
      </w:r>
    </w:p>
    <w:p>
      <w:pPr>
        <w:pStyle w:val="Point3"/>
        <w:rPr>
          <w:noProof/>
        </w:rPr>
      </w:pPr>
      <w:r>
        <w:rPr>
          <w:noProof/>
        </w:rPr>
        <w:t>x)</w:t>
      </w:r>
      <w:r>
        <w:rPr>
          <w:noProof/>
        </w:rPr>
        <w:tab/>
        <w:t>huit (8) ans après le 1</w:t>
      </w:r>
      <w:r>
        <w:rPr>
          <w:noProof/>
          <w:vertAlign w:val="superscript"/>
        </w:rPr>
        <w:t>er</w:t>
      </w:r>
      <w:r>
        <w:rPr>
          <w:noProof/>
        </w:rPr>
        <w:t xml:space="preserve"> janvier qui suit la date visée au point 2 de la présente ANNEXE, chaque droit de douane est à nouveau réduit et ramené à 9 % du droit de base; et</w:t>
      </w:r>
    </w:p>
    <w:p>
      <w:pPr>
        <w:pStyle w:val="Point3"/>
        <w:rPr>
          <w:noProof/>
        </w:rPr>
      </w:pPr>
      <w:r>
        <w:rPr>
          <w:noProof/>
        </w:rPr>
        <w:t>xi)</w:t>
      </w:r>
      <w:r>
        <w:rPr>
          <w:noProof/>
        </w:rPr>
        <w:tab/>
        <w:t>neuf (9) ans après le 1</w:t>
      </w:r>
      <w:r>
        <w:rPr>
          <w:noProof/>
          <w:vertAlign w:val="superscript"/>
        </w:rPr>
        <w:t>er</w:t>
      </w:r>
      <w:r>
        <w:rPr>
          <w:noProof/>
        </w:rPr>
        <w:t xml:space="preserve"> janvier qui suit la date visée au point 2 de la présente ANNEXE, les droits de douane restants sont éliminés.</w:t>
      </w:r>
    </w:p>
    <w:p>
      <w:pPr>
        <w:pStyle w:val="ManualNumPar1"/>
        <w:rPr>
          <w:rFonts w:eastAsia="Batang"/>
          <w:noProof/>
          <w:szCs w:val="24"/>
        </w:rPr>
      </w:pPr>
      <w:r>
        <w:rPr>
          <w:noProof/>
        </w:rPr>
        <w:t>7.</w:t>
      </w:r>
      <w:r>
        <w:rPr>
          <w:noProof/>
        </w:rPr>
        <w:tab/>
        <w:t>Les droits de douane sur les marchandises originaires relevant des positions de la catégorie de démantèlement «X» dans la liste de l’UE sont exclus des engagements de réduction tarifaire.</w:t>
      </w:r>
    </w:p>
    <w:p>
      <w:pPr>
        <w:jc w:val="center"/>
        <w:rPr>
          <w:b/>
          <w:noProof/>
        </w:rPr>
      </w:pPr>
      <w:r>
        <w:rPr>
          <w:b/>
          <w:noProof/>
        </w:rPr>
        <w:t>SECTION B</w:t>
      </w:r>
    </w:p>
    <w:p>
      <w:pPr>
        <w:jc w:val="center"/>
        <w:rPr>
          <w:b/>
          <w:noProof/>
        </w:rPr>
      </w:pPr>
      <w:r>
        <w:rPr>
          <w:b/>
          <w:noProof/>
        </w:rPr>
        <w:t>CONTINGENTS TARIFAIRES POUR CERTAINES MARCHANDISES</w:t>
      </w:r>
    </w:p>
    <w:p>
      <w:pPr>
        <w:pStyle w:val="ManualNumPar1"/>
        <w:rPr>
          <w:rFonts w:eastAsia="Batang"/>
          <w:noProof/>
          <w:szCs w:val="24"/>
        </w:rPr>
      </w:pPr>
      <w:r>
        <w:rPr>
          <w:noProof/>
        </w:rPr>
        <w:t>8.</w:t>
      </w:r>
      <w:r>
        <w:rPr>
          <w:noProof/>
        </w:rPr>
        <w:tab/>
        <w:t>Les contingents tarifaires octroyés par l’UE au titre du présent accord sont gérés selon le principe du «premier arrivé, premier servi».</w:t>
      </w:r>
    </w:p>
    <w:p>
      <w:pPr>
        <w:pStyle w:val="ManualNumPar1"/>
        <w:rPr>
          <w:rFonts w:eastAsia="Batang"/>
          <w:noProof/>
          <w:szCs w:val="24"/>
        </w:rPr>
      </w:pPr>
      <w:r>
        <w:rPr>
          <w:noProof/>
        </w:rPr>
        <w:lastRenderedPageBreak/>
        <w:t>9.</w:t>
      </w:r>
      <w:r>
        <w:rPr>
          <w:noProof/>
        </w:rPr>
        <w:tab/>
        <w:t>Les contingents tarifaires qui étaient appliqués aux importations dans l’UE de marchandises originaires d’Afrique du Sud au titre de l’accord CDC (ci-après dénommés «contingents tarifaires de l’accord CDC») et qui sont octroyés au titre du présent accord dans les mêmes conditions s’appliquent à partir de la date visée au point 1 de la présente ANNEXE. Si la date visée au point 1 de la présente ANNEXE correspond à une date postérieure au 1</w:t>
      </w:r>
      <w:r>
        <w:rPr>
          <w:noProof/>
          <w:vertAlign w:val="superscript"/>
        </w:rPr>
        <w:t>er</w:t>
      </w:r>
      <w:r>
        <w:rPr>
          <w:noProof/>
        </w:rPr>
        <w:t xml:space="preserve"> janvier et antérieure au 31 décembre de la même année civile, la quantité de marchandises importées dans l’UE au titre des contingents tarifaires de l’accord CDC entre le 1</w:t>
      </w:r>
      <w:r>
        <w:rPr>
          <w:noProof/>
          <w:vertAlign w:val="superscript"/>
        </w:rPr>
        <w:t>er</w:t>
      </w:r>
      <w:r>
        <w:rPr>
          <w:noProof/>
        </w:rPr>
        <w:t xml:space="preserve"> janvier de l’année de la date visée au point 1 de la présente ANNEXE et ladite date est soustraite de la quantité de marchandises pouvant être importées dans l’UE au titre des contingents tarifaires correspondants prévus par le présent accord.</w:t>
      </w:r>
    </w:p>
    <w:p>
      <w:pPr>
        <w:pStyle w:val="ManualNumPar1"/>
        <w:rPr>
          <w:rFonts w:eastAsia="Batang"/>
          <w:noProof/>
          <w:szCs w:val="24"/>
        </w:rPr>
      </w:pPr>
      <w:r>
        <w:rPr>
          <w:noProof/>
        </w:rPr>
        <w:t>10.</w:t>
      </w:r>
      <w:r>
        <w:rPr>
          <w:noProof/>
        </w:rPr>
        <w:tab/>
        <w:t>Les droits de douane sur les marchandises entrées en excédent des quantités indiquées dans la présente section sont traités – même en l’absence d’une identification en ce sens dans la liste de l’UE – conformément à la catégorie de démantèlement «X», comme décrit à la section A, point 7.</w:t>
      </w:r>
    </w:p>
    <w:p>
      <w:pPr>
        <w:pStyle w:val="ManualNumPar1"/>
        <w:rPr>
          <w:rFonts w:eastAsia="Batang"/>
          <w:noProof/>
          <w:szCs w:val="24"/>
        </w:rPr>
      </w:pPr>
      <w:r>
        <w:rPr>
          <w:noProof/>
        </w:rPr>
        <w:t>11.</w:t>
      </w:r>
      <w:r>
        <w:rPr>
          <w:noProof/>
        </w:rPr>
        <w:tab/>
        <w:t>Sans préjudice de l’article 116, les parties, à la demande de l’une ou l’autre d’entre elles, réexaminent l’administration des contingents tarifaires, y compris en ce qui concerne leur efficacité pour garantir le remplissage des contingents. Les parties peuvent formuler des recommandations afin d’ajuster le fonctionnement des contingents tarifaires à la lumière de ce réexamen.</w:t>
      </w:r>
    </w:p>
    <w:p>
      <w:pPr>
        <w:pStyle w:val="ManualNumPar1"/>
        <w:rPr>
          <w:rFonts w:eastAsia="Batang"/>
          <w:noProof/>
          <w:szCs w:val="24"/>
        </w:rPr>
      </w:pPr>
      <w:r>
        <w:rPr>
          <w:noProof/>
        </w:rPr>
        <w:t>12.</w:t>
      </w:r>
      <w:r>
        <w:rPr>
          <w:noProof/>
        </w:rPr>
        <w:tab/>
        <w:t>Les catégories de démantèlement ci-après s’appliquent aux contingents tarifaires octroyés par l’UE au titre de l’article 24, paragraphe 2.</w:t>
      </w:r>
    </w:p>
    <w:p>
      <w:pPr>
        <w:pStyle w:val="Point1"/>
        <w:rPr>
          <w:rFonts w:eastAsia="Batang"/>
          <w:i/>
          <w:noProof/>
          <w:szCs w:val="24"/>
        </w:rPr>
      </w:pPr>
      <w:r>
        <w:rPr>
          <w:noProof/>
        </w:rPr>
        <w:t>a)</w:t>
      </w:r>
      <w:r>
        <w:rPr>
          <w:noProof/>
        </w:rPr>
        <w:tab/>
        <w:t>[</w:t>
      </w:r>
      <w:r>
        <w:rPr>
          <w:i/>
          <w:noProof/>
        </w:rPr>
        <w:t>lait en poudre écrémé</w:t>
      </w:r>
      <w:r>
        <w:rPr>
          <w:noProof/>
        </w:rPr>
        <w:t>] La quantité agrégée de marchandises originaires relevant de la catégorie de démantèlement «E*» dont l’entrée est autorisée en franchise de droits chaque année civile, avec effet à la date visée au point 2 de la présente ANNEXE, est précisée ci-dessous: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7"/>
      </w:tblGrid>
      <w:tr>
        <w:trPr>
          <w:jc w:val="center"/>
        </w:trPr>
        <w:tc>
          <w:tcPr>
            <w:tcW w:w="2017" w:type="dxa"/>
            <w:tcBorders>
              <w:top w:val="nil"/>
              <w:left w:val="nil"/>
              <w:bottom w:val="nil"/>
              <w:right w:val="nil"/>
            </w:tcBorders>
          </w:tcPr>
          <w:p>
            <w:pPr>
              <w:contextualSpacing/>
              <w:rPr>
                <w:rFonts w:eastAsia="Batang"/>
                <w:noProof/>
                <w:szCs w:val="24"/>
              </w:rPr>
            </w:pPr>
            <w:r>
              <w:rPr>
                <w:noProof/>
              </w:rPr>
              <w:t>Quantité</w:t>
            </w:r>
          </w:p>
        </w:tc>
      </w:tr>
      <w:tr>
        <w:trPr>
          <w:jc w:val="center"/>
        </w:trPr>
        <w:tc>
          <w:tcPr>
            <w:tcW w:w="2017" w:type="dxa"/>
            <w:tcBorders>
              <w:top w:val="nil"/>
              <w:left w:val="nil"/>
              <w:bottom w:val="single" w:sz="4" w:space="0" w:color="000000"/>
              <w:right w:val="nil"/>
            </w:tcBorders>
          </w:tcPr>
          <w:p>
            <w:pPr>
              <w:contextualSpacing/>
              <w:rPr>
                <w:rFonts w:eastAsia="Batang"/>
                <w:noProof/>
                <w:szCs w:val="24"/>
              </w:rPr>
            </w:pPr>
            <w:r>
              <w:rPr>
                <w:noProof/>
              </w:rPr>
              <w:t>(tonnes métriques)</w:t>
            </w:r>
          </w:p>
        </w:tc>
      </w:tr>
      <w:tr>
        <w:trPr>
          <w:jc w:val="center"/>
        </w:trPr>
        <w:tc>
          <w:tcPr>
            <w:tcW w:w="2017" w:type="dxa"/>
            <w:tcBorders>
              <w:top w:val="single" w:sz="4" w:space="0" w:color="000000"/>
              <w:left w:val="nil"/>
              <w:bottom w:val="nil"/>
              <w:right w:val="nil"/>
            </w:tcBorders>
            <w:vAlign w:val="center"/>
          </w:tcPr>
          <w:p>
            <w:pPr>
              <w:contextualSpacing/>
              <w:rPr>
                <w:rFonts w:eastAsia="Batang"/>
                <w:noProof/>
                <w:szCs w:val="24"/>
              </w:rPr>
            </w:pPr>
            <w:r>
              <w:rPr>
                <w:noProof/>
              </w:rPr>
              <w:t>500</w:t>
            </w:r>
          </w:p>
        </w:tc>
      </w:tr>
    </w:tbl>
    <w:p>
      <w:pPr>
        <w:pStyle w:val="Text2"/>
        <w:rPr>
          <w:noProof/>
        </w:rPr>
      </w:pPr>
      <w:r>
        <w:rPr>
          <w:noProof/>
        </w:rPr>
        <w:t>Si la date visée au point 2 de la présente ANNEXE correspond à une date postérieure au 1</w:t>
      </w:r>
      <w:r>
        <w:rPr>
          <w:noProof/>
          <w:vertAlign w:val="superscript"/>
        </w:rPr>
        <w:t>er</w:t>
      </w:r>
      <w:r>
        <w:rPr>
          <w:noProof/>
        </w:rPr>
        <w:t xml:space="preserve"> janvier et antérieure au 31 décembre de la même année civile, la quantité du contingent tarifaire qui est applicable pour le reste de l’année civile en question est réduite au prorata du nombre de jours restants dans ladite année civile.</w:t>
      </w:r>
    </w:p>
    <w:p>
      <w:pPr>
        <w:pStyle w:val="Point1"/>
        <w:rPr>
          <w:i/>
          <w:noProof/>
        </w:rPr>
      </w:pPr>
      <w:r>
        <w:rPr>
          <w:noProof/>
        </w:rPr>
        <w:t>b)</w:t>
      </w:r>
      <w:r>
        <w:rPr>
          <w:noProof/>
        </w:rPr>
        <w:tab/>
        <w:t>[</w:t>
      </w:r>
      <w:r>
        <w:rPr>
          <w:i/>
          <w:noProof/>
        </w:rPr>
        <w:t>beurre</w:t>
      </w:r>
      <w:r>
        <w:rPr>
          <w:noProof/>
        </w:rPr>
        <w:t>] La quantité agrégée de marchandises originaires relevant de la catégorie de démantèlement «F*» dont l’entrée est autorisée en franchise de droits chaque année civile, avec effet à la date visée au point 2 de la présente ANNEXE, est précisée ci-dessous: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2"/>
      </w:tblGrid>
      <w:tr>
        <w:trPr>
          <w:jc w:val="center"/>
        </w:trPr>
        <w:tc>
          <w:tcPr>
            <w:tcW w:w="2072" w:type="dxa"/>
            <w:tcBorders>
              <w:top w:val="nil"/>
              <w:left w:val="nil"/>
              <w:bottom w:val="nil"/>
              <w:right w:val="nil"/>
            </w:tcBorders>
          </w:tcPr>
          <w:p>
            <w:pPr>
              <w:contextualSpacing/>
              <w:rPr>
                <w:rFonts w:eastAsia="Batang"/>
                <w:noProof/>
                <w:szCs w:val="24"/>
              </w:rPr>
            </w:pPr>
            <w:r>
              <w:rPr>
                <w:noProof/>
              </w:rPr>
              <w:t>Quantité</w:t>
            </w:r>
          </w:p>
        </w:tc>
      </w:tr>
      <w:tr>
        <w:trPr>
          <w:jc w:val="center"/>
        </w:trPr>
        <w:tc>
          <w:tcPr>
            <w:tcW w:w="2072" w:type="dxa"/>
            <w:tcBorders>
              <w:top w:val="nil"/>
              <w:left w:val="nil"/>
              <w:bottom w:val="single" w:sz="4" w:space="0" w:color="000000"/>
              <w:right w:val="nil"/>
            </w:tcBorders>
          </w:tcPr>
          <w:p>
            <w:pPr>
              <w:contextualSpacing/>
              <w:rPr>
                <w:rFonts w:eastAsia="Batang"/>
                <w:noProof/>
                <w:szCs w:val="24"/>
              </w:rPr>
            </w:pPr>
            <w:r>
              <w:rPr>
                <w:noProof/>
              </w:rPr>
              <w:t>(tonnes métriques)</w:t>
            </w:r>
          </w:p>
        </w:tc>
      </w:tr>
      <w:tr>
        <w:trPr>
          <w:jc w:val="center"/>
        </w:trPr>
        <w:tc>
          <w:tcPr>
            <w:tcW w:w="2072" w:type="dxa"/>
            <w:tcBorders>
              <w:top w:val="single" w:sz="4" w:space="0" w:color="000000"/>
              <w:left w:val="nil"/>
              <w:bottom w:val="nil"/>
              <w:right w:val="nil"/>
            </w:tcBorders>
            <w:vAlign w:val="center"/>
          </w:tcPr>
          <w:p>
            <w:pPr>
              <w:contextualSpacing/>
              <w:rPr>
                <w:rFonts w:eastAsia="Batang"/>
                <w:noProof/>
                <w:szCs w:val="24"/>
              </w:rPr>
            </w:pPr>
            <w:r>
              <w:rPr>
                <w:noProof/>
              </w:rPr>
              <w:t>500</w:t>
            </w:r>
          </w:p>
        </w:tc>
      </w:tr>
    </w:tbl>
    <w:p>
      <w:pPr>
        <w:pStyle w:val="Text2"/>
        <w:rPr>
          <w:noProof/>
          <w:szCs w:val="24"/>
        </w:rPr>
      </w:pPr>
      <w:r>
        <w:rPr>
          <w:noProof/>
        </w:rPr>
        <w:t>Si la date visée au point 2 de la présente ANNEXE correspond à une date postérieure au 1</w:t>
      </w:r>
      <w:r>
        <w:rPr>
          <w:noProof/>
          <w:vertAlign w:val="superscript"/>
        </w:rPr>
        <w:t>er</w:t>
      </w:r>
      <w:r>
        <w:rPr>
          <w:noProof/>
        </w:rPr>
        <w:t xml:space="preserve"> janvier et antérieure au 31 décembre de la même année civile, la quantité du contingent tarifaire qui est applicable pour le reste de l’année civile en question est réduite au prorata du nombre de jours restants dans ladite année civile.</w:t>
      </w:r>
    </w:p>
    <w:p>
      <w:pPr>
        <w:pStyle w:val="Point1"/>
        <w:rPr>
          <w:rFonts w:eastAsia="Batang"/>
          <w:noProof/>
          <w:szCs w:val="24"/>
        </w:rPr>
      </w:pPr>
      <w:r>
        <w:rPr>
          <w:noProof/>
        </w:rPr>
        <w:t>c)</w:t>
      </w:r>
      <w:r>
        <w:rPr>
          <w:noProof/>
        </w:rPr>
        <w:tab/>
        <w:t>[</w:t>
      </w:r>
      <w:r>
        <w:rPr>
          <w:i/>
          <w:noProof/>
        </w:rPr>
        <w:t>fleurs: roses, orchidées et chrysanthèmes</w:t>
      </w:r>
      <w:r>
        <w:rPr>
          <w:noProof/>
        </w:rPr>
        <w:t>] La quantité agrégée de marchandises originaires relevant de la catégorie de démantèlement «G*» dont l’entrée est autorisée chaque année civile à un taux de droit égal à 50 % du taux NPF appliqué, avec effet à la date visée au point 1 de la présente ANNEXE et jusqu’à la date visée au point 2 de la présente ANNEXE, est précisée ci-dessous: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8"/>
        <w:gridCol w:w="1312"/>
        <w:gridCol w:w="2024"/>
      </w:tblGrid>
      <w:tr>
        <w:trPr>
          <w:jc w:val="center"/>
        </w:trPr>
        <w:tc>
          <w:tcPr>
            <w:tcW w:w="1058" w:type="dxa"/>
            <w:tcBorders>
              <w:top w:val="nil"/>
              <w:left w:val="nil"/>
              <w:bottom w:val="nil"/>
              <w:right w:val="nil"/>
            </w:tcBorders>
          </w:tcPr>
          <w:p>
            <w:pPr>
              <w:contextualSpacing/>
              <w:rPr>
                <w:rFonts w:eastAsia="Batang"/>
                <w:noProof/>
                <w:szCs w:val="24"/>
              </w:rPr>
            </w:pPr>
            <w:r>
              <w:rPr>
                <w:noProof/>
              </w:rPr>
              <w:t>Année</w:t>
            </w:r>
          </w:p>
        </w:tc>
        <w:tc>
          <w:tcPr>
            <w:tcW w:w="1312" w:type="dxa"/>
            <w:tcBorders>
              <w:top w:val="nil"/>
              <w:left w:val="nil"/>
              <w:bottom w:val="nil"/>
              <w:right w:val="nil"/>
            </w:tcBorders>
          </w:tcPr>
          <w:p>
            <w:pPr>
              <w:contextualSpacing/>
              <w:rPr>
                <w:rFonts w:eastAsia="Batang"/>
                <w:noProof/>
                <w:szCs w:val="24"/>
              </w:rPr>
            </w:pPr>
          </w:p>
        </w:tc>
        <w:tc>
          <w:tcPr>
            <w:tcW w:w="2024" w:type="dxa"/>
            <w:tcBorders>
              <w:top w:val="nil"/>
              <w:left w:val="nil"/>
              <w:bottom w:val="nil"/>
              <w:right w:val="nil"/>
            </w:tcBorders>
          </w:tcPr>
          <w:p>
            <w:pPr>
              <w:contextualSpacing/>
              <w:rPr>
                <w:rFonts w:eastAsia="Batang"/>
                <w:noProof/>
                <w:szCs w:val="24"/>
              </w:rPr>
            </w:pPr>
            <w:r>
              <w:rPr>
                <w:noProof/>
              </w:rPr>
              <w:t>Quantité</w:t>
            </w:r>
          </w:p>
        </w:tc>
      </w:tr>
      <w:tr>
        <w:trPr>
          <w:jc w:val="center"/>
        </w:trPr>
        <w:tc>
          <w:tcPr>
            <w:tcW w:w="1058" w:type="dxa"/>
            <w:tcBorders>
              <w:top w:val="nil"/>
              <w:left w:val="nil"/>
              <w:bottom w:val="single" w:sz="4" w:space="0" w:color="000000"/>
              <w:right w:val="nil"/>
            </w:tcBorders>
          </w:tcPr>
          <w:p>
            <w:pPr>
              <w:contextualSpacing/>
              <w:rPr>
                <w:rFonts w:eastAsia="Batang"/>
                <w:noProof/>
                <w:szCs w:val="24"/>
              </w:rPr>
            </w:pPr>
          </w:p>
        </w:tc>
        <w:tc>
          <w:tcPr>
            <w:tcW w:w="1312" w:type="dxa"/>
            <w:tcBorders>
              <w:top w:val="nil"/>
              <w:left w:val="nil"/>
              <w:bottom w:val="single" w:sz="4" w:space="0" w:color="000000"/>
              <w:right w:val="nil"/>
            </w:tcBorders>
          </w:tcPr>
          <w:p>
            <w:pPr>
              <w:contextualSpacing/>
              <w:rPr>
                <w:rFonts w:eastAsia="Batang"/>
                <w:noProof/>
                <w:szCs w:val="24"/>
              </w:rPr>
            </w:pPr>
          </w:p>
        </w:tc>
        <w:tc>
          <w:tcPr>
            <w:tcW w:w="2024" w:type="dxa"/>
            <w:tcBorders>
              <w:top w:val="nil"/>
              <w:left w:val="nil"/>
              <w:bottom w:val="single" w:sz="4" w:space="0" w:color="000000"/>
              <w:right w:val="nil"/>
            </w:tcBorders>
          </w:tcPr>
          <w:p>
            <w:pPr>
              <w:contextualSpacing/>
              <w:rPr>
                <w:rFonts w:eastAsia="Batang"/>
                <w:noProof/>
                <w:szCs w:val="24"/>
              </w:rPr>
            </w:pPr>
            <w:r>
              <w:rPr>
                <w:noProof/>
              </w:rPr>
              <w:t>(tonnes métriques)</w:t>
            </w:r>
          </w:p>
        </w:tc>
      </w:tr>
      <w:tr>
        <w:trPr>
          <w:jc w:val="center"/>
        </w:trPr>
        <w:tc>
          <w:tcPr>
            <w:tcW w:w="1058" w:type="dxa"/>
            <w:tcBorders>
              <w:top w:val="single" w:sz="4" w:space="0" w:color="000000"/>
              <w:left w:val="nil"/>
              <w:bottom w:val="nil"/>
              <w:right w:val="nil"/>
            </w:tcBorders>
          </w:tcPr>
          <w:p>
            <w:pPr>
              <w:contextualSpacing/>
              <w:rPr>
                <w:rFonts w:eastAsia="Batang"/>
                <w:noProof/>
                <w:szCs w:val="24"/>
              </w:rPr>
            </w:pPr>
          </w:p>
        </w:tc>
        <w:tc>
          <w:tcPr>
            <w:tcW w:w="1312" w:type="dxa"/>
            <w:tcBorders>
              <w:top w:val="single" w:sz="4" w:space="0" w:color="000000"/>
              <w:left w:val="nil"/>
              <w:bottom w:val="nil"/>
              <w:right w:val="nil"/>
            </w:tcBorders>
          </w:tcPr>
          <w:p>
            <w:pPr>
              <w:contextualSpacing/>
              <w:rPr>
                <w:rFonts w:eastAsia="Batang"/>
                <w:noProof/>
                <w:szCs w:val="24"/>
              </w:rPr>
            </w:pPr>
          </w:p>
        </w:tc>
        <w:tc>
          <w:tcPr>
            <w:tcW w:w="2024" w:type="dxa"/>
            <w:tcBorders>
              <w:top w:val="single" w:sz="4" w:space="0" w:color="000000"/>
              <w:left w:val="nil"/>
              <w:bottom w:val="nil"/>
              <w:right w:val="nil"/>
            </w:tcBorders>
          </w:tcPr>
          <w:p>
            <w:pPr>
              <w:contextualSpacing/>
              <w:rPr>
                <w:rFonts w:eastAsia="Batang"/>
                <w:noProof/>
                <w:szCs w:val="24"/>
              </w:rPr>
            </w:pPr>
          </w:p>
        </w:tc>
      </w:tr>
      <w:tr>
        <w:trPr>
          <w:jc w:val="center"/>
        </w:trPr>
        <w:tc>
          <w:tcPr>
            <w:tcW w:w="1058" w:type="dxa"/>
            <w:tcBorders>
              <w:top w:val="nil"/>
              <w:left w:val="nil"/>
              <w:bottom w:val="nil"/>
              <w:right w:val="nil"/>
            </w:tcBorders>
          </w:tcPr>
          <w:p>
            <w:pPr>
              <w:contextualSpacing/>
              <w:rPr>
                <w:rFonts w:eastAsia="Batang"/>
                <w:noProof/>
                <w:szCs w:val="24"/>
              </w:rPr>
            </w:pPr>
            <w:r>
              <w:rPr>
                <w:noProof/>
              </w:rPr>
              <w:t>2015</w:t>
            </w:r>
          </w:p>
        </w:tc>
        <w:tc>
          <w:tcPr>
            <w:tcW w:w="1312" w:type="dxa"/>
            <w:tcBorders>
              <w:top w:val="nil"/>
              <w:left w:val="nil"/>
              <w:bottom w:val="nil"/>
              <w:right w:val="nil"/>
            </w:tcBorders>
          </w:tcPr>
          <w:p>
            <w:pPr>
              <w:contextualSpacing/>
              <w:rPr>
                <w:rFonts w:eastAsia="Batang"/>
                <w:noProof/>
                <w:szCs w:val="24"/>
              </w:rPr>
            </w:pPr>
          </w:p>
        </w:tc>
        <w:tc>
          <w:tcPr>
            <w:tcW w:w="2024" w:type="dxa"/>
            <w:tcBorders>
              <w:top w:val="nil"/>
              <w:left w:val="nil"/>
              <w:bottom w:val="nil"/>
              <w:right w:val="nil"/>
            </w:tcBorders>
          </w:tcPr>
          <w:p>
            <w:pPr>
              <w:contextualSpacing/>
              <w:rPr>
                <w:rFonts w:eastAsia="Batang"/>
                <w:noProof/>
                <w:szCs w:val="24"/>
              </w:rPr>
            </w:pPr>
            <w:r>
              <w:rPr>
                <w:noProof/>
              </w:rPr>
              <w:t>725</w:t>
            </w:r>
          </w:p>
        </w:tc>
      </w:tr>
      <w:tr>
        <w:trPr>
          <w:jc w:val="center"/>
        </w:trPr>
        <w:tc>
          <w:tcPr>
            <w:tcW w:w="1058" w:type="dxa"/>
            <w:tcBorders>
              <w:top w:val="nil"/>
              <w:left w:val="nil"/>
              <w:bottom w:val="nil"/>
              <w:right w:val="nil"/>
            </w:tcBorders>
          </w:tcPr>
          <w:p>
            <w:pPr>
              <w:contextualSpacing/>
              <w:rPr>
                <w:rFonts w:eastAsia="Batang"/>
                <w:noProof/>
                <w:szCs w:val="24"/>
              </w:rPr>
            </w:pPr>
            <w:r>
              <w:rPr>
                <w:noProof/>
              </w:rPr>
              <w:t>2016</w:t>
            </w:r>
          </w:p>
        </w:tc>
        <w:tc>
          <w:tcPr>
            <w:tcW w:w="1312" w:type="dxa"/>
            <w:tcBorders>
              <w:top w:val="nil"/>
              <w:left w:val="nil"/>
              <w:bottom w:val="nil"/>
              <w:right w:val="nil"/>
            </w:tcBorders>
          </w:tcPr>
          <w:p>
            <w:pPr>
              <w:contextualSpacing/>
              <w:rPr>
                <w:rFonts w:eastAsia="Batang"/>
                <w:noProof/>
                <w:szCs w:val="24"/>
              </w:rPr>
            </w:pPr>
          </w:p>
        </w:tc>
        <w:tc>
          <w:tcPr>
            <w:tcW w:w="2024" w:type="dxa"/>
            <w:tcBorders>
              <w:top w:val="nil"/>
              <w:left w:val="nil"/>
              <w:bottom w:val="nil"/>
              <w:right w:val="nil"/>
            </w:tcBorders>
          </w:tcPr>
          <w:p>
            <w:pPr>
              <w:contextualSpacing/>
              <w:rPr>
                <w:rFonts w:eastAsia="Batang"/>
                <w:noProof/>
                <w:szCs w:val="24"/>
              </w:rPr>
            </w:pPr>
            <w:r>
              <w:rPr>
                <w:noProof/>
              </w:rPr>
              <w:t>740</w:t>
            </w:r>
          </w:p>
        </w:tc>
      </w:tr>
      <w:tr>
        <w:trPr>
          <w:jc w:val="center"/>
        </w:trPr>
        <w:tc>
          <w:tcPr>
            <w:tcW w:w="1058" w:type="dxa"/>
            <w:tcBorders>
              <w:top w:val="nil"/>
              <w:left w:val="nil"/>
              <w:bottom w:val="nil"/>
              <w:right w:val="nil"/>
            </w:tcBorders>
          </w:tcPr>
          <w:p>
            <w:pPr>
              <w:contextualSpacing/>
              <w:rPr>
                <w:rFonts w:eastAsia="Batang"/>
                <w:noProof/>
                <w:szCs w:val="24"/>
              </w:rPr>
            </w:pPr>
            <w:r>
              <w:rPr>
                <w:noProof/>
              </w:rPr>
              <w:t>2017</w:t>
            </w:r>
          </w:p>
        </w:tc>
        <w:tc>
          <w:tcPr>
            <w:tcW w:w="1312" w:type="dxa"/>
            <w:tcBorders>
              <w:top w:val="nil"/>
              <w:left w:val="nil"/>
              <w:bottom w:val="nil"/>
              <w:right w:val="nil"/>
            </w:tcBorders>
          </w:tcPr>
          <w:p>
            <w:pPr>
              <w:contextualSpacing/>
              <w:rPr>
                <w:rFonts w:eastAsia="Batang"/>
                <w:noProof/>
                <w:szCs w:val="24"/>
              </w:rPr>
            </w:pPr>
          </w:p>
        </w:tc>
        <w:tc>
          <w:tcPr>
            <w:tcW w:w="2024" w:type="dxa"/>
            <w:tcBorders>
              <w:top w:val="nil"/>
              <w:left w:val="nil"/>
              <w:bottom w:val="nil"/>
              <w:right w:val="nil"/>
            </w:tcBorders>
          </w:tcPr>
          <w:p>
            <w:pPr>
              <w:contextualSpacing/>
              <w:rPr>
                <w:rFonts w:eastAsia="Batang"/>
                <w:noProof/>
                <w:szCs w:val="24"/>
              </w:rPr>
            </w:pPr>
            <w:r>
              <w:rPr>
                <w:noProof/>
              </w:rPr>
              <w:t>755</w:t>
            </w:r>
          </w:p>
        </w:tc>
      </w:tr>
      <w:tr>
        <w:trPr>
          <w:jc w:val="center"/>
        </w:trPr>
        <w:tc>
          <w:tcPr>
            <w:tcW w:w="1058" w:type="dxa"/>
            <w:tcBorders>
              <w:top w:val="nil"/>
              <w:left w:val="nil"/>
              <w:bottom w:val="nil"/>
              <w:right w:val="nil"/>
            </w:tcBorders>
          </w:tcPr>
          <w:p>
            <w:pPr>
              <w:contextualSpacing/>
              <w:rPr>
                <w:rFonts w:eastAsia="Batang"/>
                <w:noProof/>
                <w:szCs w:val="24"/>
              </w:rPr>
            </w:pPr>
            <w:r>
              <w:rPr>
                <w:noProof/>
              </w:rPr>
              <w:t>2018</w:t>
            </w:r>
          </w:p>
        </w:tc>
        <w:tc>
          <w:tcPr>
            <w:tcW w:w="1312" w:type="dxa"/>
            <w:tcBorders>
              <w:top w:val="nil"/>
              <w:left w:val="nil"/>
              <w:bottom w:val="nil"/>
              <w:right w:val="nil"/>
            </w:tcBorders>
          </w:tcPr>
          <w:p>
            <w:pPr>
              <w:contextualSpacing/>
              <w:rPr>
                <w:rFonts w:eastAsia="Batang"/>
                <w:noProof/>
                <w:szCs w:val="24"/>
              </w:rPr>
            </w:pPr>
          </w:p>
        </w:tc>
        <w:tc>
          <w:tcPr>
            <w:tcW w:w="2024" w:type="dxa"/>
            <w:tcBorders>
              <w:top w:val="nil"/>
              <w:left w:val="nil"/>
              <w:bottom w:val="nil"/>
              <w:right w:val="nil"/>
            </w:tcBorders>
          </w:tcPr>
          <w:p>
            <w:pPr>
              <w:contextualSpacing/>
              <w:rPr>
                <w:rFonts w:eastAsia="Batang"/>
                <w:noProof/>
                <w:szCs w:val="24"/>
              </w:rPr>
            </w:pPr>
            <w:r>
              <w:rPr>
                <w:noProof/>
              </w:rPr>
              <w:t>770</w:t>
            </w:r>
          </w:p>
        </w:tc>
      </w:tr>
      <w:tr>
        <w:trPr>
          <w:jc w:val="center"/>
        </w:trPr>
        <w:tc>
          <w:tcPr>
            <w:tcW w:w="1058" w:type="dxa"/>
            <w:tcBorders>
              <w:top w:val="nil"/>
              <w:left w:val="nil"/>
              <w:bottom w:val="nil"/>
              <w:right w:val="nil"/>
            </w:tcBorders>
          </w:tcPr>
          <w:p>
            <w:pPr>
              <w:contextualSpacing/>
              <w:rPr>
                <w:rFonts w:eastAsia="Batang"/>
                <w:noProof/>
                <w:szCs w:val="24"/>
              </w:rPr>
            </w:pPr>
            <w:r>
              <w:rPr>
                <w:noProof/>
              </w:rPr>
              <w:t>2019</w:t>
            </w:r>
          </w:p>
        </w:tc>
        <w:tc>
          <w:tcPr>
            <w:tcW w:w="1312" w:type="dxa"/>
            <w:tcBorders>
              <w:top w:val="nil"/>
              <w:left w:val="nil"/>
              <w:bottom w:val="nil"/>
              <w:right w:val="nil"/>
            </w:tcBorders>
          </w:tcPr>
          <w:p>
            <w:pPr>
              <w:contextualSpacing/>
              <w:rPr>
                <w:rFonts w:eastAsia="Batang"/>
                <w:noProof/>
                <w:szCs w:val="24"/>
              </w:rPr>
            </w:pPr>
          </w:p>
        </w:tc>
        <w:tc>
          <w:tcPr>
            <w:tcW w:w="2024" w:type="dxa"/>
            <w:tcBorders>
              <w:top w:val="nil"/>
              <w:left w:val="nil"/>
              <w:bottom w:val="nil"/>
              <w:right w:val="nil"/>
            </w:tcBorders>
          </w:tcPr>
          <w:p>
            <w:pPr>
              <w:contextualSpacing/>
              <w:rPr>
                <w:rFonts w:eastAsia="Batang"/>
                <w:noProof/>
                <w:szCs w:val="24"/>
              </w:rPr>
            </w:pPr>
            <w:r>
              <w:rPr>
                <w:noProof/>
              </w:rPr>
              <w:t>785</w:t>
            </w:r>
          </w:p>
        </w:tc>
      </w:tr>
      <w:tr>
        <w:trPr>
          <w:jc w:val="center"/>
        </w:trPr>
        <w:tc>
          <w:tcPr>
            <w:tcW w:w="1058" w:type="dxa"/>
            <w:tcBorders>
              <w:top w:val="nil"/>
              <w:left w:val="nil"/>
              <w:bottom w:val="nil"/>
              <w:right w:val="nil"/>
            </w:tcBorders>
          </w:tcPr>
          <w:p>
            <w:pPr>
              <w:contextualSpacing/>
              <w:rPr>
                <w:rFonts w:eastAsia="Batang"/>
                <w:noProof/>
                <w:szCs w:val="24"/>
              </w:rPr>
            </w:pPr>
            <w:r>
              <w:rPr>
                <w:noProof/>
              </w:rPr>
              <w:t>2020</w:t>
            </w:r>
          </w:p>
        </w:tc>
        <w:tc>
          <w:tcPr>
            <w:tcW w:w="1312" w:type="dxa"/>
            <w:tcBorders>
              <w:top w:val="nil"/>
              <w:left w:val="nil"/>
              <w:bottom w:val="nil"/>
              <w:right w:val="nil"/>
            </w:tcBorders>
          </w:tcPr>
          <w:p>
            <w:pPr>
              <w:contextualSpacing/>
              <w:rPr>
                <w:rFonts w:eastAsia="Batang"/>
                <w:noProof/>
                <w:szCs w:val="24"/>
              </w:rPr>
            </w:pPr>
          </w:p>
        </w:tc>
        <w:tc>
          <w:tcPr>
            <w:tcW w:w="2024" w:type="dxa"/>
            <w:tcBorders>
              <w:top w:val="nil"/>
              <w:left w:val="nil"/>
              <w:bottom w:val="nil"/>
              <w:right w:val="nil"/>
            </w:tcBorders>
          </w:tcPr>
          <w:p>
            <w:pPr>
              <w:contextualSpacing/>
              <w:rPr>
                <w:rFonts w:eastAsia="Batang"/>
                <w:noProof/>
                <w:szCs w:val="24"/>
              </w:rPr>
            </w:pPr>
            <w:r>
              <w:rPr>
                <w:noProof/>
              </w:rPr>
              <w:t>800</w:t>
            </w:r>
          </w:p>
        </w:tc>
      </w:tr>
    </w:tbl>
    <w:p>
      <w:pPr>
        <w:contextualSpacing/>
        <w:rPr>
          <w:rFonts w:eastAsia="Batang"/>
          <w:noProof/>
          <w:szCs w:val="24"/>
        </w:rPr>
      </w:pPr>
    </w:p>
    <w:p>
      <w:pPr>
        <w:pStyle w:val="Text2"/>
        <w:rPr>
          <w:noProof/>
        </w:rPr>
      </w:pPr>
      <w:r>
        <w:rPr>
          <w:noProof/>
        </w:rPr>
        <w:t>Après 2020, le contingent tarifaire est augmenté annuellement de 15 tonnes métriques.</w:t>
      </w:r>
    </w:p>
    <w:p>
      <w:pPr>
        <w:pStyle w:val="Text2"/>
        <w:rPr>
          <w:noProof/>
        </w:rPr>
      </w:pPr>
      <w:r>
        <w:rPr>
          <w:noProof/>
        </w:rPr>
        <w:t>Au cours de l’année civile, le contingent tarifaire s’applique du 1</w:t>
      </w:r>
      <w:r>
        <w:rPr>
          <w:noProof/>
          <w:vertAlign w:val="superscript"/>
        </w:rPr>
        <w:t>er</w:t>
      </w:r>
      <w:r>
        <w:rPr>
          <w:noProof/>
        </w:rPr>
        <w:t xml:space="preserve"> juin au 31 octobre pour les orchidées (NC 0603 13 00) et du 1</w:t>
      </w:r>
      <w:r>
        <w:rPr>
          <w:noProof/>
          <w:vertAlign w:val="superscript"/>
        </w:rPr>
        <w:t>er</w:t>
      </w:r>
      <w:r>
        <w:rPr>
          <w:noProof/>
        </w:rPr>
        <w:t xml:space="preserve"> novembre au 31 mai pour les roses (NC 0603 11 00) et les chrysanthèmes (NC 0603 14 00).</w:t>
      </w:r>
    </w:p>
    <w:p>
      <w:pPr>
        <w:pStyle w:val="Text2"/>
        <w:rPr>
          <w:rFonts w:eastAsia="Batang"/>
          <w:noProof/>
          <w:szCs w:val="24"/>
        </w:rPr>
      </w:pPr>
      <w:r>
        <w:rPr>
          <w:noProof/>
        </w:rPr>
        <w:t>En outre, les droits de douane sur les orchidées (NC 0603 13 00) sont éliminés du 1</w:t>
      </w:r>
      <w:r>
        <w:rPr>
          <w:noProof/>
          <w:vertAlign w:val="superscript"/>
        </w:rPr>
        <w:t>er</w:t>
      </w:r>
      <w:r>
        <w:rPr>
          <w:noProof/>
        </w:rPr>
        <w:t xml:space="preserve"> novembre au 31 mai et, chaque année civile, l’entrée de ces marchandises est autorisée en franchise de droits.</w:t>
      </w:r>
    </w:p>
    <w:p>
      <w:pPr>
        <w:pStyle w:val="Text2"/>
        <w:rPr>
          <w:rFonts w:eastAsia="Batang"/>
          <w:noProof/>
          <w:szCs w:val="24"/>
        </w:rPr>
      </w:pPr>
      <w:r>
        <w:rPr>
          <w:noProof/>
        </w:rPr>
        <w:t>Avec effet à la date visée au point 2 de la présente ANNEXE, les droits de douane et les contingents tarifaires applicables aux marchandises originaires relevant de cette catégorie de démantèlement sont éliminés.</w:t>
      </w:r>
    </w:p>
    <w:p>
      <w:pPr>
        <w:pStyle w:val="Point1"/>
        <w:rPr>
          <w:rFonts w:eastAsia="Batang"/>
          <w:noProof/>
          <w:szCs w:val="24"/>
        </w:rPr>
      </w:pPr>
      <w:r>
        <w:rPr>
          <w:noProof/>
        </w:rPr>
        <w:t>d)</w:t>
      </w:r>
      <w:r>
        <w:rPr>
          <w:noProof/>
        </w:rPr>
        <w:tab/>
        <w:t>[</w:t>
      </w:r>
      <w:r>
        <w:rPr>
          <w:i/>
          <w:noProof/>
        </w:rPr>
        <w:t>fleurs: lis et «autres»</w:t>
      </w:r>
      <w:r>
        <w:rPr>
          <w:noProof/>
        </w:rPr>
        <w:t>] La quantité agrégée de marchandises originaires relevant de la catégorie de démantèlement «H*» dont l’entrée est autorisée chaque année civile du 1</w:t>
      </w:r>
      <w:r>
        <w:rPr>
          <w:noProof/>
          <w:vertAlign w:val="superscript"/>
        </w:rPr>
        <w:t>er</w:t>
      </w:r>
      <w:r>
        <w:rPr>
          <w:noProof/>
        </w:rPr>
        <w:t xml:space="preserve"> juin au 31 octobre à un taux de droit égal à 50 % du taux NPF appliqué, avec effet à la date visée au point 1 de la présente ANNEXE et jusqu’à la date visée au point 2 de la présente ANNEXE, est précisée ci-dessous: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8"/>
        <w:gridCol w:w="1312"/>
        <w:gridCol w:w="2024"/>
      </w:tblGrid>
      <w:tr>
        <w:trPr>
          <w:jc w:val="center"/>
        </w:trPr>
        <w:tc>
          <w:tcPr>
            <w:tcW w:w="1058" w:type="dxa"/>
            <w:tcBorders>
              <w:top w:val="nil"/>
              <w:left w:val="nil"/>
              <w:bottom w:val="nil"/>
              <w:right w:val="nil"/>
            </w:tcBorders>
          </w:tcPr>
          <w:p>
            <w:pPr>
              <w:contextualSpacing/>
              <w:rPr>
                <w:rFonts w:eastAsia="Batang"/>
                <w:noProof/>
                <w:szCs w:val="24"/>
              </w:rPr>
            </w:pPr>
            <w:r>
              <w:rPr>
                <w:noProof/>
              </w:rPr>
              <w:t>Année</w:t>
            </w:r>
          </w:p>
        </w:tc>
        <w:tc>
          <w:tcPr>
            <w:tcW w:w="1312" w:type="dxa"/>
            <w:tcBorders>
              <w:top w:val="nil"/>
              <w:left w:val="nil"/>
              <w:bottom w:val="nil"/>
              <w:right w:val="nil"/>
            </w:tcBorders>
          </w:tcPr>
          <w:p>
            <w:pPr>
              <w:contextualSpacing/>
              <w:rPr>
                <w:rFonts w:eastAsia="Batang"/>
                <w:noProof/>
                <w:szCs w:val="24"/>
              </w:rPr>
            </w:pPr>
          </w:p>
        </w:tc>
        <w:tc>
          <w:tcPr>
            <w:tcW w:w="2024" w:type="dxa"/>
            <w:tcBorders>
              <w:top w:val="nil"/>
              <w:left w:val="nil"/>
              <w:bottom w:val="nil"/>
              <w:right w:val="nil"/>
            </w:tcBorders>
          </w:tcPr>
          <w:p>
            <w:pPr>
              <w:contextualSpacing/>
              <w:rPr>
                <w:rFonts w:eastAsia="Batang"/>
                <w:noProof/>
                <w:szCs w:val="24"/>
              </w:rPr>
            </w:pPr>
            <w:r>
              <w:rPr>
                <w:noProof/>
              </w:rPr>
              <w:t>Quantité</w:t>
            </w:r>
          </w:p>
        </w:tc>
      </w:tr>
      <w:tr>
        <w:trPr>
          <w:jc w:val="center"/>
        </w:trPr>
        <w:tc>
          <w:tcPr>
            <w:tcW w:w="1058" w:type="dxa"/>
            <w:tcBorders>
              <w:top w:val="nil"/>
              <w:left w:val="nil"/>
              <w:bottom w:val="single" w:sz="4" w:space="0" w:color="000000"/>
              <w:right w:val="nil"/>
            </w:tcBorders>
          </w:tcPr>
          <w:p>
            <w:pPr>
              <w:contextualSpacing/>
              <w:rPr>
                <w:rFonts w:eastAsia="Batang"/>
                <w:noProof/>
                <w:szCs w:val="24"/>
              </w:rPr>
            </w:pPr>
          </w:p>
        </w:tc>
        <w:tc>
          <w:tcPr>
            <w:tcW w:w="1312" w:type="dxa"/>
            <w:tcBorders>
              <w:top w:val="nil"/>
              <w:left w:val="nil"/>
              <w:bottom w:val="single" w:sz="4" w:space="0" w:color="000000"/>
              <w:right w:val="nil"/>
            </w:tcBorders>
          </w:tcPr>
          <w:p>
            <w:pPr>
              <w:contextualSpacing/>
              <w:rPr>
                <w:rFonts w:eastAsia="Batang"/>
                <w:noProof/>
                <w:szCs w:val="24"/>
              </w:rPr>
            </w:pPr>
          </w:p>
        </w:tc>
        <w:tc>
          <w:tcPr>
            <w:tcW w:w="2024" w:type="dxa"/>
            <w:tcBorders>
              <w:top w:val="nil"/>
              <w:left w:val="nil"/>
              <w:bottom w:val="single" w:sz="4" w:space="0" w:color="000000"/>
              <w:right w:val="nil"/>
            </w:tcBorders>
          </w:tcPr>
          <w:p>
            <w:pPr>
              <w:contextualSpacing/>
              <w:rPr>
                <w:rFonts w:eastAsia="Batang"/>
                <w:noProof/>
                <w:szCs w:val="24"/>
              </w:rPr>
            </w:pPr>
            <w:r>
              <w:rPr>
                <w:noProof/>
              </w:rPr>
              <w:t>(tonnes métriques)</w:t>
            </w:r>
          </w:p>
        </w:tc>
      </w:tr>
      <w:tr>
        <w:trPr>
          <w:jc w:val="center"/>
        </w:trPr>
        <w:tc>
          <w:tcPr>
            <w:tcW w:w="1058" w:type="dxa"/>
            <w:tcBorders>
              <w:top w:val="single" w:sz="4" w:space="0" w:color="000000"/>
              <w:left w:val="nil"/>
              <w:bottom w:val="nil"/>
              <w:right w:val="nil"/>
            </w:tcBorders>
          </w:tcPr>
          <w:p>
            <w:pPr>
              <w:contextualSpacing/>
              <w:rPr>
                <w:rFonts w:eastAsia="Batang"/>
                <w:noProof/>
                <w:szCs w:val="24"/>
              </w:rPr>
            </w:pPr>
          </w:p>
        </w:tc>
        <w:tc>
          <w:tcPr>
            <w:tcW w:w="1312" w:type="dxa"/>
            <w:tcBorders>
              <w:top w:val="single" w:sz="4" w:space="0" w:color="000000"/>
              <w:left w:val="nil"/>
              <w:bottom w:val="nil"/>
              <w:right w:val="nil"/>
            </w:tcBorders>
          </w:tcPr>
          <w:p>
            <w:pPr>
              <w:contextualSpacing/>
              <w:rPr>
                <w:rFonts w:eastAsia="Batang"/>
                <w:noProof/>
                <w:szCs w:val="24"/>
              </w:rPr>
            </w:pPr>
          </w:p>
        </w:tc>
        <w:tc>
          <w:tcPr>
            <w:tcW w:w="2024" w:type="dxa"/>
            <w:tcBorders>
              <w:top w:val="single" w:sz="4" w:space="0" w:color="000000"/>
              <w:left w:val="nil"/>
              <w:bottom w:val="nil"/>
              <w:right w:val="nil"/>
            </w:tcBorders>
          </w:tcPr>
          <w:p>
            <w:pPr>
              <w:contextualSpacing/>
              <w:rPr>
                <w:rFonts w:eastAsia="Batang"/>
                <w:noProof/>
                <w:szCs w:val="24"/>
              </w:rPr>
            </w:pPr>
          </w:p>
        </w:tc>
      </w:tr>
      <w:tr>
        <w:trPr>
          <w:jc w:val="center"/>
        </w:trPr>
        <w:tc>
          <w:tcPr>
            <w:tcW w:w="1058" w:type="dxa"/>
            <w:tcBorders>
              <w:top w:val="nil"/>
              <w:left w:val="nil"/>
              <w:bottom w:val="nil"/>
              <w:right w:val="nil"/>
            </w:tcBorders>
          </w:tcPr>
          <w:p>
            <w:pPr>
              <w:contextualSpacing/>
              <w:rPr>
                <w:rFonts w:eastAsia="Batang"/>
                <w:noProof/>
                <w:szCs w:val="24"/>
              </w:rPr>
            </w:pPr>
            <w:r>
              <w:rPr>
                <w:noProof/>
              </w:rPr>
              <w:t>2015</w:t>
            </w:r>
          </w:p>
        </w:tc>
        <w:tc>
          <w:tcPr>
            <w:tcW w:w="1312" w:type="dxa"/>
            <w:tcBorders>
              <w:top w:val="nil"/>
              <w:left w:val="nil"/>
              <w:bottom w:val="nil"/>
              <w:right w:val="nil"/>
            </w:tcBorders>
          </w:tcPr>
          <w:p>
            <w:pPr>
              <w:contextualSpacing/>
              <w:rPr>
                <w:rFonts w:eastAsia="Batang"/>
                <w:noProof/>
                <w:szCs w:val="24"/>
              </w:rPr>
            </w:pPr>
          </w:p>
        </w:tc>
        <w:tc>
          <w:tcPr>
            <w:tcW w:w="2024" w:type="dxa"/>
            <w:tcBorders>
              <w:top w:val="nil"/>
              <w:left w:val="nil"/>
              <w:bottom w:val="nil"/>
              <w:right w:val="nil"/>
            </w:tcBorders>
          </w:tcPr>
          <w:p>
            <w:pPr>
              <w:contextualSpacing/>
              <w:rPr>
                <w:rFonts w:eastAsia="Batang"/>
                <w:noProof/>
                <w:szCs w:val="24"/>
              </w:rPr>
            </w:pPr>
            <w:r>
              <w:rPr>
                <w:noProof/>
              </w:rPr>
              <w:t>870</w:t>
            </w:r>
          </w:p>
        </w:tc>
      </w:tr>
      <w:tr>
        <w:trPr>
          <w:jc w:val="center"/>
        </w:trPr>
        <w:tc>
          <w:tcPr>
            <w:tcW w:w="1058" w:type="dxa"/>
            <w:tcBorders>
              <w:top w:val="nil"/>
              <w:left w:val="nil"/>
              <w:bottom w:val="nil"/>
              <w:right w:val="nil"/>
            </w:tcBorders>
          </w:tcPr>
          <w:p>
            <w:pPr>
              <w:contextualSpacing/>
              <w:rPr>
                <w:rFonts w:eastAsia="Batang"/>
                <w:noProof/>
                <w:szCs w:val="24"/>
              </w:rPr>
            </w:pPr>
            <w:r>
              <w:rPr>
                <w:noProof/>
              </w:rPr>
              <w:t>2016</w:t>
            </w:r>
          </w:p>
        </w:tc>
        <w:tc>
          <w:tcPr>
            <w:tcW w:w="1312" w:type="dxa"/>
            <w:tcBorders>
              <w:top w:val="nil"/>
              <w:left w:val="nil"/>
              <w:bottom w:val="nil"/>
              <w:right w:val="nil"/>
            </w:tcBorders>
          </w:tcPr>
          <w:p>
            <w:pPr>
              <w:contextualSpacing/>
              <w:rPr>
                <w:rFonts w:eastAsia="Batang"/>
                <w:noProof/>
                <w:szCs w:val="24"/>
              </w:rPr>
            </w:pPr>
          </w:p>
        </w:tc>
        <w:tc>
          <w:tcPr>
            <w:tcW w:w="2024" w:type="dxa"/>
            <w:tcBorders>
              <w:top w:val="nil"/>
              <w:left w:val="nil"/>
              <w:bottom w:val="nil"/>
              <w:right w:val="nil"/>
            </w:tcBorders>
          </w:tcPr>
          <w:p>
            <w:pPr>
              <w:contextualSpacing/>
              <w:rPr>
                <w:rFonts w:eastAsia="Batang"/>
                <w:noProof/>
                <w:szCs w:val="24"/>
              </w:rPr>
            </w:pPr>
            <w:r>
              <w:rPr>
                <w:noProof/>
              </w:rPr>
              <w:t>888</w:t>
            </w:r>
          </w:p>
        </w:tc>
      </w:tr>
      <w:tr>
        <w:trPr>
          <w:jc w:val="center"/>
        </w:trPr>
        <w:tc>
          <w:tcPr>
            <w:tcW w:w="1058" w:type="dxa"/>
            <w:tcBorders>
              <w:top w:val="nil"/>
              <w:left w:val="nil"/>
              <w:bottom w:val="nil"/>
              <w:right w:val="nil"/>
            </w:tcBorders>
          </w:tcPr>
          <w:p>
            <w:pPr>
              <w:contextualSpacing/>
              <w:rPr>
                <w:rFonts w:eastAsia="Batang"/>
                <w:noProof/>
                <w:szCs w:val="24"/>
              </w:rPr>
            </w:pPr>
            <w:r>
              <w:rPr>
                <w:noProof/>
              </w:rPr>
              <w:t>2017</w:t>
            </w:r>
          </w:p>
        </w:tc>
        <w:tc>
          <w:tcPr>
            <w:tcW w:w="1312" w:type="dxa"/>
            <w:tcBorders>
              <w:top w:val="nil"/>
              <w:left w:val="nil"/>
              <w:bottom w:val="nil"/>
              <w:right w:val="nil"/>
            </w:tcBorders>
          </w:tcPr>
          <w:p>
            <w:pPr>
              <w:contextualSpacing/>
              <w:rPr>
                <w:rFonts w:eastAsia="Batang"/>
                <w:noProof/>
                <w:szCs w:val="24"/>
              </w:rPr>
            </w:pPr>
          </w:p>
        </w:tc>
        <w:tc>
          <w:tcPr>
            <w:tcW w:w="2024" w:type="dxa"/>
            <w:tcBorders>
              <w:top w:val="nil"/>
              <w:left w:val="nil"/>
              <w:bottom w:val="nil"/>
              <w:right w:val="nil"/>
            </w:tcBorders>
          </w:tcPr>
          <w:p>
            <w:pPr>
              <w:contextualSpacing/>
              <w:rPr>
                <w:rFonts w:eastAsia="Batang"/>
                <w:noProof/>
                <w:szCs w:val="24"/>
              </w:rPr>
            </w:pPr>
            <w:r>
              <w:rPr>
                <w:noProof/>
              </w:rPr>
              <w:t>906</w:t>
            </w:r>
          </w:p>
        </w:tc>
      </w:tr>
      <w:tr>
        <w:trPr>
          <w:jc w:val="center"/>
        </w:trPr>
        <w:tc>
          <w:tcPr>
            <w:tcW w:w="1058" w:type="dxa"/>
            <w:tcBorders>
              <w:top w:val="nil"/>
              <w:left w:val="nil"/>
              <w:bottom w:val="nil"/>
              <w:right w:val="nil"/>
            </w:tcBorders>
          </w:tcPr>
          <w:p>
            <w:pPr>
              <w:contextualSpacing/>
              <w:rPr>
                <w:rFonts w:eastAsia="Batang"/>
                <w:noProof/>
                <w:szCs w:val="24"/>
              </w:rPr>
            </w:pPr>
            <w:r>
              <w:rPr>
                <w:noProof/>
              </w:rPr>
              <w:t>2018</w:t>
            </w:r>
          </w:p>
        </w:tc>
        <w:tc>
          <w:tcPr>
            <w:tcW w:w="1312" w:type="dxa"/>
            <w:tcBorders>
              <w:top w:val="nil"/>
              <w:left w:val="nil"/>
              <w:bottom w:val="nil"/>
              <w:right w:val="nil"/>
            </w:tcBorders>
          </w:tcPr>
          <w:p>
            <w:pPr>
              <w:contextualSpacing/>
              <w:rPr>
                <w:rFonts w:eastAsia="Batang"/>
                <w:noProof/>
                <w:szCs w:val="24"/>
              </w:rPr>
            </w:pPr>
          </w:p>
        </w:tc>
        <w:tc>
          <w:tcPr>
            <w:tcW w:w="2024" w:type="dxa"/>
            <w:tcBorders>
              <w:top w:val="nil"/>
              <w:left w:val="nil"/>
              <w:bottom w:val="nil"/>
              <w:right w:val="nil"/>
            </w:tcBorders>
          </w:tcPr>
          <w:p>
            <w:pPr>
              <w:contextualSpacing/>
              <w:rPr>
                <w:rFonts w:eastAsia="Batang"/>
                <w:noProof/>
                <w:szCs w:val="24"/>
              </w:rPr>
            </w:pPr>
            <w:r>
              <w:rPr>
                <w:noProof/>
              </w:rPr>
              <w:t>924</w:t>
            </w:r>
          </w:p>
        </w:tc>
      </w:tr>
      <w:tr>
        <w:trPr>
          <w:jc w:val="center"/>
        </w:trPr>
        <w:tc>
          <w:tcPr>
            <w:tcW w:w="1058" w:type="dxa"/>
            <w:tcBorders>
              <w:top w:val="nil"/>
              <w:left w:val="nil"/>
              <w:bottom w:val="nil"/>
              <w:right w:val="nil"/>
            </w:tcBorders>
          </w:tcPr>
          <w:p>
            <w:pPr>
              <w:contextualSpacing/>
              <w:rPr>
                <w:rFonts w:eastAsia="Batang"/>
                <w:noProof/>
                <w:szCs w:val="24"/>
              </w:rPr>
            </w:pPr>
            <w:r>
              <w:rPr>
                <w:noProof/>
              </w:rPr>
              <w:t>2019</w:t>
            </w:r>
          </w:p>
        </w:tc>
        <w:tc>
          <w:tcPr>
            <w:tcW w:w="1312" w:type="dxa"/>
            <w:tcBorders>
              <w:top w:val="nil"/>
              <w:left w:val="nil"/>
              <w:bottom w:val="nil"/>
              <w:right w:val="nil"/>
            </w:tcBorders>
          </w:tcPr>
          <w:p>
            <w:pPr>
              <w:contextualSpacing/>
              <w:rPr>
                <w:rFonts w:eastAsia="Batang"/>
                <w:noProof/>
                <w:szCs w:val="24"/>
              </w:rPr>
            </w:pPr>
          </w:p>
        </w:tc>
        <w:tc>
          <w:tcPr>
            <w:tcW w:w="2024" w:type="dxa"/>
            <w:tcBorders>
              <w:top w:val="nil"/>
              <w:left w:val="nil"/>
              <w:bottom w:val="nil"/>
              <w:right w:val="nil"/>
            </w:tcBorders>
          </w:tcPr>
          <w:p>
            <w:pPr>
              <w:contextualSpacing/>
              <w:rPr>
                <w:rFonts w:eastAsia="Batang"/>
                <w:noProof/>
                <w:szCs w:val="24"/>
              </w:rPr>
            </w:pPr>
            <w:r>
              <w:rPr>
                <w:noProof/>
              </w:rPr>
              <w:t>942</w:t>
            </w:r>
          </w:p>
        </w:tc>
      </w:tr>
      <w:tr>
        <w:trPr>
          <w:jc w:val="center"/>
        </w:trPr>
        <w:tc>
          <w:tcPr>
            <w:tcW w:w="1058" w:type="dxa"/>
            <w:tcBorders>
              <w:top w:val="nil"/>
              <w:left w:val="nil"/>
              <w:bottom w:val="nil"/>
              <w:right w:val="nil"/>
            </w:tcBorders>
          </w:tcPr>
          <w:p>
            <w:pPr>
              <w:contextualSpacing/>
              <w:rPr>
                <w:rFonts w:eastAsia="Batang"/>
                <w:noProof/>
                <w:szCs w:val="24"/>
              </w:rPr>
            </w:pPr>
            <w:r>
              <w:rPr>
                <w:noProof/>
              </w:rPr>
              <w:t>2020</w:t>
            </w:r>
          </w:p>
        </w:tc>
        <w:tc>
          <w:tcPr>
            <w:tcW w:w="1312" w:type="dxa"/>
            <w:tcBorders>
              <w:top w:val="nil"/>
              <w:left w:val="nil"/>
              <w:bottom w:val="nil"/>
              <w:right w:val="nil"/>
            </w:tcBorders>
          </w:tcPr>
          <w:p>
            <w:pPr>
              <w:contextualSpacing/>
              <w:rPr>
                <w:rFonts w:eastAsia="Batang"/>
                <w:noProof/>
                <w:szCs w:val="24"/>
              </w:rPr>
            </w:pPr>
          </w:p>
        </w:tc>
        <w:tc>
          <w:tcPr>
            <w:tcW w:w="2024" w:type="dxa"/>
            <w:tcBorders>
              <w:top w:val="nil"/>
              <w:left w:val="nil"/>
              <w:bottom w:val="nil"/>
              <w:right w:val="nil"/>
            </w:tcBorders>
          </w:tcPr>
          <w:p>
            <w:pPr>
              <w:contextualSpacing/>
              <w:rPr>
                <w:rFonts w:eastAsia="Batang"/>
                <w:noProof/>
                <w:szCs w:val="24"/>
              </w:rPr>
            </w:pPr>
            <w:r>
              <w:rPr>
                <w:noProof/>
              </w:rPr>
              <w:t>960</w:t>
            </w:r>
          </w:p>
        </w:tc>
      </w:tr>
    </w:tbl>
    <w:p>
      <w:pPr>
        <w:pStyle w:val="Text2"/>
        <w:rPr>
          <w:rFonts w:eastAsia="Batang"/>
          <w:noProof/>
          <w:szCs w:val="24"/>
        </w:rPr>
      </w:pPr>
      <w:r>
        <w:rPr>
          <w:noProof/>
        </w:rPr>
        <w:t>Après 2020, le contingent tarifaire est augmenté annuellement de 18 tonnes métriques.</w:t>
      </w:r>
    </w:p>
    <w:p>
      <w:pPr>
        <w:pStyle w:val="Text2"/>
        <w:rPr>
          <w:rFonts w:eastAsia="Batang"/>
          <w:noProof/>
          <w:szCs w:val="24"/>
        </w:rPr>
      </w:pPr>
      <w:r>
        <w:rPr>
          <w:noProof/>
        </w:rPr>
        <w:t>En outre, les droits de douane sur les marchandises originaires sont éliminés du 1</w:t>
      </w:r>
      <w:r>
        <w:rPr>
          <w:noProof/>
          <w:vertAlign w:val="superscript"/>
        </w:rPr>
        <w:t>er</w:t>
      </w:r>
      <w:r>
        <w:rPr>
          <w:noProof/>
        </w:rPr>
        <w:t xml:space="preserve"> novembre au 31 mai et, durant cette période de chaque année civile, l’entrée de ces marchandises est autorisée en franchise de droits.</w:t>
      </w:r>
    </w:p>
    <w:p>
      <w:pPr>
        <w:pStyle w:val="Text2"/>
        <w:rPr>
          <w:rFonts w:eastAsia="Batang"/>
          <w:noProof/>
          <w:szCs w:val="24"/>
        </w:rPr>
      </w:pPr>
      <w:r>
        <w:rPr>
          <w:noProof/>
        </w:rPr>
        <w:t>Avec effet à la date visée au point 2 de la présente ANNEXE, les droits de douane et les contingents tarifaires applicables aux marchandises originaires relevant de cette catégorie de démantèlement sont éliminés.</w:t>
      </w:r>
    </w:p>
    <w:p>
      <w:pPr>
        <w:pStyle w:val="Point1"/>
        <w:rPr>
          <w:rFonts w:eastAsia="Batang"/>
          <w:noProof/>
          <w:szCs w:val="24"/>
        </w:rPr>
      </w:pPr>
      <w:r>
        <w:rPr>
          <w:noProof/>
        </w:rPr>
        <w:t>e)</w:t>
      </w:r>
      <w:r>
        <w:rPr>
          <w:noProof/>
        </w:rPr>
        <w:tab/>
      </w:r>
      <w:r>
        <w:rPr>
          <w:i/>
          <w:noProof/>
        </w:rPr>
        <w:t>[fleurs: autres que fraîches]</w:t>
      </w:r>
      <w:r>
        <w:rPr>
          <w:noProof/>
        </w:rPr>
        <w:t xml:space="preserve"> La quantité agrégée de marchandises originaires relevant de la catégorie de démantèlement «I*» dont l’entrée est autorisée chaque année civile à un taux de droit égal à 25 % du taux NPF appliqué, avec effet à la date visée au point 1 de la présente ANNEXE et jusqu’à la date visée au point 2 de la présente ANNEXE, est précisée ci-dessous: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8"/>
        <w:gridCol w:w="1312"/>
        <w:gridCol w:w="2024"/>
      </w:tblGrid>
      <w:tr>
        <w:trPr>
          <w:jc w:val="center"/>
        </w:trPr>
        <w:tc>
          <w:tcPr>
            <w:tcW w:w="1058" w:type="dxa"/>
            <w:tcBorders>
              <w:top w:val="nil"/>
              <w:left w:val="nil"/>
              <w:bottom w:val="nil"/>
              <w:right w:val="nil"/>
            </w:tcBorders>
          </w:tcPr>
          <w:p>
            <w:pPr>
              <w:contextualSpacing/>
              <w:rPr>
                <w:rFonts w:eastAsia="Batang"/>
                <w:noProof/>
                <w:szCs w:val="24"/>
              </w:rPr>
            </w:pPr>
            <w:r>
              <w:rPr>
                <w:noProof/>
              </w:rPr>
              <w:t>Année</w:t>
            </w:r>
          </w:p>
        </w:tc>
        <w:tc>
          <w:tcPr>
            <w:tcW w:w="1312" w:type="dxa"/>
            <w:tcBorders>
              <w:top w:val="nil"/>
              <w:left w:val="nil"/>
              <w:bottom w:val="nil"/>
              <w:right w:val="nil"/>
            </w:tcBorders>
          </w:tcPr>
          <w:p>
            <w:pPr>
              <w:contextualSpacing/>
              <w:rPr>
                <w:rFonts w:eastAsia="Batang"/>
                <w:noProof/>
                <w:szCs w:val="24"/>
              </w:rPr>
            </w:pPr>
          </w:p>
        </w:tc>
        <w:tc>
          <w:tcPr>
            <w:tcW w:w="2024" w:type="dxa"/>
            <w:tcBorders>
              <w:top w:val="nil"/>
              <w:left w:val="nil"/>
              <w:bottom w:val="nil"/>
              <w:right w:val="nil"/>
            </w:tcBorders>
          </w:tcPr>
          <w:p>
            <w:pPr>
              <w:contextualSpacing/>
              <w:rPr>
                <w:rFonts w:eastAsia="Batang"/>
                <w:noProof/>
                <w:szCs w:val="24"/>
              </w:rPr>
            </w:pPr>
            <w:r>
              <w:rPr>
                <w:noProof/>
              </w:rPr>
              <w:t>Quantité</w:t>
            </w:r>
          </w:p>
        </w:tc>
      </w:tr>
      <w:tr>
        <w:trPr>
          <w:jc w:val="center"/>
        </w:trPr>
        <w:tc>
          <w:tcPr>
            <w:tcW w:w="1058" w:type="dxa"/>
            <w:tcBorders>
              <w:top w:val="nil"/>
              <w:left w:val="nil"/>
              <w:bottom w:val="single" w:sz="4" w:space="0" w:color="000000"/>
              <w:right w:val="nil"/>
            </w:tcBorders>
          </w:tcPr>
          <w:p>
            <w:pPr>
              <w:contextualSpacing/>
              <w:rPr>
                <w:rFonts w:eastAsia="Batang"/>
                <w:noProof/>
                <w:szCs w:val="24"/>
              </w:rPr>
            </w:pPr>
          </w:p>
        </w:tc>
        <w:tc>
          <w:tcPr>
            <w:tcW w:w="1312" w:type="dxa"/>
            <w:tcBorders>
              <w:top w:val="nil"/>
              <w:left w:val="nil"/>
              <w:bottom w:val="single" w:sz="4" w:space="0" w:color="000000"/>
              <w:right w:val="nil"/>
            </w:tcBorders>
          </w:tcPr>
          <w:p>
            <w:pPr>
              <w:contextualSpacing/>
              <w:rPr>
                <w:rFonts w:eastAsia="Batang"/>
                <w:noProof/>
                <w:szCs w:val="24"/>
              </w:rPr>
            </w:pPr>
          </w:p>
        </w:tc>
        <w:tc>
          <w:tcPr>
            <w:tcW w:w="2024" w:type="dxa"/>
            <w:tcBorders>
              <w:top w:val="nil"/>
              <w:left w:val="nil"/>
              <w:bottom w:val="single" w:sz="4" w:space="0" w:color="000000"/>
              <w:right w:val="nil"/>
            </w:tcBorders>
          </w:tcPr>
          <w:p>
            <w:pPr>
              <w:contextualSpacing/>
              <w:rPr>
                <w:rFonts w:eastAsia="Batang"/>
                <w:noProof/>
                <w:szCs w:val="24"/>
              </w:rPr>
            </w:pPr>
            <w:r>
              <w:rPr>
                <w:noProof/>
              </w:rPr>
              <w:t>(tonnes métriques)</w:t>
            </w:r>
          </w:p>
        </w:tc>
      </w:tr>
      <w:tr>
        <w:trPr>
          <w:jc w:val="center"/>
        </w:trPr>
        <w:tc>
          <w:tcPr>
            <w:tcW w:w="1058" w:type="dxa"/>
            <w:tcBorders>
              <w:top w:val="single" w:sz="4" w:space="0" w:color="000000"/>
              <w:left w:val="nil"/>
              <w:bottom w:val="nil"/>
              <w:right w:val="nil"/>
            </w:tcBorders>
            <w:shd w:val="clear" w:color="auto" w:fill="auto"/>
          </w:tcPr>
          <w:p>
            <w:pPr>
              <w:contextualSpacing/>
              <w:rPr>
                <w:rFonts w:eastAsia="Batang"/>
                <w:noProof/>
                <w:szCs w:val="24"/>
              </w:rPr>
            </w:pPr>
          </w:p>
        </w:tc>
        <w:tc>
          <w:tcPr>
            <w:tcW w:w="1312" w:type="dxa"/>
            <w:tcBorders>
              <w:top w:val="single" w:sz="4" w:space="0" w:color="000000"/>
              <w:left w:val="nil"/>
              <w:bottom w:val="nil"/>
              <w:right w:val="nil"/>
            </w:tcBorders>
            <w:shd w:val="clear" w:color="auto" w:fill="auto"/>
          </w:tcPr>
          <w:p>
            <w:pPr>
              <w:contextualSpacing/>
              <w:rPr>
                <w:rFonts w:eastAsia="Batang"/>
                <w:noProof/>
                <w:szCs w:val="24"/>
              </w:rPr>
            </w:pPr>
          </w:p>
        </w:tc>
        <w:tc>
          <w:tcPr>
            <w:tcW w:w="2024" w:type="dxa"/>
            <w:tcBorders>
              <w:top w:val="single" w:sz="4" w:space="0" w:color="000000"/>
              <w:left w:val="nil"/>
              <w:bottom w:val="nil"/>
              <w:right w:val="nil"/>
            </w:tcBorders>
            <w:shd w:val="clear" w:color="auto" w:fill="auto"/>
          </w:tcPr>
          <w:p>
            <w:pPr>
              <w:contextualSpacing/>
              <w:rPr>
                <w:rFonts w:eastAsia="Batang"/>
                <w:noProof/>
                <w:szCs w:val="24"/>
              </w:rPr>
            </w:pPr>
          </w:p>
        </w:tc>
      </w:tr>
      <w:tr>
        <w:trPr>
          <w:jc w:val="center"/>
        </w:trPr>
        <w:tc>
          <w:tcPr>
            <w:tcW w:w="1058" w:type="dxa"/>
            <w:tcBorders>
              <w:top w:val="nil"/>
              <w:left w:val="nil"/>
              <w:bottom w:val="nil"/>
              <w:right w:val="nil"/>
            </w:tcBorders>
          </w:tcPr>
          <w:p>
            <w:pPr>
              <w:contextualSpacing/>
              <w:rPr>
                <w:rFonts w:eastAsia="Batang"/>
                <w:noProof/>
                <w:szCs w:val="24"/>
              </w:rPr>
            </w:pPr>
            <w:r>
              <w:rPr>
                <w:noProof/>
              </w:rPr>
              <w:t>2015</w:t>
            </w:r>
          </w:p>
        </w:tc>
        <w:tc>
          <w:tcPr>
            <w:tcW w:w="1312" w:type="dxa"/>
            <w:tcBorders>
              <w:top w:val="nil"/>
              <w:left w:val="nil"/>
              <w:bottom w:val="nil"/>
              <w:right w:val="nil"/>
            </w:tcBorders>
          </w:tcPr>
          <w:p>
            <w:pPr>
              <w:contextualSpacing/>
              <w:rPr>
                <w:rFonts w:eastAsia="Batang"/>
                <w:noProof/>
                <w:szCs w:val="24"/>
              </w:rPr>
            </w:pPr>
          </w:p>
        </w:tc>
        <w:tc>
          <w:tcPr>
            <w:tcW w:w="2024" w:type="dxa"/>
            <w:tcBorders>
              <w:top w:val="nil"/>
              <w:left w:val="nil"/>
              <w:bottom w:val="nil"/>
              <w:right w:val="nil"/>
            </w:tcBorders>
          </w:tcPr>
          <w:p>
            <w:pPr>
              <w:contextualSpacing/>
              <w:rPr>
                <w:rFonts w:eastAsia="Batang"/>
                <w:noProof/>
                <w:szCs w:val="24"/>
              </w:rPr>
            </w:pPr>
            <w:r>
              <w:rPr>
                <w:noProof/>
              </w:rPr>
              <w:t>725</w:t>
            </w:r>
          </w:p>
        </w:tc>
      </w:tr>
      <w:tr>
        <w:trPr>
          <w:jc w:val="center"/>
        </w:trPr>
        <w:tc>
          <w:tcPr>
            <w:tcW w:w="1058" w:type="dxa"/>
            <w:tcBorders>
              <w:top w:val="nil"/>
              <w:left w:val="nil"/>
              <w:bottom w:val="nil"/>
              <w:right w:val="nil"/>
            </w:tcBorders>
          </w:tcPr>
          <w:p>
            <w:pPr>
              <w:contextualSpacing/>
              <w:rPr>
                <w:rFonts w:eastAsia="Batang"/>
                <w:noProof/>
                <w:szCs w:val="24"/>
              </w:rPr>
            </w:pPr>
            <w:r>
              <w:rPr>
                <w:noProof/>
              </w:rPr>
              <w:t>2016</w:t>
            </w:r>
          </w:p>
        </w:tc>
        <w:tc>
          <w:tcPr>
            <w:tcW w:w="1312" w:type="dxa"/>
            <w:tcBorders>
              <w:top w:val="nil"/>
              <w:left w:val="nil"/>
              <w:bottom w:val="nil"/>
              <w:right w:val="nil"/>
            </w:tcBorders>
          </w:tcPr>
          <w:p>
            <w:pPr>
              <w:contextualSpacing/>
              <w:rPr>
                <w:rFonts w:eastAsia="Batang"/>
                <w:noProof/>
                <w:szCs w:val="24"/>
              </w:rPr>
            </w:pPr>
          </w:p>
        </w:tc>
        <w:tc>
          <w:tcPr>
            <w:tcW w:w="2024" w:type="dxa"/>
            <w:tcBorders>
              <w:top w:val="nil"/>
              <w:left w:val="nil"/>
              <w:bottom w:val="nil"/>
              <w:right w:val="nil"/>
            </w:tcBorders>
          </w:tcPr>
          <w:p>
            <w:pPr>
              <w:contextualSpacing/>
              <w:rPr>
                <w:rFonts w:eastAsia="Batang"/>
                <w:noProof/>
                <w:szCs w:val="24"/>
              </w:rPr>
            </w:pPr>
            <w:r>
              <w:rPr>
                <w:noProof/>
              </w:rPr>
              <w:t>740</w:t>
            </w:r>
          </w:p>
        </w:tc>
      </w:tr>
      <w:tr>
        <w:trPr>
          <w:jc w:val="center"/>
        </w:trPr>
        <w:tc>
          <w:tcPr>
            <w:tcW w:w="1058" w:type="dxa"/>
            <w:tcBorders>
              <w:top w:val="nil"/>
              <w:left w:val="nil"/>
              <w:bottom w:val="nil"/>
              <w:right w:val="nil"/>
            </w:tcBorders>
          </w:tcPr>
          <w:p>
            <w:pPr>
              <w:contextualSpacing/>
              <w:rPr>
                <w:rFonts w:eastAsia="Batang"/>
                <w:noProof/>
                <w:szCs w:val="24"/>
              </w:rPr>
            </w:pPr>
            <w:r>
              <w:rPr>
                <w:noProof/>
              </w:rPr>
              <w:t>2017</w:t>
            </w:r>
          </w:p>
        </w:tc>
        <w:tc>
          <w:tcPr>
            <w:tcW w:w="1312" w:type="dxa"/>
            <w:tcBorders>
              <w:top w:val="nil"/>
              <w:left w:val="nil"/>
              <w:bottom w:val="nil"/>
              <w:right w:val="nil"/>
            </w:tcBorders>
          </w:tcPr>
          <w:p>
            <w:pPr>
              <w:contextualSpacing/>
              <w:rPr>
                <w:rFonts w:eastAsia="Batang"/>
                <w:noProof/>
                <w:szCs w:val="24"/>
              </w:rPr>
            </w:pPr>
          </w:p>
        </w:tc>
        <w:tc>
          <w:tcPr>
            <w:tcW w:w="2024" w:type="dxa"/>
            <w:tcBorders>
              <w:top w:val="nil"/>
              <w:left w:val="nil"/>
              <w:bottom w:val="nil"/>
              <w:right w:val="nil"/>
            </w:tcBorders>
          </w:tcPr>
          <w:p>
            <w:pPr>
              <w:contextualSpacing/>
              <w:rPr>
                <w:rFonts w:eastAsia="Batang"/>
                <w:noProof/>
                <w:szCs w:val="24"/>
              </w:rPr>
            </w:pPr>
            <w:r>
              <w:rPr>
                <w:noProof/>
              </w:rPr>
              <w:t>755</w:t>
            </w:r>
          </w:p>
        </w:tc>
      </w:tr>
      <w:tr>
        <w:trPr>
          <w:jc w:val="center"/>
        </w:trPr>
        <w:tc>
          <w:tcPr>
            <w:tcW w:w="1058" w:type="dxa"/>
            <w:tcBorders>
              <w:top w:val="nil"/>
              <w:left w:val="nil"/>
              <w:bottom w:val="nil"/>
              <w:right w:val="nil"/>
            </w:tcBorders>
          </w:tcPr>
          <w:p>
            <w:pPr>
              <w:contextualSpacing/>
              <w:rPr>
                <w:rFonts w:eastAsia="Batang"/>
                <w:noProof/>
                <w:szCs w:val="24"/>
              </w:rPr>
            </w:pPr>
            <w:r>
              <w:rPr>
                <w:noProof/>
              </w:rPr>
              <w:t>2018</w:t>
            </w:r>
          </w:p>
        </w:tc>
        <w:tc>
          <w:tcPr>
            <w:tcW w:w="1312" w:type="dxa"/>
            <w:tcBorders>
              <w:top w:val="nil"/>
              <w:left w:val="nil"/>
              <w:bottom w:val="nil"/>
              <w:right w:val="nil"/>
            </w:tcBorders>
          </w:tcPr>
          <w:p>
            <w:pPr>
              <w:contextualSpacing/>
              <w:rPr>
                <w:rFonts w:eastAsia="Batang"/>
                <w:noProof/>
                <w:szCs w:val="24"/>
              </w:rPr>
            </w:pPr>
          </w:p>
        </w:tc>
        <w:tc>
          <w:tcPr>
            <w:tcW w:w="2024" w:type="dxa"/>
            <w:tcBorders>
              <w:top w:val="nil"/>
              <w:left w:val="nil"/>
              <w:bottom w:val="nil"/>
              <w:right w:val="nil"/>
            </w:tcBorders>
          </w:tcPr>
          <w:p>
            <w:pPr>
              <w:contextualSpacing/>
              <w:rPr>
                <w:rFonts w:eastAsia="Batang"/>
                <w:noProof/>
                <w:szCs w:val="24"/>
              </w:rPr>
            </w:pPr>
            <w:r>
              <w:rPr>
                <w:noProof/>
              </w:rPr>
              <w:t>770</w:t>
            </w:r>
          </w:p>
        </w:tc>
      </w:tr>
      <w:tr>
        <w:trPr>
          <w:jc w:val="center"/>
        </w:trPr>
        <w:tc>
          <w:tcPr>
            <w:tcW w:w="1058" w:type="dxa"/>
            <w:tcBorders>
              <w:top w:val="nil"/>
              <w:left w:val="nil"/>
              <w:bottom w:val="nil"/>
              <w:right w:val="nil"/>
            </w:tcBorders>
          </w:tcPr>
          <w:p>
            <w:pPr>
              <w:contextualSpacing/>
              <w:rPr>
                <w:rFonts w:eastAsia="Batang"/>
                <w:noProof/>
                <w:szCs w:val="24"/>
              </w:rPr>
            </w:pPr>
            <w:r>
              <w:rPr>
                <w:noProof/>
              </w:rPr>
              <w:t>2019</w:t>
            </w:r>
          </w:p>
        </w:tc>
        <w:tc>
          <w:tcPr>
            <w:tcW w:w="1312" w:type="dxa"/>
            <w:tcBorders>
              <w:top w:val="nil"/>
              <w:left w:val="nil"/>
              <w:bottom w:val="nil"/>
              <w:right w:val="nil"/>
            </w:tcBorders>
          </w:tcPr>
          <w:p>
            <w:pPr>
              <w:contextualSpacing/>
              <w:rPr>
                <w:rFonts w:eastAsia="Batang"/>
                <w:noProof/>
                <w:szCs w:val="24"/>
              </w:rPr>
            </w:pPr>
          </w:p>
        </w:tc>
        <w:tc>
          <w:tcPr>
            <w:tcW w:w="2024" w:type="dxa"/>
            <w:tcBorders>
              <w:top w:val="nil"/>
              <w:left w:val="nil"/>
              <w:bottom w:val="nil"/>
              <w:right w:val="nil"/>
            </w:tcBorders>
          </w:tcPr>
          <w:p>
            <w:pPr>
              <w:contextualSpacing/>
              <w:rPr>
                <w:rFonts w:eastAsia="Batang"/>
                <w:noProof/>
                <w:szCs w:val="24"/>
              </w:rPr>
            </w:pPr>
            <w:r>
              <w:rPr>
                <w:noProof/>
              </w:rPr>
              <w:t>785</w:t>
            </w:r>
          </w:p>
        </w:tc>
      </w:tr>
      <w:tr>
        <w:trPr>
          <w:jc w:val="center"/>
        </w:trPr>
        <w:tc>
          <w:tcPr>
            <w:tcW w:w="1058" w:type="dxa"/>
            <w:tcBorders>
              <w:top w:val="nil"/>
              <w:left w:val="nil"/>
              <w:bottom w:val="nil"/>
              <w:right w:val="nil"/>
            </w:tcBorders>
          </w:tcPr>
          <w:p>
            <w:pPr>
              <w:contextualSpacing/>
              <w:rPr>
                <w:rFonts w:eastAsia="Batang"/>
                <w:noProof/>
                <w:szCs w:val="24"/>
              </w:rPr>
            </w:pPr>
            <w:r>
              <w:rPr>
                <w:noProof/>
              </w:rPr>
              <w:t>2020</w:t>
            </w:r>
          </w:p>
        </w:tc>
        <w:tc>
          <w:tcPr>
            <w:tcW w:w="1312" w:type="dxa"/>
            <w:tcBorders>
              <w:top w:val="nil"/>
              <w:left w:val="nil"/>
              <w:bottom w:val="nil"/>
              <w:right w:val="nil"/>
            </w:tcBorders>
          </w:tcPr>
          <w:p>
            <w:pPr>
              <w:contextualSpacing/>
              <w:rPr>
                <w:rFonts w:eastAsia="Batang"/>
                <w:noProof/>
                <w:szCs w:val="24"/>
              </w:rPr>
            </w:pPr>
          </w:p>
        </w:tc>
        <w:tc>
          <w:tcPr>
            <w:tcW w:w="2024" w:type="dxa"/>
            <w:tcBorders>
              <w:top w:val="nil"/>
              <w:left w:val="nil"/>
              <w:bottom w:val="nil"/>
              <w:right w:val="nil"/>
            </w:tcBorders>
          </w:tcPr>
          <w:p>
            <w:pPr>
              <w:contextualSpacing/>
              <w:rPr>
                <w:rFonts w:eastAsia="Batang"/>
                <w:noProof/>
                <w:szCs w:val="24"/>
              </w:rPr>
            </w:pPr>
            <w:r>
              <w:rPr>
                <w:noProof/>
              </w:rPr>
              <w:t>800</w:t>
            </w:r>
          </w:p>
        </w:tc>
      </w:tr>
    </w:tbl>
    <w:p>
      <w:pPr>
        <w:pStyle w:val="Text2"/>
        <w:rPr>
          <w:rFonts w:eastAsia="Batang"/>
          <w:noProof/>
          <w:szCs w:val="24"/>
        </w:rPr>
      </w:pPr>
      <w:r>
        <w:rPr>
          <w:noProof/>
        </w:rPr>
        <w:t>Après 2020, le contingent tarifaire est augmenté annuellement de 15 tonnes métriques.</w:t>
      </w:r>
    </w:p>
    <w:p>
      <w:pPr>
        <w:pStyle w:val="Text2"/>
        <w:rPr>
          <w:rFonts w:eastAsia="Batang"/>
          <w:noProof/>
          <w:szCs w:val="24"/>
        </w:rPr>
      </w:pPr>
      <w:r>
        <w:rPr>
          <w:noProof/>
        </w:rPr>
        <w:t>Avec effet à la date visée au point 2 de la présente ANNEXE, les droits de douane et les contingents tarifaires applicables aux marchandises originaires relevant de cette catégorie de démantèlement sont éliminés.</w:t>
      </w:r>
    </w:p>
    <w:p>
      <w:pPr>
        <w:pStyle w:val="Point1"/>
        <w:rPr>
          <w:rFonts w:eastAsia="Batang"/>
          <w:noProof/>
          <w:szCs w:val="24"/>
        </w:rPr>
      </w:pPr>
      <w:r>
        <w:rPr>
          <w:noProof/>
        </w:rPr>
        <w:t>f)</w:t>
      </w:r>
      <w:r>
        <w:rPr>
          <w:noProof/>
        </w:rPr>
        <w:tab/>
        <w:t>[</w:t>
      </w:r>
      <w:r>
        <w:rPr>
          <w:i/>
          <w:noProof/>
        </w:rPr>
        <w:t>fraises</w:t>
      </w:r>
      <w:r>
        <w:rPr>
          <w:noProof/>
        </w:rPr>
        <w:t>] La quantité agrégée de marchandises originaires relevant de la catégorie de démantèlement «J» dont l’entrée est autorisée en franchise de droits chaque année civile, avec effet à la date visée au point 1 de la présente ANNEXE, est précisée ci-dessous:</w:t>
      </w:r>
    </w:p>
    <w:tbl>
      <w:tblPr>
        <w:tblW w:w="4057" w:type="dxa"/>
        <w:jc w:val="center"/>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0"/>
        <w:gridCol w:w="777"/>
        <w:gridCol w:w="2270"/>
      </w:tblGrid>
      <w:tr>
        <w:trPr>
          <w:jc w:val="center"/>
        </w:trPr>
        <w:tc>
          <w:tcPr>
            <w:tcW w:w="1010" w:type="dxa"/>
            <w:tcBorders>
              <w:top w:val="nil"/>
              <w:left w:val="nil"/>
              <w:bottom w:val="nil"/>
              <w:right w:val="nil"/>
            </w:tcBorders>
          </w:tcPr>
          <w:p>
            <w:pPr>
              <w:contextualSpacing/>
              <w:rPr>
                <w:rFonts w:eastAsia="Batang"/>
                <w:noProof/>
                <w:szCs w:val="24"/>
              </w:rPr>
            </w:pPr>
            <w:r>
              <w:rPr>
                <w:noProof/>
              </w:rPr>
              <w:t>Année</w:t>
            </w:r>
          </w:p>
        </w:tc>
        <w:tc>
          <w:tcPr>
            <w:tcW w:w="777" w:type="dxa"/>
            <w:tcBorders>
              <w:top w:val="nil"/>
              <w:left w:val="nil"/>
              <w:bottom w:val="nil"/>
              <w:right w:val="nil"/>
            </w:tcBorders>
          </w:tcPr>
          <w:p>
            <w:pPr>
              <w:contextualSpacing/>
              <w:rPr>
                <w:rFonts w:eastAsia="Batang"/>
                <w:noProof/>
                <w:szCs w:val="24"/>
              </w:rPr>
            </w:pPr>
          </w:p>
        </w:tc>
        <w:tc>
          <w:tcPr>
            <w:tcW w:w="2270" w:type="dxa"/>
            <w:tcBorders>
              <w:top w:val="nil"/>
              <w:left w:val="nil"/>
              <w:bottom w:val="nil"/>
              <w:right w:val="nil"/>
            </w:tcBorders>
          </w:tcPr>
          <w:p>
            <w:pPr>
              <w:contextualSpacing/>
              <w:rPr>
                <w:rFonts w:eastAsia="Batang"/>
                <w:noProof/>
                <w:szCs w:val="24"/>
              </w:rPr>
            </w:pPr>
            <w:r>
              <w:rPr>
                <w:noProof/>
              </w:rPr>
              <w:t>Quantité</w:t>
            </w:r>
          </w:p>
        </w:tc>
      </w:tr>
      <w:tr>
        <w:trPr>
          <w:jc w:val="center"/>
        </w:trPr>
        <w:tc>
          <w:tcPr>
            <w:tcW w:w="1010" w:type="dxa"/>
            <w:tcBorders>
              <w:top w:val="nil"/>
              <w:left w:val="nil"/>
              <w:bottom w:val="single" w:sz="4" w:space="0" w:color="000000"/>
              <w:right w:val="nil"/>
            </w:tcBorders>
          </w:tcPr>
          <w:p>
            <w:pPr>
              <w:contextualSpacing/>
              <w:rPr>
                <w:rFonts w:eastAsia="Batang"/>
                <w:noProof/>
                <w:szCs w:val="24"/>
              </w:rPr>
            </w:pPr>
          </w:p>
        </w:tc>
        <w:tc>
          <w:tcPr>
            <w:tcW w:w="777" w:type="dxa"/>
            <w:tcBorders>
              <w:top w:val="nil"/>
              <w:left w:val="nil"/>
              <w:bottom w:val="single" w:sz="4" w:space="0" w:color="000000"/>
              <w:right w:val="nil"/>
            </w:tcBorders>
          </w:tcPr>
          <w:p>
            <w:pPr>
              <w:contextualSpacing/>
              <w:rPr>
                <w:rFonts w:eastAsia="Batang"/>
                <w:noProof/>
                <w:szCs w:val="24"/>
              </w:rPr>
            </w:pPr>
          </w:p>
        </w:tc>
        <w:tc>
          <w:tcPr>
            <w:tcW w:w="2270" w:type="dxa"/>
            <w:tcBorders>
              <w:top w:val="nil"/>
              <w:left w:val="nil"/>
              <w:bottom w:val="single" w:sz="4" w:space="0" w:color="000000"/>
              <w:right w:val="nil"/>
            </w:tcBorders>
          </w:tcPr>
          <w:p>
            <w:pPr>
              <w:contextualSpacing/>
              <w:rPr>
                <w:rFonts w:eastAsia="Batang"/>
                <w:noProof/>
                <w:szCs w:val="24"/>
              </w:rPr>
            </w:pPr>
            <w:r>
              <w:rPr>
                <w:noProof/>
              </w:rPr>
              <w:t>(tonnes métriques)</w:t>
            </w:r>
          </w:p>
        </w:tc>
      </w:tr>
      <w:tr>
        <w:trPr>
          <w:jc w:val="center"/>
        </w:trPr>
        <w:tc>
          <w:tcPr>
            <w:tcW w:w="1010" w:type="dxa"/>
            <w:tcBorders>
              <w:top w:val="single" w:sz="4" w:space="0" w:color="000000"/>
              <w:left w:val="nil"/>
              <w:bottom w:val="nil"/>
              <w:right w:val="nil"/>
            </w:tcBorders>
          </w:tcPr>
          <w:p>
            <w:pPr>
              <w:contextualSpacing/>
              <w:rPr>
                <w:rFonts w:eastAsia="Batang"/>
                <w:noProof/>
                <w:szCs w:val="24"/>
              </w:rPr>
            </w:pPr>
          </w:p>
        </w:tc>
        <w:tc>
          <w:tcPr>
            <w:tcW w:w="777" w:type="dxa"/>
            <w:tcBorders>
              <w:top w:val="single" w:sz="4" w:space="0" w:color="000000"/>
              <w:left w:val="nil"/>
              <w:bottom w:val="nil"/>
              <w:right w:val="nil"/>
            </w:tcBorders>
          </w:tcPr>
          <w:p>
            <w:pPr>
              <w:contextualSpacing/>
              <w:rPr>
                <w:rFonts w:eastAsia="Batang"/>
                <w:noProof/>
                <w:szCs w:val="24"/>
              </w:rPr>
            </w:pPr>
          </w:p>
        </w:tc>
        <w:tc>
          <w:tcPr>
            <w:tcW w:w="2270" w:type="dxa"/>
            <w:tcBorders>
              <w:top w:val="single" w:sz="4" w:space="0" w:color="000000"/>
              <w:left w:val="nil"/>
              <w:bottom w:val="nil"/>
              <w:right w:val="nil"/>
            </w:tcBorders>
          </w:tcPr>
          <w:p>
            <w:pPr>
              <w:contextualSpacing/>
              <w:rPr>
                <w:rFonts w:eastAsia="Batang"/>
                <w:noProof/>
                <w:szCs w:val="24"/>
              </w:rPr>
            </w:pPr>
          </w:p>
        </w:tc>
      </w:tr>
      <w:tr>
        <w:trPr>
          <w:jc w:val="center"/>
        </w:trPr>
        <w:tc>
          <w:tcPr>
            <w:tcW w:w="1010" w:type="dxa"/>
            <w:tcBorders>
              <w:top w:val="nil"/>
              <w:left w:val="nil"/>
              <w:bottom w:val="nil"/>
              <w:right w:val="nil"/>
            </w:tcBorders>
          </w:tcPr>
          <w:p>
            <w:pPr>
              <w:contextualSpacing/>
              <w:rPr>
                <w:rFonts w:eastAsia="Batang"/>
                <w:noProof/>
                <w:szCs w:val="24"/>
              </w:rPr>
            </w:pPr>
            <w:r>
              <w:rPr>
                <w:noProof/>
              </w:rPr>
              <w:t>2015</w:t>
            </w:r>
          </w:p>
        </w:tc>
        <w:tc>
          <w:tcPr>
            <w:tcW w:w="777" w:type="dxa"/>
            <w:tcBorders>
              <w:top w:val="nil"/>
              <w:left w:val="nil"/>
              <w:bottom w:val="nil"/>
              <w:right w:val="nil"/>
            </w:tcBorders>
          </w:tcPr>
          <w:p>
            <w:pPr>
              <w:contextualSpacing/>
              <w:rPr>
                <w:rFonts w:eastAsia="Batang"/>
                <w:noProof/>
                <w:szCs w:val="24"/>
              </w:rPr>
            </w:pPr>
          </w:p>
        </w:tc>
        <w:tc>
          <w:tcPr>
            <w:tcW w:w="2270" w:type="dxa"/>
            <w:tcBorders>
              <w:top w:val="nil"/>
              <w:left w:val="nil"/>
              <w:bottom w:val="nil"/>
              <w:right w:val="nil"/>
            </w:tcBorders>
          </w:tcPr>
          <w:p>
            <w:pPr>
              <w:contextualSpacing/>
              <w:rPr>
                <w:rFonts w:eastAsia="Batang"/>
                <w:noProof/>
                <w:szCs w:val="24"/>
              </w:rPr>
            </w:pPr>
            <w:r>
              <w:rPr>
                <w:noProof/>
              </w:rPr>
              <w:t>370,0</w:t>
            </w:r>
          </w:p>
        </w:tc>
      </w:tr>
      <w:tr>
        <w:trPr>
          <w:jc w:val="center"/>
        </w:trPr>
        <w:tc>
          <w:tcPr>
            <w:tcW w:w="1010" w:type="dxa"/>
            <w:tcBorders>
              <w:top w:val="nil"/>
              <w:left w:val="nil"/>
              <w:bottom w:val="nil"/>
              <w:right w:val="nil"/>
            </w:tcBorders>
          </w:tcPr>
          <w:p>
            <w:pPr>
              <w:contextualSpacing/>
              <w:rPr>
                <w:rFonts w:eastAsia="Batang"/>
                <w:noProof/>
                <w:szCs w:val="24"/>
              </w:rPr>
            </w:pPr>
            <w:r>
              <w:rPr>
                <w:noProof/>
              </w:rPr>
              <w:t>2016</w:t>
            </w:r>
          </w:p>
        </w:tc>
        <w:tc>
          <w:tcPr>
            <w:tcW w:w="777" w:type="dxa"/>
            <w:tcBorders>
              <w:top w:val="nil"/>
              <w:left w:val="nil"/>
              <w:bottom w:val="nil"/>
              <w:right w:val="nil"/>
            </w:tcBorders>
          </w:tcPr>
          <w:p>
            <w:pPr>
              <w:contextualSpacing/>
              <w:rPr>
                <w:rFonts w:eastAsia="Batang"/>
                <w:noProof/>
                <w:szCs w:val="24"/>
              </w:rPr>
            </w:pPr>
          </w:p>
        </w:tc>
        <w:tc>
          <w:tcPr>
            <w:tcW w:w="2270" w:type="dxa"/>
            <w:tcBorders>
              <w:top w:val="nil"/>
              <w:left w:val="nil"/>
              <w:bottom w:val="nil"/>
              <w:right w:val="nil"/>
            </w:tcBorders>
          </w:tcPr>
          <w:p>
            <w:pPr>
              <w:contextualSpacing/>
              <w:rPr>
                <w:rFonts w:eastAsia="Batang"/>
                <w:noProof/>
                <w:szCs w:val="24"/>
              </w:rPr>
            </w:pPr>
            <w:r>
              <w:rPr>
                <w:noProof/>
              </w:rPr>
              <w:t>377,5</w:t>
            </w:r>
          </w:p>
        </w:tc>
      </w:tr>
      <w:tr>
        <w:trPr>
          <w:jc w:val="center"/>
        </w:trPr>
        <w:tc>
          <w:tcPr>
            <w:tcW w:w="1010" w:type="dxa"/>
            <w:tcBorders>
              <w:top w:val="nil"/>
              <w:left w:val="nil"/>
              <w:bottom w:val="nil"/>
              <w:right w:val="nil"/>
            </w:tcBorders>
          </w:tcPr>
          <w:p>
            <w:pPr>
              <w:contextualSpacing/>
              <w:rPr>
                <w:rFonts w:eastAsia="Batang"/>
                <w:noProof/>
                <w:szCs w:val="24"/>
              </w:rPr>
            </w:pPr>
            <w:r>
              <w:rPr>
                <w:noProof/>
              </w:rPr>
              <w:t>2017</w:t>
            </w:r>
          </w:p>
        </w:tc>
        <w:tc>
          <w:tcPr>
            <w:tcW w:w="777" w:type="dxa"/>
            <w:tcBorders>
              <w:top w:val="nil"/>
              <w:left w:val="nil"/>
              <w:bottom w:val="nil"/>
              <w:right w:val="nil"/>
            </w:tcBorders>
          </w:tcPr>
          <w:p>
            <w:pPr>
              <w:contextualSpacing/>
              <w:rPr>
                <w:rFonts w:eastAsia="Batang"/>
                <w:noProof/>
                <w:szCs w:val="24"/>
              </w:rPr>
            </w:pPr>
          </w:p>
        </w:tc>
        <w:tc>
          <w:tcPr>
            <w:tcW w:w="2270" w:type="dxa"/>
            <w:tcBorders>
              <w:top w:val="nil"/>
              <w:left w:val="nil"/>
              <w:bottom w:val="nil"/>
              <w:right w:val="nil"/>
            </w:tcBorders>
          </w:tcPr>
          <w:p>
            <w:pPr>
              <w:contextualSpacing/>
              <w:rPr>
                <w:rFonts w:eastAsia="Batang"/>
                <w:noProof/>
                <w:szCs w:val="24"/>
              </w:rPr>
            </w:pPr>
            <w:r>
              <w:rPr>
                <w:noProof/>
              </w:rPr>
              <w:t>385,0</w:t>
            </w:r>
          </w:p>
        </w:tc>
      </w:tr>
      <w:tr>
        <w:trPr>
          <w:jc w:val="center"/>
        </w:trPr>
        <w:tc>
          <w:tcPr>
            <w:tcW w:w="1010" w:type="dxa"/>
            <w:tcBorders>
              <w:top w:val="nil"/>
              <w:left w:val="nil"/>
              <w:bottom w:val="nil"/>
              <w:right w:val="nil"/>
            </w:tcBorders>
          </w:tcPr>
          <w:p>
            <w:pPr>
              <w:contextualSpacing/>
              <w:rPr>
                <w:rFonts w:eastAsia="Batang"/>
                <w:noProof/>
                <w:szCs w:val="24"/>
              </w:rPr>
            </w:pPr>
            <w:r>
              <w:rPr>
                <w:noProof/>
              </w:rPr>
              <w:t>2018</w:t>
            </w:r>
          </w:p>
        </w:tc>
        <w:tc>
          <w:tcPr>
            <w:tcW w:w="777" w:type="dxa"/>
            <w:tcBorders>
              <w:top w:val="nil"/>
              <w:left w:val="nil"/>
              <w:bottom w:val="nil"/>
              <w:right w:val="nil"/>
            </w:tcBorders>
          </w:tcPr>
          <w:p>
            <w:pPr>
              <w:contextualSpacing/>
              <w:rPr>
                <w:rFonts w:eastAsia="Batang"/>
                <w:noProof/>
                <w:szCs w:val="24"/>
              </w:rPr>
            </w:pPr>
          </w:p>
        </w:tc>
        <w:tc>
          <w:tcPr>
            <w:tcW w:w="2270" w:type="dxa"/>
            <w:tcBorders>
              <w:top w:val="nil"/>
              <w:left w:val="nil"/>
              <w:bottom w:val="nil"/>
              <w:right w:val="nil"/>
            </w:tcBorders>
          </w:tcPr>
          <w:p>
            <w:pPr>
              <w:contextualSpacing/>
              <w:rPr>
                <w:rFonts w:eastAsia="Batang"/>
                <w:noProof/>
                <w:szCs w:val="24"/>
              </w:rPr>
            </w:pPr>
            <w:r>
              <w:rPr>
                <w:noProof/>
              </w:rPr>
              <w:t>392,5</w:t>
            </w:r>
          </w:p>
        </w:tc>
      </w:tr>
      <w:tr>
        <w:trPr>
          <w:jc w:val="center"/>
        </w:trPr>
        <w:tc>
          <w:tcPr>
            <w:tcW w:w="1010" w:type="dxa"/>
            <w:tcBorders>
              <w:top w:val="nil"/>
              <w:left w:val="nil"/>
              <w:bottom w:val="nil"/>
              <w:right w:val="nil"/>
            </w:tcBorders>
          </w:tcPr>
          <w:p>
            <w:pPr>
              <w:contextualSpacing/>
              <w:rPr>
                <w:rFonts w:eastAsia="Batang"/>
                <w:noProof/>
                <w:szCs w:val="24"/>
              </w:rPr>
            </w:pPr>
            <w:r>
              <w:rPr>
                <w:noProof/>
              </w:rPr>
              <w:t>2019</w:t>
            </w:r>
          </w:p>
        </w:tc>
        <w:tc>
          <w:tcPr>
            <w:tcW w:w="777" w:type="dxa"/>
            <w:tcBorders>
              <w:top w:val="nil"/>
              <w:left w:val="nil"/>
              <w:bottom w:val="nil"/>
              <w:right w:val="nil"/>
            </w:tcBorders>
          </w:tcPr>
          <w:p>
            <w:pPr>
              <w:contextualSpacing/>
              <w:rPr>
                <w:rFonts w:eastAsia="Batang"/>
                <w:noProof/>
                <w:szCs w:val="24"/>
              </w:rPr>
            </w:pPr>
          </w:p>
        </w:tc>
        <w:tc>
          <w:tcPr>
            <w:tcW w:w="2270" w:type="dxa"/>
            <w:tcBorders>
              <w:top w:val="nil"/>
              <w:left w:val="nil"/>
              <w:bottom w:val="nil"/>
              <w:right w:val="nil"/>
            </w:tcBorders>
          </w:tcPr>
          <w:p>
            <w:pPr>
              <w:contextualSpacing/>
              <w:rPr>
                <w:rFonts w:eastAsia="Batang"/>
                <w:noProof/>
                <w:szCs w:val="24"/>
              </w:rPr>
            </w:pPr>
            <w:r>
              <w:rPr>
                <w:noProof/>
              </w:rPr>
              <w:t>400,0</w:t>
            </w:r>
          </w:p>
        </w:tc>
      </w:tr>
      <w:tr>
        <w:trPr>
          <w:jc w:val="center"/>
        </w:trPr>
        <w:tc>
          <w:tcPr>
            <w:tcW w:w="1010" w:type="dxa"/>
            <w:tcBorders>
              <w:top w:val="nil"/>
              <w:left w:val="nil"/>
              <w:bottom w:val="nil"/>
              <w:right w:val="nil"/>
            </w:tcBorders>
          </w:tcPr>
          <w:p>
            <w:pPr>
              <w:contextualSpacing/>
              <w:rPr>
                <w:rFonts w:eastAsia="Batang"/>
                <w:noProof/>
                <w:szCs w:val="24"/>
              </w:rPr>
            </w:pPr>
            <w:r>
              <w:rPr>
                <w:noProof/>
              </w:rPr>
              <w:t>2020</w:t>
            </w:r>
          </w:p>
        </w:tc>
        <w:tc>
          <w:tcPr>
            <w:tcW w:w="777" w:type="dxa"/>
            <w:tcBorders>
              <w:top w:val="nil"/>
              <w:left w:val="nil"/>
              <w:bottom w:val="nil"/>
              <w:right w:val="nil"/>
            </w:tcBorders>
          </w:tcPr>
          <w:p>
            <w:pPr>
              <w:contextualSpacing/>
              <w:rPr>
                <w:rFonts w:eastAsia="Batang"/>
                <w:noProof/>
                <w:szCs w:val="24"/>
              </w:rPr>
            </w:pPr>
          </w:p>
        </w:tc>
        <w:tc>
          <w:tcPr>
            <w:tcW w:w="2270" w:type="dxa"/>
            <w:tcBorders>
              <w:top w:val="nil"/>
              <w:left w:val="nil"/>
              <w:bottom w:val="nil"/>
              <w:right w:val="nil"/>
            </w:tcBorders>
          </w:tcPr>
          <w:p>
            <w:pPr>
              <w:contextualSpacing/>
              <w:rPr>
                <w:rFonts w:eastAsia="Batang"/>
                <w:noProof/>
                <w:szCs w:val="24"/>
              </w:rPr>
            </w:pPr>
            <w:r>
              <w:rPr>
                <w:noProof/>
              </w:rPr>
              <w:t>407,5</w:t>
            </w:r>
          </w:p>
        </w:tc>
      </w:tr>
    </w:tbl>
    <w:p>
      <w:pPr>
        <w:pStyle w:val="Text2"/>
        <w:rPr>
          <w:rFonts w:eastAsia="Batang"/>
          <w:noProof/>
          <w:szCs w:val="24"/>
        </w:rPr>
      </w:pPr>
      <w:r>
        <w:rPr>
          <w:noProof/>
        </w:rPr>
        <w:t>Après 2020, le contingent tarifaire est augmenté annuellement de 7,5 tonnes métriques.</w:t>
      </w:r>
    </w:p>
    <w:p>
      <w:pPr>
        <w:pStyle w:val="Point1"/>
        <w:rPr>
          <w:rFonts w:eastAsia="Batang"/>
          <w:noProof/>
          <w:szCs w:val="24"/>
        </w:rPr>
      </w:pPr>
      <w:r>
        <w:rPr>
          <w:noProof/>
        </w:rPr>
        <w:t>g)</w:t>
      </w:r>
      <w:r>
        <w:rPr>
          <w:noProof/>
        </w:rPr>
        <w:tab/>
        <w:t>[</w:t>
      </w:r>
      <w:r>
        <w:rPr>
          <w:i/>
          <w:noProof/>
        </w:rPr>
        <w:t>sucre</w:t>
      </w:r>
      <w:r>
        <w:rPr>
          <w:noProof/>
        </w:rPr>
        <w:t>] Les quantités agrégées de marchandises originaires relevant de la catégorie de démantèlement «K*» dont l’entrée est autorisée en franchise de droits chaque année civile, avec effet à la date visée au point 2 de la présente ANNEXE, sont précisées ci-dessous:</w:t>
      </w:r>
    </w:p>
    <w:tbl>
      <w:tblPr>
        <w:tblW w:w="0" w:type="auto"/>
        <w:tblLook w:val="04A0" w:firstRow="1" w:lastRow="0" w:firstColumn="1" w:lastColumn="0" w:noHBand="0" w:noVBand="1"/>
      </w:tblPr>
      <w:tblGrid>
        <w:gridCol w:w="1548"/>
        <w:gridCol w:w="3000"/>
        <w:gridCol w:w="480"/>
        <w:gridCol w:w="2280"/>
      </w:tblGrid>
      <w:tr>
        <w:tc>
          <w:tcPr>
            <w:tcW w:w="1548" w:type="dxa"/>
          </w:tcPr>
          <w:p>
            <w:pPr>
              <w:contextualSpacing/>
              <w:rPr>
                <w:rFonts w:eastAsia="Batang"/>
                <w:noProof/>
                <w:szCs w:val="24"/>
              </w:rPr>
            </w:pPr>
          </w:p>
        </w:tc>
        <w:tc>
          <w:tcPr>
            <w:tcW w:w="3000" w:type="dxa"/>
          </w:tcPr>
          <w:p>
            <w:pPr>
              <w:contextualSpacing/>
              <w:rPr>
                <w:rFonts w:eastAsia="Batang"/>
                <w:noProof/>
                <w:szCs w:val="24"/>
              </w:rPr>
            </w:pPr>
            <w:r>
              <w:rPr>
                <w:noProof/>
              </w:rPr>
              <w:t>Quantité de sucre raffiné ou de sucre de canne destiné à être raffiné</w:t>
            </w:r>
          </w:p>
        </w:tc>
        <w:tc>
          <w:tcPr>
            <w:tcW w:w="480" w:type="dxa"/>
          </w:tcPr>
          <w:p>
            <w:pPr>
              <w:contextualSpacing/>
              <w:rPr>
                <w:rFonts w:eastAsia="Batang"/>
                <w:noProof/>
                <w:szCs w:val="24"/>
              </w:rPr>
            </w:pPr>
          </w:p>
        </w:tc>
        <w:tc>
          <w:tcPr>
            <w:tcW w:w="2280" w:type="dxa"/>
          </w:tcPr>
          <w:p>
            <w:pPr>
              <w:contextualSpacing/>
              <w:rPr>
                <w:rFonts w:eastAsia="Batang"/>
                <w:noProof/>
                <w:szCs w:val="24"/>
              </w:rPr>
            </w:pPr>
            <w:r>
              <w:rPr>
                <w:noProof/>
              </w:rPr>
              <w:t>Quantité de sucre de canne destiné à être raffiné</w:t>
            </w:r>
          </w:p>
        </w:tc>
      </w:tr>
      <w:tr>
        <w:tc>
          <w:tcPr>
            <w:tcW w:w="1548" w:type="dxa"/>
          </w:tcPr>
          <w:p>
            <w:pPr>
              <w:contextualSpacing/>
              <w:rPr>
                <w:rFonts w:eastAsia="Batang"/>
                <w:noProof/>
                <w:szCs w:val="24"/>
              </w:rPr>
            </w:pPr>
          </w:p>
        </w:tc>
        <w:tc>
          <w:tcPr>
            <w:tcW w:w="3000" w:type="dxa"/>
            <w:tcBorders>
              <w:bottom w:val="single" w:sz="4" w:space="0" w:color="auto"/>
            </w:tcBorders>
          </w:tcPr>
          <w:p>
            <w:pPr>
              <w:contextualSpacing/>
              <w:rPr>
                <w:rFonts w:eastAsia="Batang"/>
                <w:noProof/>
                <w:szCs w:val="24"/>
              </w:rPr>
            </w:pPr>
            <w:r>
              <w:rPr>
                <w:noProof/>
              </w:rPr>
              <w:t>(tonnes métriques)</w:t>
            </w:r>
          </w:p>
        </w:tc>
        <w:tc>
          <w:tcPr>
            <w:tcW w:w="480" w:type="dxa"/>
          </w:tcPr>
          <w:p>
            <w:pPr>
              <w:contextualSpacing/>
              <w:rPr>
                <w:rFonts w:eastAsia="Batang"/>
                <w:noProof/>
                <w:szCs w:val="24"/>
              </w:rPr>
            </w:pPr>
          </w:p>
        </w:tc>
        <w:tc>
          <w:tcPr>
            <w:tcW w:w="2280" w:type="dxa"/>
            <w:tcBorders>
              <w:bottom w:val="single" w:sz="4" w:space="0" w:color="auto"/>
            </w:tcBorders>
          </w:tcPr>
          <w:p>
            <w:pPr>
              <w:contextualSpacing/>
              <w:rPr>
                <w:rFonts w:eastAsia="Batang"/>
                <w:noProof/>
                <w:szCs w:val="24"/>
              </w:rPr>
            </w:pPr>
            <w:r>
              <w:rPr>
                <w:noProof/>
              </w:rPr>
              <w:t>(tonnes métriques)</w:t>
            </w:r>
          </w:p>
        </w:tc>
      </w:tr>
      <w:tr>
        <w:tc>
          <w:tcPr>
            <w:tcW w:w="1548" w:type="dxa"/>
          </w:tcPr>
          <w:p>
            <w:pPr>
              <w:contextualSpacing/>
              <w:rPr>
                <w:rFonts w:eastAsia="Batang"/>
                <w:noProof/>
                <w:szCs w:val="24"/>
              </w:rPr>
            </w:pPr>
          </w:p>
        </w:tc>
        <w:tc>
          <w:tcPr>
            <w:tcW w:w="3000" w:type="dxa"/>
            <w:tcBorders>
              <w:top w:val="single" w:sz="4" w:space="0" w:color="auto"/>
            </w:tcBorders>
            <w:vAlign w:val="center"/>
          </w:tcPr>
          <w:p>
            <w:pPr>
              <w:contextualSpacing/>
              <w:rPr>
                <w:rFonts w:eastAsia="Batang"/>
                <w:noProof/>
                <w:szCs w:val="24"/>
              </w:rPr>
            </w:pPr>
            <w:r>
              <w:rPr>
                <w:noProof/>
              </w:rPr>
              <w:t>50 000</w:t>
            </w:r>
          </w:p>
        </w:tc>
        <w:tc>
          <w:tcPr>
            <w:tcW w:w="480" w:type="dxa"/>
          </w:tcPr>
          <w:p>
            <w:pPr>
              <w:contextualSpacing/>
              <w:rPr>
                <w:rFonts w:eastAsia="Batang"/>
                <w:noProof/>
                <w:szCs w:val="24"/>
              </w:rPr>
            </w:pPr>
          </w:p>
        </w:tc>
        <w:tc>
          <w:tcPr>
            <w:tcW w:w="2280" w:type="dxa"/>
            <w:tcBorders>
              <w:top w:val="single" w:sz="4" w:space="0" w:color="auto"/>
            </w:tcBorders>
            <w:vAlign w:val="center"/>
          </w:tcPr>
          <w:p>
            <w:pPr>
              <w:contextualSpacing/>
              <w:rPr>
                <w:rFonts w:eastAsia="Batang"/>
                <w:noProof/>
                <w:szCs w:val="24"/>
              </w:rPr>
            </w:pPr>
            <w:r>
              <w:rPr>
                <w:noProof/>
              </w:rPr>
              <w:t>100 000</w:t>
            </w:r>
          </w:p>
        </w:tc>
      </w:tr>
    </w:tbl>
    <w:p>
      <w:pPr>
        <w:pStyle w:val="Text2"/>
        <w:rPr>
          <w:noProof/>
          <w:szCs w:val="24"/>
        </w:rPr>
      </w:pPr>
      <w:r>
        <w:rPr>
          <w:noProof/>
        </w:rPr>
        <w:t>Si la date visée au point 2 de la présente ANNEXE correspond à une date postérieure au 1</w:t>
      </w:r>
      <w:r>
        <w:rPr>
          <w:noProof/>
          <w:vertAlign w:val="superscript"/>
        </w:rPr>
        <w:t>er</w:t>
      </w:r>
      <w:r>
        <w:rPr>
          <w:noProof/>
        </w:rPr>
        <w:t xml:space="preserve"> janvier et antérieure au 31 décembre de la même année civile, les quantités des contingents tarifaires qui sont applicables pour le reste de l’année civile en question sont réduites chacune au prorata du nombre de jours restants dans ladite année civile.</w:t>
      </w:r>
    </w:p>
    <w:p>
      <w:pPr>
        <w:pStyle w:val="Point1"/>
        <w:rPr>
          <w:rFonts w:eastAsia="Batang"/>
          <w:noProof/>
          <w:szCs w:val="24"/>
        </w:rPr>
      </w:pPr>
      <w:r>
        <w:rPr>
          <w:noProof/>
        </w:rPr>
        <w:t>h)</w:t>
      </w:r>
      <w:r>
        <w:rPr>
          <w:noProof/>
        </w:rPr>
        <w:tab/>
        <w:t>[</w:t>
      </w:r>
      <w:r>
        <w:rPr>
          <w:i/>
          <w:noProof/>
        </w:rPr>
        <w:t>poudre cristalline blanche</w:t>
      </w:r>
      <w:r>
        <w:rPr>
          <w:noProof/>
        </w:rPr>
        <w:t>] La quantité agrégée de marchandises originaires relevant de la catégorie de démantèlement «L*» dont l’entrée est autorisée en franchise de droits chaque année civile, avec effet à la date visée au point 2 de la présente ANNEXE, est précisée ci-dessous: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7"/>
      </w:tblGrid>
      <w:tr>
        <w:trPr>
          <w:jc w:val="center"/>
        </w:trPr>
        <w:tc>
          <w:tcPr>
            <w:tcW w:w="2017" w:type="dxa"/>
            <w:tcBorders>
              <w:top w:val="nil"/>
              <w:left w:val="nil"/>
              <w:bottom w:val="nil"/>
              <w:right w:val="nil"/>
            </w:tcBorders>
          </w:tcPr>
          <w:p>
            <w:pPr>
              <w:contextualSpacing/>
              <w:rPr>
                <w:rFonts w:eastAsia="Batang"/>
                <w:noProof/>
                <w:szCs w:val="24"/>
              </w:rPr>
            </w:pPr>
            <w:r>
              <w:rPr>
                <w:noProof/>
              </w:rPr>
              <w:t>Quantité</w:t>
            </w:r>
          </w:p>
        </w:tc>
      </w:tr>
      <w:tr>
        <w:trPr>
          <w:jc w:val="center"/>
        </w:trPr>
        <w:tc>
          <w:tcPr>
            <w:tcW w:w="2017" w:type="dxa"/>
            <w:tcBorders>
              <w:top w:val="nil"/>
              <w:left w:val="nil"/>
              <w:bottom w:val="single" w:sz="4" w:space="0" w:color="000000"/>
              <w:right w:val="nil"/>
            </w:tcBorders>
          </w:tcPr>
          <w:p>
            <w:pPr>
              <w:contextualSpacing/>
              <w:rPr>
                <w:rFonts w:eastAsia="Batang"/>
                <w:noProof/>
                <w:szCs w:val="24"/>
              </w:rPr>
            </w:pPr>
            <w:r>
              <w:rPr>
                <w:noProof/>
              </w:rPr>
              <w:t>(tonnes métriques)</w:t>
            </w:r>
          </w:p>
        </w:tc>
      </w:tr>
      <w:tr>
        <w:trPr>
          <w:jc w:val="center"/>
        </w:trPr>
        <w:tc>
          <w:tcPr>
            <w:tcW w:w="2017" w:type="dxa"/>
            <w:tcBorders>
              <w:top w:val="single" w:sz="4" w:space="0" w:color="000000"/>
              <w:left w:val="nil"/>
              <w:bottom w:val="nil"/>
              <w:right w:val="nil"/>
            </w:tcBorders>
            <w:vAlign w:val="center"/>
          </w:tcPr>
          <w:p>
            <w:pPr>
              <w:contextualSpacing/>
              <w:rPr>
                <w:rFonts w:eastAsia="Batang"/>
                <w:noProof/>
                <w:szCs w:val="24"/>
              </w:rPr>
            </w:pPr>
            <w:r>
              <w:rPr>
                <w:noProof/>
              </w:rPr>
              <w:t>500</w:t>
            </w:r>
          </w:p>
        </w:tc>
      </w:tr>
    </w:tbl>
    <w:p>
      <w:pPr>
        <w:pStyle w:val="Text2"/>
        <w:rPr>
          <w:noProof/>
          <w:szCs w:val="24"/>
        </w:rPr>
      </w:pPr>
      <w:r>
        <w:rPr>
          <w:noProof/>
        </w:rPr>
        <w:t>Si la date visée au point 2 de la présente ANNEXE correspond à une date postérieure au 1</w:t>
      </w:r>
      <w:r>
        <w:rPr>
          <w:noProof/>
          <w:vertAlign w:val="superscript"/>
        </w:rPr>
        <w:t>er</w:t>
      </w:r>
      <w:r>
        <w:rPr>
          <w:noProof/>
        </w:rPr>
        <w:t xml:space="preserve"> janvier et antérieure au 31 décembre de la même année civile, la quantité du contingent tarifaire qui est applicable pour le reste de l’année civile en question est réduite au prorata du nombre de jours restants dans ladite année civile.</w:t>
      </w:r>
    </w:p>
    <w:p>
      <w:pPr>
        <w:pStyle w:val="Point1"/>
        <w:rPr>
          <w:rFonts w:eastAsia="Batang"/>
          <w:noProof/>
          <w:szCs w:val="24"/>
        </w:rPr>
      </w:pPr>
      <w:r>
        <w:rPr>
          <w:noProof/>
        </w:rPr>
        <w:t>i)</w:t>
      </w:r>
      <w:r>
        <w:rPr>
          <w:noProof/>
        </w:rPr>
        <w:tab/>
        <w:t>[</w:t>
      </w:r>
      <w:r>
        <w:rPr>
          <w:i/>
          <w:noProof/>
        </w:rPr>
        <w:t>confitures d’agrumes</w:t>
      </w:r>
      <w:r>
        <w:rPr>
          <w:noProof/>
        </w:rPr>
        <w:t>] La quantité agrégée de marchandises originaires relevant de la catégorie de démantèlement «M*» dont l’entrée est autorisée chaque année civile à un taux de droit égal à 50 % du taux NPF appliqué, avec effet à la date visée au point 2 de la présente ANNEXE, est précisée ci-dessous: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2"/>
      </w:tblGrid>
      <w:tr>
        <w:trPr>
          <w:jc w:val="center"/>
        </w:trPr>
        <w:tc>
          <w:tcPr>
            <w:tcW w:w="2072" w:type="dxa"/>
            <w:tcBorders>
              <w:top w:val="nil"/>
              <w:left w:val="nil"/>
              <w:bottom w:val="nil"/>
              <w:right w:val="nil"/>
            </w:tcBorders>
          </w:tcPr>
          <w:p>
            <w:pPr>
              <w:contextualSpacing/>
              <w:rPr>
                <w:rFonts w:eastAsia="Batang"/>
                <w:noProof/>
                <w:szCs w:val="24"/>
              </w:rPr>
            </w:pPr>
            <w:r>
              <w:rPr>
                <w:noProof/>
              </w:rPr>
              <w:t>Quantité</w:t>
            </w:r>
          </w:p>
        </w:tc>
      </w:tr>
      <w:tr>
        <w:trPr>
          <w:jc w:val="center"/>
        </w:trPr>
        <w:tc>
          <w:tcPr>
            <w:tcW w:w="2072" w:type="dxa"/>
            <w:tcBorders>
              <w:top w:val="nil"/>
              <w:left w:val="nil"/>
              <w:bottom w:val="single" w:sz="4" w:space="0" w:color="000000"/>
              <w:right w:val="nil"/>
            </w:tcBorders>
          </w:tcPr>
          <w:p>
            <w:pPr>
              <w:contextualSpacing/>
              <w:rPr>
                <w:rFonts w:eastAsia="Batang"/>
                <w:noProof/>
                <w:szCs w:val="24"/>
              </w:rPr>
            </w:pPr>
            <w:r>
              <w:rPr>
                <w:noProof/>
              </w:rPr>
              <w:t>(tonnes métriques)</w:t>
            </w:r>
          </w:p>
        </w:tc>
      </w:tr>
      <w:tr>
        <w:trPr>
          <w:jc w:val="center"/>
        </w:trPr>
        <w:tc>
          <w:tcPr>
            <w:tcW w:w="2072" w:type="dxa"/>
            <w:tcBorders>
              <w:top w:val="single" w:sz="4" w:space="0" w:color="000000"/>
              <w:left w:val="nil"/>
              <w:bottom w:val="nil"/>
              <w:right w:val="nil"/>
            </w:tcBorders>
            <w:vAlign w:val="center"/>
          </w:tcPr>
          <w:p>
            <w:pPr>
              <w:contextualSpacing/>
              <w:rPr>
                <w:rFonts w:eastAsia="Batang"/>
                <w:noProof/>
                <w:szCs w:val="24"/>
              </w:rPr>
            </w:pPr>
            <w:r>
              <w:rPr>
                <w:noProof/>
              </w:rPr>
              <w:t>100</w:t>
            </w:r>
          </w:p>
        </w:tc>
      </w:tr>
    </w:tbl>
    <w:p>
      <w:pPr>
        <w:pStyle w:val="Text2"/>
        <w:rPr>
          <w:noProof/>
          <w:szCs w:val="24"/>
        </w:rPr>
      </w:pPr>
      <w:r>
        <w:rPr>
          <w:noProof/>
        </w:rPr>
        <w:t>Si la date visée au point 2 de la présente ANNEXE correspond à une date postérieure au 1</w:t>
      </w:r>
      <w:r>
        <w:rPr>
          <w:noProof/>
          <w:vertAlign w:val="superscript"/>
        </w:rPr>
        <w:t>er</w:t>
      </w:r>
      <w:r>
        <w:rPr>
          <w:noProof/>
        </w:rPr>
        <w:t xml:space="preserve"> janvier et antérieure au 31 décembre de la même année civile, la quantité du contingent tarifaire qui est applicable pour le reste de l’année civile en question est réduite au prorata du nombre de jours restants dans ladite année civile.</w:t>
      </w:r>
    </w:p>
    <w:p>
      <w:pPr>
        <w:pStyle w:val="Point1"/>
        <w:rPr>
          <w:rFonts w:eastAsia="Batang"/>
          <w:noProof/>
          <w:szCs w:val="24"/>
        </w:rPr>
      </w:pPr>
      <w:r>
        <w:rPr>
          <w:noProof/>
        </w:rPr>
        <w:t>j)</w:t>
      </w:r>
      <w:r>
        <w:rPr>
          <w:noProof/>
        </w:rPr>
        <w:tab/>
        <w:t>[</w:t>
      </w:r>
      <w:r>
        <w:rPr>
          <w:i/>
          <w:noProof/>
        </w:rPr>
        <w:t>fruits en conserve, à l’exception des fruits tropicaux en conserve</w:t>
      </w:r>
      <w:r>
        <w:rPr>
          <w:noProof/>
        </w:rPr>
        <w:t>] La quantité agrégée de marchandises originaires relevant de la catégorie de démantèlement «N*» dont l’entrée est autorisée chaque année civile à un taux de droit égal à 50 % du taux NPF appliqué, avec effet à la date visée au point 1 de la présente ANNEXE et jusqu’à la date visée au point 2 de la présente ANNEXE, est précisée ci-dessous: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
        <w:gridCol w:w="2102"/>
        <w:gridCol w:w="2216"/>
      </w:tblGrid>
      <w:tr>
        <w:trPr>
          <w:jc w:val="center"/>
        </w:trPr>
        <w:tc>
          <w:tcPr>
            <w:tcW w:w="1119" w:type="dxa"/>
            <w:tcBorders>
              <w:top w:val="nil"/>
              <w:left w:val="nil"/>
              <w:bottom w:val="nil"/>
              <w:right w:val="nil"/>
            </w:tcBorders>
          </w:tcPr>
          <w:p>
            <w:pPr>
              <w:contextualSpacing/>
              <w:rPr>
                <w:rFonts w:eastAsia="Batang"/>
                <w:noProof/>
                <w:szCs w:val="24"/>
              </w:rPr>
            </w:pPr>
            <w:r>
              <w:rPr>
                <w:noProof/>
              </w:rPr>
              <w:t>Année</w:t>
            </w:r>
          </w:p>
        </w:tc>
        <w:tc>
          <w:tcPr>
            <w:tcW w:w="2102" w:type="dxa"/>
            <w:tcBorders>
              <w:top w:val="nil"/>
              <w:left w:val="nil"/>
              <w:bottom w:val="nil"/>
              <w:right w:val="nil"/>
            </w:tcBorders>
          </w:tcPr>
          <w:p>
            <w:pPr>
              <w:contextualSpacing/>
              <w:rPr>
                <w:rFonts w:eastAsia="Batang"/>
                <w:noProof/>
                <w:szCs w:val="24"/>
              </w:rPr>
            </w:pPr>
            <w:r>
              <w:rPr>
                <w:noProof/>
              </w:rPr>
              <w:t>Quantité de poires, abricots et pêches</w:t>
            </w:r>
          </w:p>
        </w:tc>
        <w:tc>
          <w:tcPr>
            <w:tcW w:w="2216" w:type="dxa"/>
            <w:tcBorders>
              <w:top w:val="nil"/>
              <w:left w:val="nil"/>
              <w:bottom w:val="nil"/>
              <w:right w:val="nil"/>
            </w:tcBorders>
          </w:tcPr>
          <w:p>
            <w:pPr>
              <w:contextualSpacing/>
              <w:rPr>
                <w:rFonts w:eastAsia="Batang"/>
                <w:noProof/>
                <w:szCs w:val="24"/>
              </w:rPr>
            </w:pPr>
            <w:r>
              <w:rPr>
                <w:noProof/>
              </w:rPr>
              <w:t>Quantité de mélanges de fruits non tropicaux</w:t>
            </w:r>
          </w:p>
        </w:tc>
      </w:tr>
      <w:tr>
        <w:trPr>
          <w:jc w:val="center"/>
        </w:trPr>
        <w:tc>
          <w:tcPr>
            <w:tcW w:w="1119" w:type="dxa"/>
            <w:tcBorders>
              <w:top w:val="nil"/>
              <w:left w:val="nil"/>
              <w:bottom w:val="single" w:sz="4" w:space="0" w:color="auto"/>
              <w:right w:val="nil"/>
            </w:tcBorders>
          </w:tcPr>
          <w:p>
            <w:pPr>
              <w:contextualSpacing/>
              <w:rPr>
                <w:rFonts w:eastAsia="Batang"/>
                <w:noProof/>
                <w:szCs w:val="24"/>
              </w:rPr>
            </w:pPr>
          </w:p>
        </w:tc>
        <w:tc>
          <w:tcPr>
            <w:tcW w:w="2102" w:type="dxa"/>
            <w:tcBorders>
              <w:top w:val="nil"/>
              <w:left w:val="nil"/>
              <w:bottom w:val="single" w:sz="4" w:space="0" w:color="auto"/>
              <w:right w:val="nil"/>
            </w:tcBorders>
          </w:tcPr>
          <w:p>
            <w:pPr>
              <w:contextualSpacing/>
              <w:rPr>
                <w:rFonts w:eastAsia="Batang"/>
                <w:noProof/>
                <w:szCs w:val="24"/>
              </w:rPr>
            </w:pPr>
            <w:r>
              <w:rPr>
                <w:noProof/>
              </w:rPr>
              <w:t>(tonnes métriques)</w:t>
            </w:r>
          </w:p>
        </w:tc>
        <w:tc>
          <w:tcPr>
            <w:tcW w:w="2216" w:type="dxa"/>
            <w:tcBorders>
              <w:top w:val="nil"/>
              <w:left w:val="nil"/>
              <w:bottom w:val="single" w:sz="4" w:space="0" w:color="auto"/>
              <w:right w:val="nil"/>
            </w:tcBorders>
          </w:tcPr>
          <w:p>
            <w:pPr>
              <w:contextualSpacing/>
              <w:rPr>
                <w:rFonts w:eastAsia="Batang"/>
                <w:noProof/>
                <w:szCs w:val="24"/>
              </w:rPr>
            </w:pPr>
            <w:r>
              <w:rPr>
                <w:noProof/>
              </w:rPr>
              <w:t>(tonnes métriques)</w:t>
            </w:r>
          </w:p>
        </w:tc>
      </w:tr>
      <w:tr>
        <w:trPr>
          <w:jc w:val="center"/>
        </w:trPr>
        <w:tc>
          <w:tcPr>
            <w:tcW w:w="1119" w:type="dxa"/>
            <w:tcBorders>
              <w:top w:val="single" w:sz="4" w:space="0" w:color="auto"/>
              <w:left w:val="nil"/>
              <w:bottom w:val="nil"/>
              <w:right w:val="nil"/>
            </w:tcBorders>
          </w:tcPr>
          <w:p>
            <w:pPr>
              <w:contextualSpacing/>
              <w:rPr>
                <w:rFonts w:eastAsia="Batang"/>
                <w:noProof/>
                <w:szCs w:val="24"/>
              </w:rPr>
            </w:pPr>
          </w:p>
        </w:tc>
        <w:tc>
          <w:tcPr>
            <w:tcW w:w="2102" w:type="dxa"/>
            <w:tcBorders>
              <w:top w:val="single" w:sz="4" w:space="0" w:color="auto"/>
              <w:left w:val="nil"/>
              <w:bottom w:val="nil"/>
              <w:right w:val="nil"/>
            </w:tcBorders>
          </w:tcPr>
          <w:p>
            <w:pPr>
              <w:contextualSpacing/>
              <w:rPr>
                <w:rFonts w:eastAsia="Batang"/>
                <w:noProof/>
                <w:szCs w:val="24"/>
              </w:rPr>
            </w:pPr>
          </w:p>
        </w:tc>
        <w:tc>
          <w:tcPr>
            <w:tcW w:w="2216" w:type="dxa"/>
            <w:tcBorders>
              <w:top w:val="single" w:sz="4" w:space="0" w:color="auto"/>
              <w:left w:val="nil"/>
              <w:bottom w:val="nil"/>
              <w:right w:val="nil"/>
            </w:tcBorders>
          </w:tcPr>
          <w:p>
            <w:pPr>
              <w:contextualSpacing/>
              <w:rPr>
                <w:rFonts w:eastAsia="Batang"/>
                <w:noProof/>
                <w:szCs w:val="24"/>
              </w:rPr>
            </w:pPr>
          </w:p>
        </w:tc>
      </w:tr>
      <w:tr>
        <w:trPr>
          <w:jc w:val="center"/>
        </w:trPr>
        <w:tc>
          <w:tcPr>
            <w:tcW w:w="1119" w:type="dxa"/>
            <w:tcBorders>
              <w:top w:val="nil"/>
              <w:left w:val="nil"/>
              <w:bottom w:val="nil"/>
              <w:right w:val="nil"/>
            </w:tcBorders>
          </w:tcPr>
          <w:p>
            <w:pPr>
              <w:contextualSpacing/>
              <w:rPr>
                <w:rFonts w:eastAsia="Batang"/>
                <w:noProof/>
                <w:szCs w:val="24"/>
              </w:rPr>
            </w:pPr>
            <w:r>
              <w:rPr>
                <w:noProof/>
              </w:rPr>
              <w:t>2015</w:t>
            </w:r>
          </w:p>
        </w:tc>
        <w:tc>
          <w:tcPr>
            <w:tcW w:w="2102" w:type="dxa"/>
            <w:tcBorders>
              <w:top w:val="nil"/>
              <w:left w:val="nil"/>
              <w:bottom w:val="nil"/>
              <w:right w:val="nil"/>
            </w:tcBorders>
          </w:tcPr>
          <w:p>
            <w:pPr>
              <w:contextualSpacing/>
              <w:rPr>
                <w:rFonts w:eastAsia="Batang"/>
                <w:noProof/>
                <w:szCs w:val="24"/>
              </w:rPr>
            </w:pPr>
            <w:r>
              <w:rPr>
                <w:noProof/>
              </w:rPr>
              <w:t>59 630,25</w:t>
            </w:r>
          </w:p>
        </w:tc>
        <w:tc>
          <w:tcPr>
            <w:tcW w:w="2216" w:type="dxa"/>
            <w:tcBorders>
              <w:top w:val="nil"/>
              <w:left w:val="nil"/>
              <w:bottom w:val="nil"/>
              <w:right w:val="nil"/>
            </w:tcBorders>
          </w:tcPr>
          <w:p>
            <w:pPr>
              <w:contextualSpacing/>
              <w:rPr>
                <w:rFonts w:eastAsia="Batang"/>
                <w:noProof/>
                <w:szCs w:val="24"/>
              </w:rPr>
            </w:pPr>
            <w:r>
              <w:rPr>
                <w:noProof/>
              </w:rPr>
              <w:t>26 552,20</w:t>
            </w:r>
          </w:p>
        </w:tc>
      </w:tr>
      <w:tr>
        <w:trPr>
          <w:jc w:val="center"/>
        </w:trPr>
        <w:tc>
          <w:tcPr>
            <w:tcW w:w="1119" w:type="dxa"/>
            <w:tcBorders>
              <w:top w:val="nil"/>
              <w:left w:val="nil"/>
              <w:bottom w:val="nil"/>
              <w:right w:val="nil"/>
            </w:tcBorders>
          </w:tcPr>
          <w:p>
            <w:pPr>
              <w:contextualSpacing/>
              <w:rPr>
                <w:rFonts w:eastAsia="Batang"/>
                <w:noProof/>
                <w:szCs w:val="24"/>
              </w:rPr>
            </w:pPr>
            <w:r>
              <w:rPr>
                <w:noProof/>
              </w:rPr>
              <w:t>2016</w:t>
            </w:r>
          </w:p>
        </w:tc>
        <w:tc>
          <w:tcPr>
            <w:tcW w:w="2102" w:type="dxa"/>
            <w:tcBorders>
              <w:top w:val="nil"/>
              <w:left w:val="nil"/>
              <w:bottom w:val="nil"/>
              <w:right w:val="nil"/>
            </w:tcBorders>
          </w:tcPr>
          <w:p>
            <w:pPr>
              <w:contextualSpacing/>
              <w:rPr>
                <w:rFonts w:eastAsia="Batang"/>
                <w:noProof/>
                <w:szCs w:val="24"/>
              </w:rPr>
            </w:pPr>
            <w:r>
              <w:rPr>
                <w:noProof/>
              </w:rPr>
              <w:t>60 866,00</w:t>
            </w:r>
          </w:p>
        </w:tc>
        <w:tc>
          <w:tcPr>
            <w:tcW w:w="2216" w:type="dxa"/>
            <w:tcBorders>
              <w:top w:val="nil"/>
              <w:left w:val="nil"/>
              <w:bottom w:val="nil"/>
              <w:right w:val="nil"/>
            </w:tcBorders>
          </w:tcPr>
          <w:p>
            <w:pPr>
              <w:contextualSpacing/>
              <w:rPr>
                <w:rFonts w:eastAsia="Batang"/>
                <w:noProof/>
                <w:szCs w:val="24"/>
              </w:rPr>
            </w:pPr>
            <w:r>
              <w:rPr>
                <w:noProof/>
              </w:rPr>
              <w:t>27 102,40</w:t>
            </w:r>
          </w:p>
        </w:tc>
      </w:tr>
      <w:tr>
        <w:trPr>
          <w:jc w:val="center"/>
        </w:trPr>
        <w:tc>
          <w:tcPr>
            <w:tcW w:w="1119" w:type="dxa"/>
            <w:tcBorders>
              <w:top w:val="nil"/>
              <w:left w:val="nil"/>
              <w:bottom w:val="nil"/>
              <w:right w:val="nil"/>
            </w:tcBorders>
          </w:tcPr>
          <w:p>
            <w:pPr>
              <w:contextualSpacing/>
              <w:rPr>
                <w:rFonts w:eastAsia="Batang"/>
                <w:noProof/>
                <w:szCs w:val="24"/>
              </w:rPr>
            </w:pPr>
            <w:r>
              <w:rPr>
                <w:noProof/>
              </w:rPr>
              <w:t>2017</w:t>
            </w:r>
          </w:p>
        </w:tc>
        <w:tc>
          <w:tcPr>
            <w:tcW w:w="2102" w:type="dxa"/>
            <w:tcBorders>
              <w:top w:val="nil"/>
              <w:left w:val="nil"/>
              <w:bottom w:val="nil"/>
              <w:right w:val="nil"/>
            </w:tcBorders>
          </w:tcPr>
          <w:p>
            <w:pPr>
              <w:contextualSpacing/>
              <w:rPr>
                <w:rFonts w:eastAsia="Batang"/>
                <w:noProof/>
                <w:szCs w:val="24"/>
              </w:rPr>
            </w:pPr>
            <w:r>
              <w:rPr>
                <w:noProof/>
              </w:rPr>
              <w:t>62 102,75</w:t>
            </w:r>
          </w:p>
        </w:tc>
        <w:tc>
          <w:tcPr>
            <w:tcW w:w="2216" w:type="dxa"/>
            <w:tcBorders>
              <w:top w:val="nil"/>
              <w:left w:val="nil"/>
              <w:bottom w:val="nil"/>
              <w:right w:val="nil"/>
            </w:tcBorders>
          </w:tcPr>
          <w:p>
            <w:pPr>
              <w:contextualSpacing/>
              <w:rPr>
                <w:rFonts w:eastAsia="Batang"/>
                <w:noProof/>
                <w:szCs w:val="24"/>
              </w:rPr>
            </w:pPr>
            <w:r>
              <w:rPr>
                <w:noProof/>
              </w:rPr>
              <w:t>27 652,60</w:t>
            </w:r>
          </w:p>
        </w:tc>
      </w:tr>
      <w:tr>
        <w:trPr>
          <w:jc w:val="center"/>
        </w:trPr>
        <w:tc>
          <w:tcPr>
            <w:tcW w:w="1119" w:type="dxa"/>
            <w:tcBorders>
              <w:top w:val="nil"/>
              <w:left w:val="nil"/>
              <w:bottom w:val="nil"/>
              <w:right w:val="nil"/>
            </w:tcBorders>
          </w:tcPr>
          <w:p>
            <w:pPr>
              <w:contextualSpacing/>
              <w:rPr>
                <w:rFonts w:eastAsia="Batang"/>
                <w:noProof/>
                <w:szCs w:val="24"/>
              </w:rPr>
            </w:pPr>
            <w:r>
              <w:rPr>
                <w:noProof/>
              </w:rPr>
              <w:t>2018</w:t>
            </w:r>
          </w:p>
        </w:tc>
        <w:tc>
          <w:tcPr>
            <w:tcW w:w="2102" w:type="dxa"/>
            <w:tcBorders>
              <w:top w:val="nil"/>
              <w:left w:val="nil"/>
              <w:bottom w:val="nil"/>
              <w:right w:val="nil"/>
            </w:tcBorders>
          </w:tcPr>
          <w:p>
            <w:pPr>
              <w:contextualSpacing/>
              <w:rPr>
                <w:rFonts w:eastAsia="Batang"/>
                <w:noProof/>
                <w:szCs w:val="24"/>
              </w:rPr>
            </w:pPr>
            <w:r>
              <w:rPr>
                <w:noProof/>
              </w:rPr>
              <w:t>63 339,50</w:t>
            </w:r>
          </w:p>
        </w:tc>
        <w:tc>
          <w:tcPr>
            <w:tcW w:w="2216" w:type="dxa"/>
            <w:tcBorders>
              <w:top w:val="nil"/>
              <w:left w:val="nil"/>
              <w:bottom w:val="nil"/>
              <w:right w:val="nil"/>
            </w:tcBorders>
          </w:tcPr>
          <w:p>
            <w:pPr>
              <w:contextualSpacing/>
              <w:rPr>
                <w:rFonts w:eastAsia="Batang"/>
                <w:noProof/>
                <w:szCs w:val="24"/>
              </w:rPr>
            </w:pPr>
            <w:r>
              <w:rPr>
                <w:noProof/>
              </w:rPr>
              <w:t>28 202,80</w:t>
            </w:r>
          </w:p>
        </w:tc>
      </w:tr>
      <w:tr>
        <w:trPr>
          <w:jc w:val="center"/>
        </w:trPr>
        <w:tc>
          <w:tcPr>
            <w:tcW w:w="1119" w:type="dxa"/>
            <w:tcBorders>
              <w:top w:val="nil"/>
              <w:left w:val="nil"/>
              <w:bottom w:val="nil"/>
              <w:right w:val="nil"/>
            </w:tcBorders>
          </w:tcPr>
          <w:p>
            <w:pPr>
              <w:contextualSpacing/>
              <w:rPr>
                <w:rFonts w:eastAsia="Batang"/>
                <w:noProof/>
                <w:szCs w:val="24"/>
              </w:rPr>
            </w:pPr>
            <w:r>
              <w:rPr>
                <w:noProof/>
              </w:rPr>
              <w:t>2019</w:t>
            </w:r>
          </w:p>
        </w:tc>
        <w:tc>
          <w:tcPr>
            <w:tcW w:w="2102" w:type="dxa"/>
            <w:tcBorders>
              <w:top w:val="nil"/>
              <w:left w:val="nil"/>
              <w:bottom w:val="nil"/>
              <w:right w:val="nil"/>
            </w:tcBorders>
          </w:tcPr>
          <w:p>
            <w:pPr>
              <w:contextualSpacing/>
              <w:rPr>
                <w:rFonts w:eastAsia="Batang"/>
                <w:noProof/>
                <w:szCs w:val="24"/>
              </w:rPr>
            </w:pPr>
            <w:r>
              <w:rPr>
                <w:noProof/>
              </w:rPr>
              <w:t>64 576,25</w:t>
            </w:r>
          </w:p>
        </w:tc>
        <w:tc>
          <w:tcPr>
            <w:tcW w:w="2216" w:type="dxa"/>
            <w:tcBorders>
              <w:top w:val="nil"/>
              <w:left w:val="nil"/>
              <w:bottom w:val="nil"/>
              <w:right w:val="nil"/>
            </w:tcBorders>
          </w:tcPr>
          <w:p>
            <w:pPr>
              <w:contextualSpacing/>
              <w:rPr>
                <w:rFonts w:eastAsia="Batang"/>
                <w:noProof/>
                <w:szCs w:val="24"/>
              </w:rPr>
            </w:pPr>
            <w:r>
              <w:rPr>
                <w:noProof/>
              </w:rPr>
              <w:t>28 753,00</w:t>
            </w:r>
          </w:p>
        </w:tc>
      </w:tr>
      <w:tr>
        <w:trPr>
          <w:jc w:val="center"/>
        </w:trPr>
        <w:tc>
          <w:tcPr>
            <w:tcW w:w="1119" w:type="dxa"/>
            <w:tcBorders>
              <w:top w:val="nil"/>
              <w:left w:val="nil"/>
              <w:bottom w:val="nil"/>
              <w:right w:val="nil"/>
            </w:tcBorders>
          </w:tcPr>
          <w:p>
            <w:pPr>
              <w:contextualSpacing/>
              <w:rPr>
                <w:rFonts w:eastAsia="Batang"/>
                <w:noProof/>
                <w:szCs w:val="24"/>
              </w:rPr>
            </w:pPr>
            <w:r>
              <w:rPr>
                <w:noProof/>
              </w:rPr>
              <w:t>2020</w:t>
            </w:r>
          </w:p>
        </w:tc>
        <w:tc>
          <w:tcPr>
            <w:tcW w:w="2102" w:type="dxa"/>
            <w:tcBorders>
              <w:top w:val="nil"/>
              <w:left w:val="nil"/>
              <w:bottom w:val="nil"/>
              <w:right w:val="nil"/>
            </w:tcBorders>
          </w:tcPr>
          <w:p>
            <w:pPr>
              <w:contextualSpacing/>
              <w:rPr>
                <w:rFonts w:eastAsia="Batang"/>
                <w:noProof/>
                <w:szCs w:val="24"/>
              </w:rPr>
            </w:pPr>
            <w:r>
              <w:rPr>
                <w:noProof/>
              </w:rPr>
              <w:t>65 813,00</w:t>
            </w:r>
          </w:p>
        </w:tc>
        <w:tc>
          <w:tcPr>
            <w:tcW w:w="2216" w:type="dxa"/>
            <w:tcBorders>
              <w:top w:val="nil"/>
              <w:left w:val="nil"/>
              <w:bottom w:val="nil"/>
              <w:right w:val="nil"/>
            </w:tcBorders>
          </w:tcPr>
          <w:p>
            <w:pPr>
              <w:contextualSpacing/>
              <w:rPr>
                <w:rFonts w:eastAsia="Batang"/>
                <w:noProof/>
                <w:szCs w:val="24"/>
              </w:rPr>
            </w:pPr>
            <w:r>
              <w:rPr>
                <w:noProof/>
              </w:rPr>
              <w:t>29 303,20</w:t>
            </w:r>
          </w:p>
        </w:tc>
      </w:tr>
    </w:tbl>
    <w:p>
      <w:pPr>
        <w:pStyle w:val="Text2"/>
        <w:rPr>
          <w:rFonts w:eastAsia="Batang"/>
          <w:noProof/>
          <w:szCs w:val="24"/>
        </w:rPr>
      </w:pPr>
      <w:r>
        <w:rPr>
          <w:noProof/>
        </w:rPr>
        <w:t>Après 2020, le contingent tarifaire est augmenté annuellement de 1 236,75 tonnes métriques pour les poires, abricots et pêches et de 550,20 tonnes métriques pour les mélanges de fruits non tropicaux.</w:t>
      </w:r>
    </w:p>
    <w:p>
      <w:pPr>
        <w:pStyle w:val="Text2"/>
        <w:rPr>
          <w:rFonts w:eastAsia="Batang"/>
          <w:noProof/>
          <w:szCs w:val="24"/>
        </w:rPr>
      </w:pPr>
      <w:r>
        <w:rPr>
          <w:noProof/>
        </w:rPr>
        <w:t>Avec effet à la date visée au point 2 de la présente ANNEXE,</w:t>
      </w:r>
    </w:p>
    <w:p>
      <w:pPr>
        <w:pStyle w:val="Bullet2"/>
        <w:numPr>
          <w:ilvl w:val="0"/>
          <w:numId w:val="28"/>
        </w:numPr>
        <w:rPr>
          <w:i/>
          <w:noProof/>
        </w:rPr>
      </w:pPr>
      <w:r>
        <w:rPr>
          <w:noProof/>
        </w:rPr>
        <w:t>la quantité agrégée de marchandises originaires relevant de cette catégorie de démantèlement dont l’entrée est autorisée chaque année civile est égale la quantité précisée ci-dessous: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9"/>
      </w:tblGrid>
      <w:tr>
        <w:trPr>
          <w:jc w:val="center"/>
        </w:trPr>
        <w:tc>
          <w:tcPr>
            <w:tcW w:w="2159" w:type="dxa"/>
            <w:tcBorders>
              <w:top w:val="nil"/>
              <w:left w:val="nil"/>
              <w:bottom w:val="nil"/>
              <w:right w:val="nil"/>
            </w:tcBorders>
          </w:tcPr>
          <w:p>
            <w:pPr>
              <w:contextualSpacing/>
              <w:rPr>
                <w:rFonts w:eastAsia="Batang"/>
                <w:noProof/>
                <w:szCs w:val="24"/>
              </w:rPr>
            </w:pPr>
            <w:r>
              <w:rPr>
                <w:noProof/>
              </w:rPr>
              <w:t>Quantité</w:t>
            </w:r>
          </w:p>
        </w:tc>
      </w:tr>
      <w:tr>
        <w:trPr>
          <w:jc w:val="center"/>
        </w:trPr>
        <w:tc>
          <w:tcPr>
            <w:tcW w:w="2159" w:type="dxa"/>
            <w:tcBorders>
              <w:top w:val="nil"/>
              <w:left w:val="nil"/>
              <w:bottom w:val="single" w:sz="4" w:space="0" w:color="000000"/>
              <w:right w:val="nil"/>
            </w:tcBorders>
          </w:tcPr>
          <w:p>
            <w:pPr>
              <w:contextualSpacing/>
              <w:rPr>
                <w:rFonts w:eastAsia="Batang"/>
                <w:noProof/>
                <w:szCs w:val="24"/>
              </w:rPr>
            </w:pPr>
            <w:r>
              <w:rPr>
                <w:noProof/>
              </w:rPr>
              <w:t>(tonnes métriques)</w:t>
            </w:r>
          </w:p>
        </w:tc>
      </w:tr>
      <w:tr>
        <w:trPr>
          <w:jc w:val="center"/>
        </w:trPr>
        <w:tc>
          <w:tcPr>
            <w:tcW w:w="2159" w:type="dxa"/>
            <w:tcBorders>
              <w:top w:val="single" w:sz="4" w:space="0" w:color="000000"/>
              <w:left w:val="nil"/>
              <w:bottom w:val="nil"/>
              <w:right w:val="nil"/>
            </w:tcBorders>
            <w:vAlign w:val="center"/>
          </w:tcPr>
          <w:p>
            <w:pPr>
              <w:contextualSpacing/>
              <w:rPr>
                <w:rFonts w:eastAsia="Batang"/>
                <w:noProof/>
                <w:szCs w:val="24"/>
              </w:rPr>
            </w:pPr>
            <w:r>
              <w:rPr>
                <w:noProof/>
              </w:rPr>
              <w:t>57 156</w:t>
            </w:r>
          </w:p>
        </w:tc>
      </w:tr>
    </w:tbl>
    <w:p>
      <w:pPr>
        <w:pStyle w:val="Bullet2"/>
        <w:numPr>
          <w:ilvl w:val="0"/>
          <w:numId w:val="28"/>
        </w:numPr>
        <w:rPr>
          <w:rFonts w:eastAsia="Batang"/>
          <w:noProof/>
          <w:szCs w:val="24"/>
        </w:rPr>
      </w:pPr>
      <w:r>
        <w:rPr>
          <w:noProof/>
        </w:rPr>
        <w:t>les droits de douane sont progressivement éliminés conformément aux dispositions suivantes:</w:t>
      </w:r>
    </w:p>
    <w:p>
      <w:pPr>
        <w:pStyle w:val="Point3"/>
        <w:rPr>
          <w:noProof/>
        </w:rPr>
      </w:pPr>
      <w:r>
        <w:rPr>
          <w:noProof/>
        </w:rPr>
        <w:t>i)</w:t>
      </w:r>
      <w:r>
        <w:rPr>
          <w:noProof/>
        </w:rPr>
        <w:tab/>
        <w:t>à la date visée au point 2 de la présente ANNEXE, chaque droit de douane est ramené à 45 % du taux NPF appliqué,</w:t>
      </w:r>
    </w:p>
    <w:p>
      <w:pPr>
        <w:pStyle w:val="Point3"/>
        <w:rPr>
          <w:noProof/>
        </w:rPr>
      </w:pPr>
      <w:r>
        <w:rPr>
          <w:noProof/>
        </w:rPr>
        <w:t>ii)</w:t>
      </w:r>
      <w:r>
        <w:rPr>
          <w:noProof/>
        </w:rPr>
        <w:tab/>
        <w:t>le 1</w:t>
      </w:r>
      <w:r>
        <w:rPr>
          <w:noProof/>
          <w:vertAlign w:val="superscript"/>
        </w:rPr>
        <w:t>er</w:t>
      </w:r>
      <w:r>
        <w:rPr>
          <w:noProof/>
        </w:rPr>
        <w:t xml:space="preserve"> janvier qui suit la date visée au point 2 de la présente ANNEXE, chaque droit de douane est à nouveau réduit et ramené à 41 % du taux NPF appliqué,</w:t>
      </w:r>
    </w:p>
    <w:p>
      <w:pPr>
        <w:pStyle w:val="Point3"/>
        <w:rPr>
          <w:noProof/>
        </w:rPr>
      </w:pPr>
      <w:r>
        <w:rPr>
          <w:noProof/>
        </w:rPr>
        <w:t>iii)</w:t>
      </w:r>
      <w:r>
        <w:rPr>
          <w:noProof/>
        </w:rPr>
        <w:tab/>
        <w:t>un an après le 1</w:t>
      </w:r>
      <w:r>
        <w:rPr>
          <w:noProof/>
          <w:vertAlign w:val="superscript"/>
        </w:rPr>
        <w:t>er</w:t>
      </w:r>
      <w:r>
        <w:rPr>
          <w:noProof/>
        </w:rPr>
        <w:t xml:space="preserve"> janvier qui suit la date visée au point 2 de la présente ANNEXE, chaque droit de douane est à nouveau réduit et ramené à 36 % du taux NPF appliqué,</w:t>
      </w:r>
    </w:p>
    <w:p>
      <w:pPr>
        <w:pStyle w:val="Point3"/>
        <w:rPr>
          <w:noProof/>
        </w:rPr>
      </w:pPr>
      <w:r>
        <w:rPr>
          <w:noProof/>
        </w:rPr>
        <w:t>iv)</w:t>
      </w:r>
      <w:r>
        <w:rPr>
          <w:noProof/>
        </w:rPr>
        <w:tab/>
        <w:t>deux (2) ans après le 1</w:t>
      </w:r>
      <w:r>
        <w:rPr>
          <w:noProof/>
          <w:vertAlign w:val="superscript"/>
        </w:rPr>
        <w:t>er</w:t>
      </w:r>
      <w:r>
        <w:rPr>
          <w:noProof/>
        </w:rPr>
        <w:t xml:space="preserve"> janvier qui suit la date visée au point 2 de la présente ANNEXE, chaque droit de douane est à nouveau réduit et ramené à 32 % du taux NPF appliqué,</w:t>
      </w:r>
    </w:p>
    <w:p>
      <w:pPr>
        <w:pStyle w:val="Point3"/>
        <w:rPr>
          <w:noProof/>
        </w:rPr>
      </w:pPr>
      <w:r>
        <w:rPr>
          <w:noProof/>
        </w:rPr>
        <w:t>v)</w:t>
      </w:r>
      <w:r>
        <w:rPr>
          <w:noProof/>
        </w:rPr>
        <w:tab/>
        <w:t>trois (3) ans après le 1</w:t>
      </w:r>
      <w:r>
        <w:rPr>
          <w:noProof/>
          <w:vertAlign w:val="superscript"/>
        </w:rPr>
        <w:t>er</w:t>
      </w:r>
      <w:r>
        <w:rPr>
          <w:noProof/>
        </w:rPr>
        <w:t xml:space="preserve"> janvier qui suit la date visée au point 2 de la présente ANNEXE, chaque droit de douane est à nouveau réduit et ramené à 27 % du taux NPF appliqué,</w:t>
      </w:r>
    </w:p>
    <w:p>
      <w:pPr>
        <w:pStyle w:val="Point3"/>
        <w:rPr>
          <w:noProof/>
        </w:rPr>
      </w:pPr>
      <w:r>
        <w:rPr>
          <w:noProof/>
        </w:rPr>
        <w:t>vi)</w:t>
      </w:r>
      <w:r>
        <w:rPr>
          <w:noProof/>
        </w:rPr>
        <w:tab/>
        <w:t>quatre (4) ans après le 1</w:t>
      </w:r>
      <w:r>
        <w:rPr>
          <w:noProof/>
          <w:vertAlign w:val="superscript"/>
        </w:rPr>
        <w:t>er</w:t>
      </w:r>
      <w:r>
        <w:rPr>
          <w:noProof/>
        </w:rPr>
        <w:t xml:space="preserve"> janvier qui suit la date visée au point 2 de la présente ANNEXE, chaque droit de douane est à nouveau réduit et ramené à 23 % du taux NPF appliqué,</w:t>
      </w:r>
    </w:p>
    <w:p>
      <w:pPr>
        <w:pStyle w:val="Point3"/>
        <w:rPr>
          <w:noProof/>
        </w:rPr>
      </w:pPr>
      <w:r>
        <w:rPr>
          <w:noProof/>
        </w:rPr>
        <w:t>vii)</w:t>
      </w:r>
      <w:r>
        <w:rPr>
          <w:noProof/>
        </w:rPr>
        <w:tab/>
        <w:t>cinq (5) ans après le 1</w:t>
      </w:r>
      <w:r>
        <w:rPr>
          <w:noProof/>
          <w:vertAlign w:val="superscript"/>
        </w:rPr>
        <w:t>er</w:t>
      </w:r>
      <w:r>
        <w:rPr>
          <w:noProof/>
        </w:rPr>
        <w:t xml:space="preserve"> janvier qui suit la date visée au point 2 de la présente ANNEXE, chaque droit de douane est à nouveau réduit et ramené à 18 % du taux NPF appliqué,</w:t>
      </w:r>
    </w:p>
    <w:p>
      <w:pPr>
        <w:pStyle w:val="Point3"/>
        <w:rPr>
          <w:noProof/>
        </w:rPr>
      </w:pPr>
      <w:r>
        <w:rPr>
          <w:noProof/>
        </w:rPr>
        <w:t>viii)</w:t>
      </w:r>
      <w:r>
        <w:rPr>
          <w:noProof/>
        </w:rPr>
        <w:tab/>
        <w:t>six (6) ans après le 1</w:t>
      </w:r>
      <w:r>
        <w:rPr>
          <w:noProof/>
          <w:vertAlign w:val="superscript"/>
        </w:rPr>
        <w:t>er</w:t>
      </w:r>
      <w:r>
        <w:rPr>
          <w:noProof/>
        </w:rPr>
        <w:t xml:space="preserve"> janvier qui suit la date visée au point 2 de la présente ANNEXE, chaque droit de douane est à nouveau réduit et ramené à 14 % du taux NPF appliqué,</w:t>
      </w:r>
    </w:p>
    <w:p>
      <w:pPr>
        <w:pStyle w:val="Point3"/>
        <w:rPr>
          <w:noProof/>
        </w:rPr>
      </w:pPr>
      <w:r>
        <w:rPr>
          <w:noProof/>
        </w:rPr>
        <w:t>ix)</w:t>
      </w:r>
      <w:r>
        <w:rPr>
          <w:noProof/>
        </w:rPr>
        <w:tab/>
        <w:t>sept (7) ans après le 1</w:t>
      </w:r>
      <w:r>
        <w:rPr>
          <w:noProof/>
          <w:vertAlign w:val="superscript"/>
        </w:rPr>
        <w:t>er</w:t>
      </w:r>
      <w:r>
        <w:rPr>
          <w:noProof/>
        </w:rPr>
        <w:t xml:space="preserve"> janvier qui suit la date visée au point 2 de la présente ANNEXE, chaque droit de douane est à nouveau réduit et ramené à 9 % du taux NPF appliqué,</w:t>
      </w:r>
    </w:p>
    <w:p>
      <w:pPr>
        <w:pStyle w:val="Point3"/>
        <w:rPr>
          <w:noProof/>
        </w:rPr>
      </w:pPr>
      <w:r>
        <w:rPr>
          <w:noProof/>
        </w:rPr>
        <w:t>x)</w:t>
      </w:r>
      <w:r>
        <w:rPr>
          <w:noProof/>
        </w:rPr>
        <w:tab/>
        <w:t>huit (8) ans après le 1</w:t>
      </w:r>
      <w:r>
        <w:rPr>
          <w:noProof/>
          <w:vertAlign w:val="superscript"/>
        </w:rPr>
        <w:t>er</w:t>
      </w:r>
      <w:r>
        <w:rPr>
          <w:noProof/>
        </w:rPr>
        <w:t xml:space="preserve"> janvier qui suit la date visée au point 2 de la présente ANNEXE, chaque droit de douane est à nouveau réduit et ramené à 5 % du taux NPF appliqué, et</w:t>
      </w:r>
    </w:p>
    <w:p>
      <w:pPr>
        <w:pStyle w:val="Point3"/>
        <w:rPr>
          <w:noProof/>
        </w:rPr>
      </w:pPr>
      <w:r>
        <w:rPr>
          <w:noProof/>
        </w:rPr>
        <w:t>xi)</w:t>
      </w:r>
      <w:r>
        <w:rPr>
          <w:noProof/>
        </w:rPr>
        <w:tab/>
        <w:t>neuf (9) ans après le 1</w:t>
      </w:r>
      <w:r>
        <w:rPr>
          <w:noProof/>
          <w:vertAlign w:val="superscript"/>
        </w:rPr>
        <w:t>er</w:t>
      </w:r>
      <w:r>
        <w:rPr>
          <w:noProof/>
        </w:rPr>
        <w:t xml:space="preserve"> janvier qui suit la date visée au point 2 de la présente ANNEXE, les droits de douane restants sont éliminés</w:t>
      </w:r>
    </w:p>
    <w:p>
      <w:pPr>
        <w:pStyle w:val="Text3"/>
        <w:rPr>
          <w:noProof/>
        </w:rPr>
      </w:pPr>
      <w:r>
        <w:rPr>
          <w:noProof/>
        </w:rPr>
        <w:t>Si la date visée au point 2 de la présente ANNEXE correspond à une date postérieure au 1</w:t>
      </w:r>
      <w:r>
        <w:rPr>
          <w:noProof/>
          <w:vertAlign w:val="superscript"/>
        </w:rPr>
        <w:t>er</w:t>
      </w:r>
      <w:r>
        <w:rPr>
          <w:noProof/>
        </w:rPr>
        <w:t xml:space="preserve"> janvier et antérieure au 31 décembre de la même année civile, la quantité du contingent tarifaire pour le reste de l’année en question est égale à 57 156 tonnes métriques moins la quantité importée dans le cadre des contingents tarifaires de l’accord CDC et du présent accord entre le 1</w:t>
      </w:r>
      <w:r>
        <w:rPr>
          <w:noProof/>
          <w:vertAlign w:val="superscript"/>
        </w:rPr>
        <w:t>er</w:t>
      </w:r>
      <w:r>
        <w:rPr>
          <w:noProof/>
        </w:rPr>
        <w:t xml:space="preserve"> janvier de ladite année civile et la date visée au point 2 de la présente ANNEXE.</w:t>
      </w:r>
    </w:p>
    <w:p>
      <w:pPr>
        <w:pStyle w:val="Point1"/>
        <w:rPr>
          <w:rFonts w:eastAsia="Batang"/>
          <w:noProof/>
          <w:szCs w:val="24"/>
        </w:rPr>
      </w:pPr>
      <w:r>
        <w:rPr>
          <w:noProof/>
        </w:rPr>
        <w:t>k)</w:t>
      </w:r>
      <w:r>
        <w:rPr>
          <w:noProof/>
        </w:rPr>
        <w:tab/>
        <w:t>[</w:t>
      </w:r>
      <w:r>
        <w:rPr>
          <w:i/>
          <w:noProof/>
        </w:rPr>
        <w:t>fruits tropicaux en conserve</w:t>
      </w:r>
      <w:r>
        <w:rPr>
          <w:noProof/>
        </w:rPr>
        <w:t>] La quantité agrégée de marchandises originaires relevant de la catégorie de démantèlement «O*» dont l’entrée est autorisée chaque année civile à un taux de droit égal à 50 % du taux NPF appliqué, avec effet à la date visée au point 1 de la présente ANNEXE, est précisée ci-dessous: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8"/>
        <w:gridCol w:w="1312"/>
        <w:gridCol w:w="2024"/>
      </w:tblGrid>
      <w:tr>
        <w:trPr>
          <w:jc w:val="center"/>
        </w:trPr>
        <w:tc>
          <w:tcPr>
            <w:tcW w:w="1058" w:type="dxa"/>
            <w:tcBorders>
              <w:top w:val="nil"/>
              <w:left w:val="nil"/>
              <w:bottom w:val="nil"/>
              <w:right w:val="nil"/>
            </w:tcBorders>
          </w:tcPr>
          <w:p>
            <w:pPr>
              <w:contextualSpacing/>
              <w:rPr>
                <w:rFonts w:eastAsia="Batang"/>
                <w:noProof/>
                <w:szCs w:val="24"/>
              </w:rPr>
            </w:pPr>
            <w:r>
              <w:rPr>
                <w:noProof/>
              </w:rPr>
              <w:t>Année</w:t>
            </w:r>
          </w:p>
        </w:tc>
        <w:tc>
          <w:tcPr>
            <w:tcW w:w="1312" w:type="dxa"/>
            <w:tcBorders>
              <w:top w:val="nil"/>
              <w:left w:val="nil"/>
              <w:bottom w:val="nil"/>
              <w:right w:val="nil"/>
            </w:tcBorders>
          </w:tcPr>
          <w:p>
            <w:pPr>
              <w:contextualSpacing/>
              <w:rPr>
                <w:rFonts w:eastAsia="Batang"/>
                <w:noProof/>
                <w:szCs w:val="24"/>
              </w:rPr>
            </w:pPr>
          </w:p>
        </w:tc>
        <w:tc>
          <w:tcPr>
            <w:tcW w:w="2024" w:type="dxa"/>
            <w:tcBorders>
              <w:top w:val="nil"/>
              <w:left w:val="nil"/>
              <w:bottom w:val="nil"/>
              <w:right w:val="nil"/>
            </w:tcBorders>
          </w:tcPr>
          <w:p>
            <w:pPr>
              <w:contextualSpacing/>
              <w:rPr>
                <w:rFonts w:eastAsia="Batang"/>
                <w:noProof/>
                <w:szCs w:val="24"/>
              </w:rPr>
            </w:pPr>
            <w:r>
              <w:rPr>
                <w:noProof/>
              </w:rPr>
              <w:t>Quantité</w:t>
            </w:r>
          </w:p>
        </w:tc>
      </w:tr>
      <w:tr>
        <w:trPr>
          <w:jc w:val="center"/>
        </w:trPr>
        <w:tc>
          <w:tcPr>
            <w:tcW w:w="1058" w:type="dxa"/>
            <w:tcBorders>
              <w:top w:val="nil"/>
              <w:left w:val="nil"/>
              <w:bottom w:val="single" w:sz="4" w:space="0" w:color="000000"/>
              <w:right w:val="nil"/>
            </w:tcBorders>
          </w:tcPr>
          <w:p>
            <w:pPr>
              <w:contextualSpacing/>
              <w:rPr>
                <w:rFonts w:eastAsia="Batang"/>
                <w:noProof/>
                <w:szCs w:val="24"/>
              </w:rPr>
            </w:pPr>
          </w:p>
        </w:tc>
        <w:tc>
          <w:tcPr>
            <w:tcW w:w="1312" w:type="dxa"/>
            <w:tcBorders>
              <w:top w:val="nil"/>
              <w:left w:val="nil"/>
              <w:bottom w:val="single" w:sz="4" w:space="0" w:color="000000"/>
              <w:right w:val="nil"/>
            </w:tcBorders>
          </w:tcPr>
          <w:p>
            <w:pPr>
              <w:contextualSpacing/>
              <w:rPr>
                <w:rFonts w:eastAsia="Batang"/>
                <w:noProof/>
                <w:szCs w:val="24"/>
              </w:rPr>
            </w:pPr>
          </w:p>
        </w:tc>
        <w:tc>
          <w:tcPr>
            <w:tcW w:w="2024" w:type="dxa"/>
            <w:tcBorders>
              <w:top w:val="nil"/>
              <w:left w:val="nil"/>
              <w:bottom w:val="single" w:sz="4" w:space="0" w:color="000000"/>
              <w:right w:val="nil"/>
            </w:tcBorders>
          </w:tcPr>
          <w:p>
            <w:pPr>
              <w:contextualSpacing/>
              <w:rPr>
                <w:rFonts w:eastAsia="Batang"/>
                <w:noProof/>
                <w:szCs w:val="24"/>
              </w:rPr>
            </w:pPr>
            <w:r>
              <w:rPr>
                <w:noProof/>
              </w:rPr>
              <w:t>(tonnes métriques)</w:t>
            </w:r>
          </w:p>
        </w:tc>
      </w:tr>
      <w:tr>
        <w:trPr>
          <w:jc w:val="center"/>
        </w:trPr>
        <w:tc>
          <w:tcPr>
            <w:tcW w:w="1058" w:type="dxa"/>
            <w:tcBorders>
              <w:top w:val="nil"/>
              <w:left w:val="nil"/>
              <w:bottom w:val="nil"/>
              <w:right w:val="nil"/>
            </w:tcBorders>
          </w:tcPr>
          <w:p>
            <w:pPr>
              <w:contextualSpacing/>
              <w:rPr>
                <w:rFonts w:eastAsia="Batang"/>
                <w:noProof/>
                <w:szCs w:val="24"/>
              </w:rPr>
            </w:pPr>
          </w:p>
        </w:tc>
        <w:tc>
          <w:tcPr>
            <w:tcW w:w="1312" w:type="dxa"/>
            <w:tcBorders>
              <w:top w:val="nil"/>
              <w:left w:val="nil"/>
              <w:bottom w:val="nil"/>
              <w:right w:val="nil"/>
            </w:tcBorders>
          </w:tcPr>
          <w:p>
            <w:pPr>
              <w:contextualSpacing/>
              <w:rPr>
                <w:rFonts w:eastAsia="Batang"/>
                <w:noProof/>
                <w:szCs w:val="24"/>
              </w:rPr>
            </w:pPr>
          </w:p>
        </w:tc>
        <w:tc>
          <w:tcPr>
            <w:tcW w:w="2024" w:type="dxa"/>
            <w:tcBorders>
              <w:top w:val="nil"/>
              <w:left w:val="nil"/>
              <w:bottom w:val="nil"/>
              <w:right w:val="nil"/>
            </w:tcBorders>
          </w:tcPr>
          <w:p>
            <w:pPr>
              <w:contextualSpacing/>
              <w:rPr>
                <w:rFonts w:eastAsia="Batang"/>
                <w:noProof/>
                <w:szCs w:val="24"/>
              </w:rPr>
            </w:pPr>
          </w:p>
        </w:tc>
      </w:tr>
      <w:tr>
        <w:trPr>
          <w:jc w:val="center"/>
        </w:trPr>
        <w:tc>
          <w:tcPr>
            <w:tcW w:w="1058" w:type="dxa"/>
            <w:tcBorders>
              <w:top w:val="nil"/>
              <w:left w:val="nil"/>
              <w:bottom w:val="nil"/>
              <w:right w:val="nil"/>
            </w:tcBorders>
          </w:tcPr>
          <w:p>
            <w:pPr>
              <w:contextualSpacing/>
              <w:rPr>
                <w:rFonts w:eastAsia="Batang"/>
                <w:noProof/>
                <w:szCs w:val="24"/>
              </w:rPr>
            </w:pPr>
            <w:r>
              <w:rPr>
                <w:noProof/>
              </w:rPr>
              <w:t>2015</w:t>
            </w:r>
          </w:p>
        </w:tc>
        <w:tc>
          <w:tcPr>
            <w:tcW w:w="1312" w:type="dxa"/>
            <w:tcBorders>
              <w:top w:val="nil"/>
              <w:left w:val="nil"/>
              <w:bottom w:val="nil"/>
              <w:right w:val="nil"/>
            </w:tcBorders>
          </w:tcPr>
          <w:p>
            <w:pPr>
              <w:contextualSpacing/>
              <w:rPr>
                <w:rFonts w:eastAsia="Batang"/>
                <w:noProof/>
                <w:szCs w:val="24"/>
              </w:rPr>
            </w:pPr>
          </w:p>
        </w:tc>
        <w:tc>
          <w:tcPr>
            <w:tcW w:w="2024" w:type="dxa"/>
            <w:tcBorders>
              <w:top w:val="nil"/>
              <w:left w:val="nil"/>
              <w:bottom w:val="nil"/>
              <w:right w:val="nil"/>
            </w:tcBorders>
          </w:tcPr>
          <w:p>
            <w:pPr>
              <w:contextualSpacing/>
              <w:rPr>
                <w:rFonts w:eastAsia="Batang"/>
                <w:noProof/>
                <w:szCs w:val="24"/>
              </w:rPr>
            </w:pPr>
            <w:r>
              <w:rPr>
                <w:noProof/>
              </w:rPr>
              <w:t>2 900</w:t>
            </w:r>
          </w:p>
        </w:tc>
      </w:tr>
      <w:tr>
        <w:trPr>
          <w:jc w:val="center"/>
        </w:trPr>
        <w:tc>
          <w:tcPr>
            <w:tcW w:w="1058" w:type="dxa"/>
            <w:tcBorders>
              <w:top w:val="nil"/>
              <w:left w:val="nil"/>
              <w:bottom w:val="nil"/>
              <w:right w:val="nil"/>
            </w:tcBorders>
          </w:tcPr>
          <w:p>
            <w:pPr>
              <w:contextualSpacing/>
              <w:rPr>
                <w:rFonts w:eastAsia="Batang"/>
                <w:noProof/>
                <w:szCs w:val="24"/>
              </w:rPr>
            </w:pPr>
            <w:r>
              <w:rPr>
                <w:noProof/>
              </w:rPr>
              <w:t>2016</w:t>
            </w:r>
          </w:p>
        </w:tc>
        <w:tc>
          <w:tcPr>
            <w:tcW w:w="1312" w:type="dxa"/>
            <w:tcBorders>
              <w:top w:val="nil"/>
              <w:left w:val="nil"/>
              <w:bottom w:val="nil"/>
              <w:right w:val="nil"/>
            </w:tcBorders>
          </w:tcPr>
          <w:p>
            <w:pPr>
              <w:contextualSpacing/>
              <w:rPr>
                <w:rFonts w:eastAsia="Batang"/>
                <w:noProof/>
                <w:szCs w:val="24"/>
              </w:rPr>
            </w:pPr>
          </w:p>
        </w:tc>
        <w:tc>
          <w:tcPr>
            <w:tcW w:w="2024" w:type="dxa"/>
            <w:tcBorders>
              <w:top w:val="nil"/>
              <w:left w:val="nil"/>
              <w:bottom w:val="nil"/>
              <w:right w:val="nil"/>
            </w:tcBorders>
          </w:tcPr>
          <w:p>
            <w:pPr>
              <w:contextualSpacing/>
              <w:rPr>
                <w:rFonts w:eastAsia="Batang"/>
                <w:noProof/>
                <w:szCs w:val="24"/>
              </w:rPr>
            </w:pPr>
            <w:r>
              <w:rPr>
                <w:noProof/>
              </w:rPr>
              <w:t>2 960</w:t>
            </w:r>
          </w:p>
        </w:tc>
      </w:tr>
      <w:tr>
        <w:trPr>
          <w:jc w:val="center"/>
        </w:trPr>
        <w:tc>
          <w:tcPr>
            <w:tcW w:w="1058" w:type="dxa"/>
            <w:tcBorders>
              <w:top w:val="nil"/>
              <w:left w:val="nil"/>
              <w:bottom w:val="nil"/>
              <w:right w:val="nil"/>
            </w:tcBorders>
          </w:tcPr>
          <w:p>
            <w:pPr>
              <w:contextualSpacing/>
              <w:rPr>
                <w:rFonts w:eastAsia="Batang"/>
                <w:noProof/>
                <w:szCs w:val="24"/>
              </w:rPr>
            </w:pPr>
            <w:r>
              <w:rPr>
                <w:noProof/>
              </w:rPr>
              <w:t>2017</w:t>
            </w:r>
          </w:p>
        </w:tc>
        <w:tc>
          <w:tcPr>
            <w:tcW w:w="1312" w:type="dxa"/>
            <w:tcBorders>
              <w:top w:val="nil"/>
              <w:left w:val="nil"/>
              <w:bottom w:val="nil"/>
              <w:right w:val="nil"/>
            </w:tcBorders>
          </w:tcPr>
          <w:p>
            <w:pPr>
              <w:contextualSpacing/>
              <w:rPr>
                <w:rFonts w:eastAsia="Batang"/>
                <w:noProof/>
                <w:szCs w:val="24"/>
              </w:rPr>
            </w:pPr>
          </w:p>
        </w:tc>
        <w:tc>
          <w:tcPr>
            <w:tcW w:w="2024" w:type="dxa"/>
            <w:tcBorders>
              <w:top w:val="nil"/>
              <w:left w:val="nil"/>
              <w:bottom w:val="nil"/>
              <w:right w:val="nil"/>
            </w:tcBorders>
          </w:tcPr>
          <w:p>
            <w:pPr>
              <w:contextualSpacing/>
              <w:rPr>
                <w:rFonts w:eastAsia="Batang"/>
                <w:noProof/>
                <w:szCs w:val="24"/>
              </w:rPr>
            </w:pPr>
            <w:r>
              <w:rPr>
                <w:noProof/>
              </w:rPr>
              <w:t>3 020</w:t>
            </w:r>
          </w:p>
        </w:tc>
      </w:tr>
      <w:tr>
        <w:trPr>
          <w:jc w:val="center"/>
        </w:trPr>
        <w:tc>
          <w:tcPr>
            <w:tcW w:w="1058" w:type="dxa"/>
            <w:tcBorders>
              <w:top w:val="nil"/>
              <w:left w:val="nil"/>
              <w:bottom w:val="nil"/>
              <w:right w:val="nil"/>
            </w:tcBorders>
          </w:tcPr>
          <w:p>
            <w:pPr>
              <w:contextualSpacing/>
              <w:rPr>
                <w:rFonts w:eastAsia="Batang"/>
                <w:noProof/>
                <w:szCs w:val="24"/>
              </w:rPr>
            </w:pPr>
            <w:r>
              <w:rPr>
                <w:noProof/>
              </w:rPr>
              <w:t>2018</w:t>
            </w:r>
          </w:p>
        </w:tc>
        <w:tc>
          <w:tcPr>
            <w:tcW w:w="1312" w:type="dxa"/>
            <w:tcBorders>
              <w:top w:val="nil"/>
              <w:left w:val="nil"/>
              <w:bottom w:val="nil"/>
              <w:right w:val="nil"/>
            </w:tcBorders>
          </w:tcPr>
          <w:p>
            <w:pPr>
              <w:contextualSpacing/>
              <w:rPr>
                <w:rFonts w:eastAsia="Batang"/>
                <w:noProof/>
                <w:szCs w:val="24"/>
              </w:rPr>
            </w:pPr>
          </w:p>
        </w:tc>
        <w:tc>
          <w:tcPr>
            <w:tcW w:w="2024" w:type="dxa"/>
            <w:tcBorders>
              <w:top w:val="nil"/>
              <w:left w:val="nil"/>
              <w:bottom w:val="nil"/>
              <w:right w:val="nil"/>
            </w:tcBorders>
          </w:tcPr>
          <w:p>
            <w:pPr>
              <w:contextualSpacing/>
              <w:rPr>
                <w:rFonts w:eastAsia="Batang"/>
                <w:noProof/>
                <w:szCs w:val="24"/>
              </w:rPr>
            </w:pPr>
            <w:r>
              <w:rPr>
                <w:noProof/>
              </w:rPr>
              <w:t>3 080</w:t>
            </w:r>
          </w:p>
        </w:tc>
      </w:tr>
      <w:tr>
        <w:trPr>
          <w:jc w:val="center"/>
        </w:trPr>
        <w:tc>
          <w:tcPr>
            <w:tcW w:w="1058" w:type="dxa"/>
            <w:tcBorders>
              <w:top w:val="nil"/>
              <w:left w:val="nil"/>
              <w:bottom w:val="nil"/>
              <w:right w:val="nil"/>
            </w:tcBorders>
          </w:tcPr>
          <w:p>
            <w:pPr>
              <w:contextualSpacing/>
              <w:rPr>
                <w:rFonts w:eastAsia="Batang"/>
                <w:noProof/>
                <w:szCs w:val="24"/>
              </w:rPr>
            </w:pPr>
            <w:r>
              <w:rPr>
                <w:noProof/>
              </w:rPr>
              <w:t>2019</w:t>
            </w:r>
          </w:p>
        </w:tc>
        <w:tc>
          <w:tcPr>
            <w:tcW w:w="1312" w:type="dxa"/>
            <w:tcBorders>
              <w:top w:val="nil"/>
              <w:left w:val="nil"/>
              <w:bottom w:val="nil"/>
              <w:right w:val="nil"/>
            </w:tcBorders>
          </w:tcPr>
          <w:p>
            <w:pPr>
              <w:contextualSpacing/>
              <w:rPr>
                <w:rFonts w:eastAsia="Batang"/>
                <w:noProof/>
                <w:szCs w:val="24"/>
              </w:rPr>
            </w:pPr>
          </w:p>
        </w:tc>
        <w:tc>
          <w:tcPr>
            <w:tcW w:w="2024" w:type="dxa"/>
            <w:tcBorders>
              <w:top w:val="nil"/>
              <w:left w:val="nil"/>
              <w:bottom w:val="nil"/>
              <w:right w:val="nil"/>
            </w:tcBorders>
          </w:tcPr>
          <w:p>
            <w:pPr>
              <w:contextualSpacing/>
              <w:rPr>
                <w:rFonts w:eastAsia="Batang"/>
                <w:noProof/>
                <w:szCs w:val="24"/>
              </w:rPr>
            </w:pPr>
            <w:r>
              <w:rPr>
                <w:noProof/>
              </w:rPr>
              <w:t>3 140</w:t>
            </w:r>
          </w:p>
        </w:tc>
      </w:tr>
      <w:tr>
        <w:trPr>
          <w:jc w:val="center"/>
        </w:trPr>
        <w:tc>
          <w:tcPr>
            <w:tcW w:w="1058" w:type="dxa"/>
            <w:tcBorders>
              <w:top w:val="nil"/>
              <w:left w:val="nil"/>
              <w:bottom w:val="nil"/>
              <w:right w:val="nil"/>
            </w:tcBorders>
          </w:tcPr>
          <w:p>
            <w:pPr>
              <w:contextualSpacing/>
              <w:rPr>
                <w:rFonts w:eastAsia="Batang"/>
                <w:noProof/>
                <w:szCs w:val="24"/>
              </w:rPr>
            </w:pPr>
            <w:r>
              <w:rPr>
                <w:noProof/>
              </w:rPr>
              <w:t>2020</w:t>
            </w:r>
          </w:p>
        </w:tc>
        <w:tc>
          <w:tcPr>
            <w:tcW w:w="1312" w:type="dxa"/>
            <w:tcBorders>
              <w:top w:val="nil"/>
              <w:left w:val="nil"/>
              <w:bottom w:val="nil"/>
              <w:right w:val="nil"/>
            </w:tcBorders>
          </w:tcPr>
          <w:p>
            <w:pPr>
              <w:contextualSpacing/>
              <w:rPr>
                <w:rFonts w:eastAsia="Batang"/>
                <w:noProof/>
                <w:szCs w:val="24"/>
              </w:rPr>
            </w:pPr>
          </w:p>
        </w:tc>
        <w:tc>
          <w:tcPr>
            <w:tcW w:w="2024" w:type="dxa"/>
            <w:tcBorders>
              <w:top w:val="nil"/>
              <w:left w:val="nil"/>
              <w:bottom w:val="nil"/>
              <w:right w:val="nil"/>
            </w:tcBorders>
          </w:tcPr>
          <w:p>
            <w:pPr>
              <w:contextualSpacing/>
              <w:rPr>
                <w:rFonts w:eastAsia="Batang"/>
                <w:noProof/>
                <w:szCs w:val="24"/>
              </w:rPr>
            </w:pPr>
            <w:r>
              <w:rPr>
                <w:noProof/>
              </w:rPr>
              <w:t>3 200</w:t>
            </w:r>
          </w:p>
        </w:tc>
      </w:tr>
    </w:tbl>
    <w:p>
      <w:pPr>
        <w:pStyle w:val="Text2"/>
        <w:rPr>
          <w:noProof/>
        </w:rPr>
      </w:pPr>
      <w:r>
        <w:rPr>
          <w:noProof/>
        </w:rPr>
        <w:t>Après 2020, le contingent tarifaire est augmenté annuellement de 60 tonnes métriques.</w:t>
      </w:r>
    </w:p>
    <w:p>
      <w:pPr>
        <w:pStyle w:val="Text2"/>
        <w:rPr>
          <w:rFonts w:eastAsia="Batang"/>
          <w:i/>
          <w:noProof/>
          <w:szCs w:val="24"/>
        </w:rPr>
      </w:pPr>
      <w:r>
        <w:rPr>
          <w:noProof/>
        </w:rPr>
        <w:t>Avec effet à la date visée au point 2 de la présente ANNEXE, les droits de douane applicables aux marchandises relevant du code NC UE 2007 99 50 dans cette catégorie de démantèlement sont éliminés et l’importation de ces marchandises n’est plus soumise aux conditions du contingent tarifaire, ni comptabilisée dans le remplissage des contingents.</w:t>
      </w:r>
    </w:p>
    <w:p>
      <w:pPr>
        <w:pStyle w:val="Point1"/>
        <w:rPr>
          <w:rFonts w:eastAsia="Batang"/>
          <w:noProof/>
          <w:szCs w:val="24"/>
        </w:rPr>
      </w:pPr>
      <w:r>
        <w:rPr>
          <w:noProof/>
        </w:rPr>
        <w:t>l)</w:t>
      </w:r>
      <w:r>
        <w:rPr>
          <w:noProof/>
        </w:rPr>
        <w:tab/>
        <w:t>[</w:t>
      </w:r>
      <w:r>
        <w:rPr>
          <w:i/>
          <w:noProof/>
        </w:rPr>
        <w:t>jus d’orange congelés</w:t>
      </w:r>
      <w:r>
        <w:rPr>
          <w:noProof/>
        </w:rPr>
        <w:t>] La quantité agrégée de marchandises originaires relevant de la catégorie de démantèlement «P*» dont l’entrée est autorisée chaque année civile à un taux de droit égal à 50 % du taux NPF appliqué, avec effet à la date visée au point 1 de la présente ANNEXE, est précisée ci-dessous: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164"/>
        <w:gridCol w:w="1684"/>
        <w:gridCol w:w="2113"/>
        <w:gridCol w:w="1338"/>
      </w:tblGrid>
      <w:tr>
        <w:tc>
          <w:tcPr>
            <w:tcW w:w="1668" w:type="dxa"/>
            <w:tcBorders>
              <w:top w:val="nil"/>
              <w:left w:val="nil"/>
              <w:bottom w:val="nil"/>
              <w:right w:val="nil"/>
            </w:tcBorders>
          </w:tcPr>
          <w:p>
            <w:pPr>
              <w:contextualSpacing/>
              <w:rPr>
                <w:rFonts w:eastAsia="Batang"/>
                <w:noProof/>
                <w:szCs w:val="24"/>
              </w:rPr>
            </w:pPr>
          </w:p>
        </w:tc>
        <w:tc>
          <w:tcPr>
            <w:tcW w:w="1164" w:type="dxa"/>
            <w:tcBorders>
              <w:top w:val="nil"/>
              <w:left w:val="nil"/>
              <w:bottom w:val="nil"/>
              <w:right w:val="nil"/>
            </w:tcBorders>
          </w:tcPr>
          <w:p>
            <w:pPr>
              <w:contextualSpacing/>
              <w:rPr>
                <w:rFonts w:eastAsia="Batang"/>
                <w:noProof/>
                <w:szCs w:val="24"/>
              </w:rPr>
            </w:pPr>
            <w:r>
              <w:rPr>
                <w:noProof/>
              </w:rPr>
              <w:t>Année</w:t>
            </w:r>
          </w:p>
        </w:tc>
        <w:tc>
          <w:tcPr>
            <w:tcW w:w="1684" w:type="dxa"/>
            <w:tcBorders>
              <w:top w:val="nil"/>
              <w:left w:val="nil"/>
              <w:bottom w:val="nil"/>
              <w:right w:val="nil"/>
            </w:tcBorders>
          </w:tcPr>
          <w:p>
            <w:pPr>
              <w:contextualSpacing/>
              <w:rPr>
                <w:rFonts w:eastAsia="Batang"/>
                <w:noProof/>
                <w:szCs w:val="24"/>
              </w:rPr>
            </w:pPr>
          </w:p>
        </w:tc>
        <w:tc>
          <w:tcPr>
            <w:tcW w:w="2113" w:type="dxa"/>
            <w:tcBorders>
              <w:top w:val="nil"/>
              <w:left w:val="nil"/>
              <w:bottom w:val="nil"/>
              <w:right w:val="nil"/>
            </w:tcBorders>
          </w:tcPr>
          <w:p>
            <w:pPr>
              <w:contextualSpacing/>
              <w:rPr>
                <w:rFonts w:eastAsia="Batang"/>
                <w:noProof/>
                <w:szCs w:val="24"/>
              </w:rPr>
            </w:pPr>
            <w:r>
              <w:rPr>
                <w:noProof/>
              </w:rPr>
              <w:t>Quantité</w:t>
            </w:r>
          </w:p>
        </w:tc>
        <w:tc>
          <w:tcPr>
            <w:tcW w:w="1338" w:type="dxa"/>
            <w:tcBorders>
              <w:top w:val="nil"/>
              <w:left w:val="nil"/>
              <w:bottom w:val="nil"/>
              <w:right w:val="nil"/>
            </w:tcBorders>
          </w:tcPr>
          <w:p>
            <w:pPr>
              <w:contextualSpacing/>
              <w:rPr>
                <w:rFonts w:eastAsia="Batang"/>
                <w:noProof/>
                <w:szCs w:val="24"/>
              </w:rPr>
            </w:pPr>
          </w:p>
        </w:tc>
      </w:tr>
      <w:tr>
        <w:tc>
          <w:tcPr>
            <w:tcW w:w="1668" w:type="dxa"/>
            <w:tcBorders>
              <w:top w:val="nil"/>
              <w:left w:val="nil"/>
              <w:bottom w:val="nil"/>
              <w:right w:val="nil"/>
            </w:tcBorders>
          </w:tcPr>
          <w:p>
            <w:pPr>
              <w:contextualSpacing/>
              <w:rPr>
                <w:rFonts w:eastAsia="Batang"/>
                <w:noProof/>
                <w:szCs w:val="24"/>
              </w:rPr>
            </w:pPr>
          </w:p>
        </w:tc>
        <w:tc>
          <w:tcPr>
            <w:tcW w:w="1164" w:type="dxa"/>
            <w:tcBorders>
              <w:top w:val="nil"/>
              <w:left w:val="nil"/>
              <w:bottom w:val="single" w:sz="4" w:space="0" w:color="000000"/>
              <w:right w:val="nil"/>
            </w:tcBorders>
          </w:tcPr>
          <w:p>
            <w:pPr>
              <w:contextualSpacing/>
              <w:rPr>
                <w:rFonts w:eastAsia="Batang"/>
                <w:noProof/>
                <w:szCs w:val="24"/>
              </w:rPr>
            </w:pPr>
          </w:p>
        </w:tc>
        <w:tc>
          <w:tcPr>
            <w:tcW w:w="1684" w:type="dxa"/>
            <w:tcBorders>
              <w:top w:val="nil"/>
              <w:left w:val="nil"/>
              <w:bottom w:val="single" w:sz="4" w:space="0" w:color="000000"/>
              <w:right w:val="nil"/>
            </w:tcBorders>
          </w:tcPr>
          <w:p>
            <w:pPr>
              <w:contextualSpacing/>
              <w:rPr>
                <w:rFonts w:eastAsia="Batang"/>
                <w:noProof/>
                <w:szCs w:val="24"/>
              </w:rPr>
            </w:pPr>
          </w:p>
        </w:tc>
        <w:tc>
          <w:tcPr>
            <w:tcW w:w="2113" w:type="dxa"/>
            <w:tcBorders>
              <w:top w:val="nil"/>
              <w:left w:val="nil"/>
              <w:bottom w:val="single" w:sz="4" w:space="0" w:color="000000"/>
              <w:right w:val="nil"/>
            </w:tcBorders>
          </w:tcPr>
          <w:p>
            <w:pPr>
              <w:contextualSpacing/>
              <w:rPr>
                <w:rFonts w:eastAsia="Batang"/>
                <w:noProof/>
                <w:szCs w:val="24"/>
              </w:rPr>
            </w:pPr>
            <w:r>
              <w:rPr>
                <w:noProof/>
              </w:rPr>
              <w:t>(tonnes métriques)</w:t>
            </w:r>
          </w:p>
        </w:tc>
        <w:tc>
          <w:tcPr>
            <w:tcW w:w="1338" w:type="dxa"/>
            <w:tcBorders>
              <w:top w:val="nil"/>
              <w:left w:val="nil"/>
              <w:bottom w:val="nil"/>
              <w:right w:val="nil"/>
            </w:tcBorders>
          </w:tcPr>
          <w:p>
            <w:pPr>
              <w:contextualSpacing/>
              <w:rPr>
                <w:rFonts w:eastAsia="Batang"/>
                <w:noProof/>
                <w:szCs w:val="24"/>
              </w:rPr>
            </w:pPr>
          </w:p>
        </w:tc>
      </w:tr>
      <w:tr>
        <w:tc>
          <w:tcPr>
            <w:tcW w:w="1668" w:type="dxa"/>
            <w:tcBorders>
              <w:top w:val="nil"/>
              <w:left w:val="nil"/>
              <w:bottom w:val="nil"/>
              <w:right w:val="nil"/>
            </w:tcBorders>
          </w:tcPr>
          <w:p>
            <w:pPr>
              <w:contextualSpacing/>
              <w:rPr>
                <w:rFonts w:eastAsia="Batang"/>
                <w:noProof/>
                <w:szCs w:val="24"/>
              </w:rPr>
            </w:pPr>
          </w:p>
        </w:tc>
        <w:tc>
          <w:tcPr>
            <w:tcW w:w="1164" w:type="dxa"/>
            <w:tcBorders>
              <w:top w:val="nil"/>
              <w:left w:val="nil"/>
              <w:bottom w:val="nil"/>
              <w:right w:val="nil"/>
            </w:tcBorders>
          </w:tcPr>
          <w:p>
            <w:pPr>
              <w:contextualSpacing/>
              <w:rPr>
                <w:rFonts w:eastAsia="Batang"/>
                <w:noProof/>
                <w:szCs w:val="24"/>
              </w:rPr>
            </w:pPr>
          </w:p>
        </w:tc>
        <w:tc>
          <w:tcPr>
            <w:tcW w:w="1684" w:type="dxa"/>
            <w:tcBorders>
              <w:top w:val="nil"/>
              <w:left w:val="nil"/>
              <w:bottom w:val="nil"/>
              <w:right w:val="nil"/>
            </w:tcBorders>
          </w:tcPr>
          <w:p>
            <w:pPr>
              <w:contextualSpacing/>
              <w:rPr>
                <w:rFonts w:eastAsia="Batang"/>
                <w:noProof/>
                <w:szCs w:val="24"/>
              </w:rPr>
            </w:pPr>
          </w:p>
        </w:tc>
        <w:tc>
          <w:tcPr>
            <w:tcW w:w="2113" w:type="dxa"/>
            <w:tcBorders>
              <w:top w:val="nil"/>
              <w:left w:val="nil"/>
              <w:bottom w:val="nil"/>
              <w:right w:val="nil"/>
            </w:tcBorders>
          </w:tcPr>
          <w:p>
            <w:pPr>
              <w:contextualSpacing/>
              <w:rPr>
                <w:rFonts w:eastAsia="Batang"/>
                <w:noProof/>
                <w:szCs w:val="24"/>
              </w:rPr>
            </w:pPr>
          </w:p>
        </w:tc>
        <w:tc>
          <w:tcPr>
            <w:tcW w:w="1338" w:type="dxa"/>
            <w:tcBorders>
              <w:top w:val="nil"/>
              <w:left w:val="nil"/>
              <w:bottom w:val="nil"/>
              <w:right w:val="nil"/>
            </w:tcBorders>
          </w:tcPr>
          <w:p>
            <w:pPr>
              <w:contextualSpacing/>
              <w:rPr>
                <w:rFonts w:eastAsia="Batang"/>
                <w:noProof/>
                <w:szCs w:val="24"/>
              </w:rPr>
            </w:pPr>
          </w:p>
        </w:tc>
      </w:tr>
      <w:tr>
        <w:tc>
          <w:tcPr>
            <w:tcW w:w="1668" w:type="dxa"/>
            <w:tcBorders>
              <w:top w:val="nil"/>
              <w:left w:val="nil"/>
              <w:bottom w:val="nil"/>
              <w:right w:val="nil"/>
            </w:tcBorders>
          </w:tcPr>
          <w:p>
            <w:pPr>
              <w:contextualSpacing/>
              <w:rPr>
                <w:rFonts w:eastAsia="Batang"/>
                <w:noProof/>
                <w:szCs w:val="24"/>
              </w:rPr>
            </w:pPr>
          </w:p>
        </w:tc>
        <w:tc>
          <w:tcPr>
            <w:tcW w:w="1164" w:type="dxa"/>
            <w:tcBorders>
              <w:top w:val="nil"/>
              <w:left w:val="nil"/>
              <w:bottom w:val="nil"/>
              <w:right w:val="nil"/>
            </w:tcBorders>
          </w:tcPr>
          <w:p>
            <w:pPr>
              <w:contextualSpacing/>
              <w:rPr>
                <w:rFonts w:eastAsia="Batang"/>
                <w:noProof/>
                <w:szCs w:val="24"/>
              </w:rPr>
            </w:pPr>
            <w:r>
              <w:rPr>
                <w:noProof/>
              </w:rPr>
              <w:t>2015</w:t>
            </w:r>
          </w:p>
        </w:tc>
        <w:tc>
          <w:tcPr>
            <w:tcW w:w="1684" w:type="dxa"/>
            <w:tcBorders>
              <w:top w:val="nil"/>
              <w:left w:val="nil"/>
              <w:bottom w:val="nil"/>
              <w:right w:val="nil"/>
            </w:tcBorders>
          </w:tcPr>
          <w:p>
            <w:pPr>
              <w:contextualSpacing/>
              <w:rPr>
                <w:rFonts w:eastAsia="Batang"/>
                <w:noProof/>
                <w:szCs w:val="24"/>
              </w:rPr>
            </w:pPr>
          </w:p>
        </w:tc>
        <w:tc>
          <w:tcPr>
            <w:tcW w:w="2113" w:type="dxa"/>
            <w:tcBorders>
              <w:top w:val="nil"/>
              <w:left w:val="nil"/>
              <w:bottom w:val="nil"/>
              <w:right w:val="nil"/>
            </w:tcBorders>
          </w:tcPr>
          <w:p>
            <w:pPr>
              <w:contextualSpacing/>
              <w:rPr>
                <w:rFonts w:eastAsia="Batang"/>
                <w:noProof/>
                <w:szCs w:val="24"/>
              </w:rPr>
            </w:pPr>
            <w:r>
              <w:rPr>
                <w:noProof/>
              </w:rPr>
              <w:t>1 015</w:t>
            </w:r>
          </w:p>
        </w:tc>
        <w:tc>
          <w:tcPr>
            <w:tcW w:w="1338" w:type="dxa"/>
            <w:tcBorders>
              <w:top w:val="nil"/>
              <w:left w:val="nil"/>
              <w:bottom w:val="nil"/>
              <w:right w:val="nil"/>
            </w:tcBorders>
          </w:tcPr>
          <w:p>
            <w:pPr>
              <w:contextualSpacing/>
              <w:rPr>
                <w:rFonts w:eastAsia="Batang"/>
                <w:noProof/>
                <w:szCs w:val="24"/>
              </w:rPr>
            </w:pPr>
          </w:p>
        </w:tc>
      </w:tr>
      <w:tr>
        <w:tc>
          <w:tcPr>
            <w:tcW w:w="1668" w:type="dxa"/>
            <w:tcBorders>
              <w:top w:val="nil"/>
              <w:left w:val="nil"/>
              <w:bottom w:val="nil"/>
              <w:right w:val="nil"/>
            </w:tcBorders>
          </w:tcPr>
          <w:p>
            <w:pPr>
              <w:contextualSpacing/>
              <w:rPr>
                <w:rFonts w:eastAsia="Batang"/>
                <w:noProof/>
                <w:szCs w:val="24"/>
              </w:rPr>
            </w:pPr>
          </w:p>
        </w:tc>
        <w:tc>
          <w:tcPr>
            <w:tcW w:w="1164" w:type="dxa"/>
            <w:tcBorders>
              <w:top w:val="nil"/>
              <w:left w:val="nil"/>
              <w:bottom w:val="nil"/>
              <w:right w:val="nil"/>
            </w:tcBorders>
          </w:tcPr>
          <w:p>
            <w:pPr>
              <w:contextualSpacing/>
              <w:rPr>
                <w:rFonts w:eastAsia="Batang"/>
                <w:noProof/>
                <w:szCs w:val="24"/>
              </w:rPr>
            </w:pPr>
            <w:r>
              <w:rPr>
                <w:noProof/>
              </w:rPr>
              <w:t>2016</w:t>
            </w:r>
          </w:p>
        </w:tc>
        <w:tc>
          <w:tcPr>
            <w:tcW w:w="1684" w:type="dxa"/>
            <w:tcBorders>
              <w:top w:val="nil"/>
              <w:left w:val="nil"/>
              <w:bottom w:val="nil"/>
              <w:right w:val="nil"/>
            </w:tcBorders>
          </w:tcPr>
          <w:p>
            <w:pPr>
              <w:contextualSpacing/>
              <w:rPr>
                <w:rFonts w:eastAsia="Batang"/>
                <w:noProof/>
                <w:szCs w:val="24"/>
              </w:rPr>
            </w:pPr>
          </w:p>
        </w:tc>
        <w:tc>
          <w:tcPr>
            <w:tcW w:w="2113" w:type="dxa"/>
            <w:tcBorders>
              <w:top w:val="nil"/>
              <w:left w:val="nil"/>
              <w:bottom w:val="nil"/>
              <w:right w:val="nil"/>
            </w:tcBorders>
          </w:tcPr>
          <w:p>
            <w:pPr>
              <w:contextualSpacing/>
              <w:rPr>
                <w:rFonts w:eastAsia="Batang"/>
                <w:noProof/>
                <w:szCs w:val="24"/>
              </w:rPr>
            </w:pPr>
            <w:r>
              <w:rPr>
                <w:noProof/>
              </w:rPr>
              <w:t>1 036</w:t>
            </w:r>
          </w:p>
        </w:tc>
        <w:tc>
          <w:tcPr>
            <w:tcW w:w="1338" w:type="dxa"/>
            <w:tcBorders>
              <w:top w:val="nil"/>
              <w:left w:val="nil"/>
              <w:bottom w:val="nil"/>
              <w:right w:val="nil"/>
            </w:tcBorders>
          </w:tcPr>
          <w:p>
            <w:pPr>
              <w:contextualSpacing/>
              <w:rPr>
                <w:rFonts w:eastAsia="Batang"/>
                <w:noProof/>
                <w:szCs w:val="24"/>
              </w:rPr>
            </w:pPr>
          </w:p>
        </w:tc>
      </w:tr>
      <w:tr>
        <w:tc>
          <w:tcPr>
            <w:tcW w:w="1668" w:type="dxa"/>
            <w:tcBorders>
              <w:top w:val="nil"/>
              <w:left w:val="nil"/>
              <w:bottom w:val="nil"/>
              <w:right w:val="nil"/>
            </w:tcBorders>
          </w:tcPr>
          <w:p>
            <w:pPr>
              <w:contextualSpacing/>
              <w:rPr>
                <w:rFonts w:eastAsia="Batang"/>
                <w:noProof/>
                <w:szCs w:val="24"/>
              </w:rPr>
            </w:pPr>
          </w:p>
        </w:tc>
        <w:tc>
          <w:tcPr>
            <w:tcW w:w="1164" w:type="dxa"/>
            <w:tcBorders>
              <w:top w:val="nil"/>
              <w:left w:val="nil"/>
              <w:bottom w:val="nil"/>
              <w:right w:val="nil"/>
            </w:tcBorders>
          </w:tcPr>
          <w:p>
            <w:pPr>
              <w:contextualSpacing/>
              <w:rPr>
                <w:rFonts w:eastAsia="Batang"/>
                <w:noProof/>
                <w:szCs w:val="24"/>
              </w:rPr>
            </w:pPr>
            <w:r>
              <w:rPr>
                <w:noProof/>
              </w:rPr>
              <w:t>2017</w:t>
            </w:r>
          </w:p>
        </w:tc>
        <w:tc>
          <w:tcPr>
            <w:tcW w:w="1684" w:type="dxa"/>
            <w:tcBorders>
              <w:top w:val="nil"/>
              <w:left w:val="nil"/>
              <w:bottom w:val="nil"/>
              <w:right w:val="nil"/>
            </w:tcBorders>
          </w:tcPr>
          <w:p>
            <w:pPr>
              <w:contextualSpacing/>
              <w:rPr>
                <w:rFonts w:eastAsia="Batang"/>
                <w:noProof/>
                <w:szCs w:val="24"/>
              </w:rPr>
            </w:pPr>
          </w:p>
        </w:tc>
        <w:tc>
          <w:tcPr>
            <w:tcW w:w="2113" w:type="dxa"/>
            <w:tcBorders>
              <w:top w:val="nil"/>
              <w:left w:val="nil"/>
              <w:bottom w:val="nil"/>
              <w:right w:val="nil"/>
            </w:tcBorders>
          </w:tcPr>
          <w:p>
            <w:pPr>
              <w:contextualSpacing/>
              <w:rPr>
                <w:rFonts w:eastAsia="Batang"/>
                <w:noProof/>
                <w:szCs w:val="24"/>
              </w:rPr>
            </w:pPr>
            <w:r>
              <w:rPr>
                <w:noProof/>
              </w:rPr>
              <w:t>1 057</w:t>
            </w:r>
          </w:p>
        </w:tc>
        <w:tc>
          <w:tcPr>
            <w:tcW w:w="1338" w:type="dxa"/>
            <w:tcBorders>
              <w:top w:val="nil"/>
              <w:left w:val="nil"/>
              <w:bottom w:val="nil"/>
              <w:right w:val="nil"/>
            </w:tcBorders>
          </w:tcPr>
          <w:p>
            <w:pPr>
              <w:contextualSpacing/>
              <w:rPr>
                <w:rFonts w:eastAsia="Batang"/>
                <w:noProof/>
                <w:szCs w:val="24"/>
              </w:rPr>
            </w:pPr>
          </w:p>
        </w:tc>
      </w:tr>
      <w:tr>
        <w:tc>
          <w:tcPr>
            <w:tcW w:w="1668" w:type="dxa"/>
            <w:tcBorders>
              <w:top w:val="nil"/>
              <w:left w:val="nil"/>
              <w:bottom w:val="nil"/>
              <w:right w:val="nil"/>
            </w:tcBorders>
          </w:tcPr>
          <w:p>
            <w:pPr>
              <w:contextualSpacing/>
              <w:rPr>
                <w:rFonts w:eastAsia="Batang"/>
                <w:noProof/>
                <w:szCs w:val="24"/>
              </w:rPr>
            </w:pPr>
          </w:p>
        </w:tc>
        <w:tc>
          <w:tcPr>
            <w:tcW w:w="1164" w:type="dxa"/>
            <w:tcBorders>
              <w:top w:val="nil"/>
              <w:left w:val="nil"/>
              <w:bottom w:val="nil"/>
              <w:right w:val="nil"/>
            </w:tcBorders>
          </w:tcPr>
          <w:p>
            <w:pPr>
              <w:contextualSpacing/>
              <w:rPr>
                <w:rFonts w:eastAsia="Batang"/>
                <w:noProof/>
                <w:szCs w:val="24"/>
              </w:rPr>
            </w:pPr>
            <w:r>
              <w:rPr>
                <w:noProof/>
              </w:rPr>
              <w:t>2018</w:t>
            </w:r>
          </w:p>
        </w:tc>
        <w:tc>
          <w:tcPr>
            <w:tcW w:w="1684" w:type="dxa"/>
            <w:tcBorders>
              <w:top w:val="nil"/>
              <w:left w:val="nil"/>
              <w:bottom w:val="nil"/>
              <w:right w:val="nil"/>
            </w:tcBorders>
          </w:tcPr>
          <w:p>
            <w:pPr>
              <w:contextualSpacing/>
              <w:rPr>
                <w:rFonts w:eastAsia="Batang"/>
                <w:noProof/>
                <w:szCs w:val="24"/>
              </w:rPr>
            </w:pPr>
          </w:p>
        </w:tc>
        <w:tc>
          <w:tcPr>
            <w:tcW w:w="2113" w:type="dxa"/>
            <w:tcBorders>
              <w:top w:val="nil"/>
              <w:left w:val="nil"/>
              <w:bottom w:val="nil"/>
              <w:right w:val="nil"/>
            </w:tcBorders>
          </w:tcPr>
          <w:p>
            <w:pPr>
              <w:contextualSpacing/>
              <w:rPr>
                <w:rFonts w:eastAsia="Batang"/>
                <w:noProof/>
                <w:szCs w:val="24"/>
              </w:rPr>
            </w:pPr>
            <w:r>
              <w:rPr>
                <w:noProof/>
              </w:rPr>
              <w:t>1 078</w:t>
            </w:r>
          </w:p>
        </w:tc>
        <w:tc>
          <w:tcPr>
            <w:tcW w:w="1338" w:type="dxa"/>
            <w:tcBorders>
              <w:top w:val="nil"/>
              <w:left w:val="nil"/>
              <w:bottom w:val="nil"/>
              <w:right w:val="nil"/>
            </w:tcBorders>
          </w:tcPr>
          <w:p>
            <w:pPr>
              <w:contextualSpacing/>
              <w:rPr>
                <w:rFonts w:eastAsia="Batang"/>
                <w:noProof/>
                <w:szCs w:val="24"/>
              </w:rPr>
            </w:pPr>
          </w:p>
        </w:tc>
      </w:tr>
      <w:tr>
        <w:tc>
          <w:tcPr>
            <w:tcW w:w="1668" w:type="dxa"/>
            <w:tcBorders>
              <w:top w:val="nil"/>
              <w:left w:val="nil"/>
              <w:bottom w:val="nil"/>
              <w:right w:val="nil"/>
            </w:tcBorders>
          </w:tcPr>
          <w:p>
            <w:pPr>
              <w:contextualSpacing/>
              <w:rPr>
                <w:rFonts w:eastAsia="Batang"/>
                <w:noProof/>
                <w:szCs w:val="24"/>
              </w:rPr>
            </w:pPr>
          </w:p>
        </w:tc>
        <w:tc>
          <w:tcPr>
            <w:tcW w:w="1164" w:type="dxa"/>
            <w:tcBorders>
              <w:top w:val="nil"/>
              <w:left w:val="nil"/>
              <w:bottom w:val="nil"/>
              <w:right w:val="nil"/>
            </w:tcBorders>
          </w:tcPr>
          <w:p>
            <w:pPr>
              <w:contextualSpacing/>
              <w:rPr>
                <w:rFonts w:eastAsia="Batang"/>
                <w:noProof/>
                <w:szCs w:val="24"/>
              </w:rPr>
            </w:pPr>
            <w:r>
              <w:rPr>
                <w:noProof/>
              </w:rPr>
              <w:t>2019</w:t>
            </w:r>
          </w:p>
        </w:tc>
        <w:tc>
          <w:tcPr>
            <w:tcW w:w="1684" w:type="dxa"/>
            <w:tcBorders>
              <w:top w:val="nil"/>
              <w:left w:val="nil"/>
              <w:bottom w:val="nil"/>
              <w:right w:val="nil"/>
            </w:tcBorders>
          </w:tcPr>
          <w:p>
            <w:pPr>
              <w:contextualSpacing/>
              <w:rPr>
                <w:rFonts w:eastAsia="Batang"/>
                <w:noProof/>
                <w:szCs w:val="24"/>
              </w:rPr>
            </w:pPr>
          </w:p>
        </w:tc>
        <w:tc>
          <w:tcPr>
            <w:tcW w:w="2113" w:type="dxa"/>
            <w:tcBorders>
              <w:top w:val="nil"/>
              <w:left w:val="nil"/>
              <w:bottom w:val="nil"/>
              <w:right w:val="nil"/>
            </w:tcBorders>
          </w:tcPr>
          <w:p>
            <w:pPr>
              <w:contextualSpacing/>
              <w:rPr>
                <w:rFonts w:eastAsia="Batang"/>
                <w:noProof/>
                <w:szCs w:val="24"/>
              </w:rPr>
            </w:pPr>
            <w:r>
              <w:rPr>
                <w:noProof/>
              </w:rPr>
              <w:t>1 099</w:t>
            </w:r>
          </w:p>
        </w:tc>
        <w:tc>
          <w:tcPr>
            <w:tcW w:w="1338" w:type="dxa"/>
            <w:tcBorders>
              <w:top w:val="nil"/>
              <w:left w:val="nil"/>
              <w:bottom w:val="nil"/>
              <w:right w:val="nil"/>
            </w:tcBorders>
          </w:tcPr>
          <w:p>
            <w:pPr>
              <w:contextualSpacing/>
              <w:rPr>
                <w:rFonts w:eastAsia="Batang"/>
                <w:noProof/>
                <w:szCs w:val="24"/>
              </w:rPr>
            </w:pPr>
          </w:p>
        </w:tc>
      </w:tr>
      <w:tr>
        <w:tc>
          <w:tcPr>
            <w:tcW w:w="1668" w:type="dxa"/>
            <w:tcBorders>
              <w:top w:val="nil"/>
              <w:left w:val="nil"/>
              <w:bottom w:val="nil"/>
              <w:right w:val="nil"/>
            </w:tcBorders>
          </w:tcPr>
          <w:p>
            <w:pPr>
              <w:contextualSpacing/>
              <w:rPr>
                <w:rFonts w:eastAsia="Batang"/>
                <w:noProof/>
                <w:szCs w:val="24"/>
              </w:rPr>
            </w:pPr>
          </w:p>
        </w:tc>
        <w:tc>
          <w:tcPr>
            <w:tcW w:w="1164" w:type="dxa"/>
            <w:tcBorders>
              <w:top w:val="nil"/>
              <w:left w:val="nil"/>
              <w:bottom w:val="nil"/>
              <w:right w:val="nil"/>
            </w:tcBorders>
          </w:tcPr>
          <w:p>
            <w:pPr>
              <w:contextualSpacing/>
              <w:rPr>
                <w:rFonts w:eastAsia="Batang"/>
                <w:noProof/>
                <w:szCs w:val="24"/>
              </w:rPr>
            </w:pPr>
            <w:r>
              <w:rPr>
                <w:noProof/>
              </w:rPr>
              <w:t>2020</w:t>
            </w:r>
          </w:p>
        </w:tc>
        <w:tc>
          <w:tcPr>
            <w:tcW w:w="1684" w:type="dxa"/>
            <w:tcBorders>
              <w:top w:val="nil"/>
              <w:left w:val="nil"/>
              <w:bottom w:val="nil"/>
              <w:right w:val="nil"/>
            </w:tcBorders>
          </w:tcPr>
          <w:p>
            <w:pPr>
              <w:contextualSpacing/>
              <w:rPr>
                <w:rFonts w:eastAsia="Batang"/>
                <w:noProof/>
                <w:szCs w:val="24"/>
              </w:rPr>
            </w:pPr>
          </w:p>
        </w:tc>
        <w:tc>
          <w:tcPr>
            <w:tcW w:w="2113" w:type="dxa"/>
            <w:tcBorders>
              <w:top w:val="nil"/>
              <w:left w:val="nil"/>
              <w:bottom w:val="nil"/>
              <w:right w:val="nil"/>
            </w:tcBorders>
          </w:tcPr>
          <w:p>
            <w:pPr>
              <w:contextualSpacing/>
              <w:rPr>
                <w:rFonts w:eastAsia="Batang"/>
                <w:noProof/>
                <w:szCs w:val="24"/>
              </w:rPr>
            </w:pPr>
            <w:r>
              <w:rPr>
                <w:noProof/>
              </w:rPr>
              <w:t>1 120</w:t>
            </w:r>
          </w:p>
        </w:tc>
        <w:tc>
          <w:tcPr>
            <w:tcW w:w="1338" w:type="dxa"/>
            <w:tcBorders>
              <w:top w:val="nil"/>
              <w:left w:val="nil"/>
              <w:bottom w:val="nil"/>
              <w:right w:val="nil"/>
            </w:tcBorders>
          </w:tcPr>
          <w:p>
            <w:pPr>
              <w:contextualSpacing/>
              <w:rPr>
                <w:rFonts w:eastAsia="Batang"/>
                <w:noProof/>
                <w:szCs w:val="24"/>
              </w:rPr>
            </w:pPr>
          </w:p>
        </w:tc>
      </w:tr>
    </w:tbl>
    <w:p>
      <w:pPr>
        <w:pStyle w:val="Text2"/>
        <w:spacing w:before="240"/>
        <w:rPr>
          <w:rFonts w:eastAsia="Batang"/>
          <w:noProof/>
          <w:szCs w:val="24"/>
        </w:rPr>
      </w:pPr>
      <w:r>
        <w:rPr>
          <w:noProof/>
        </w:rPr>
        <w:t>Après 2020, la quantité contingentaire est augmentée annuellement de 21 tonnes métriques.</w:t>
      </w:r>
    </w:p>
    <w:p>
      <w:pPr>
        <w:pStyle w:val="Text2"/>
        <w:rPr>
          <w:rFonts w:eastAsia="Batang"/>
          <w:noProof/>
          <w:szCs w:val="24"/>
        </w:rPr>
      </w:pPr>
      <w:r>
        <w:rPr>
          <w:noProof/>
        </w:rPr>
        <w:t>Avec effet à la date visée au point 2 de la présente ANNEXE, les droits de douane applicables aux marchandises originaires importées dans le cadre de ce contingent tarifaire sont éliminés.</w:t>
      </w:r>
    </w:p>
    <w:p>
      <w:pPr>
        <w:pStyle w:val="Point1"/>
        <w:rPr>
          <w:rFonts w:eastAsia="Batang"/>
          <w:i/>
          <w:noProof/>
          <w:szCs w:val="24"/>
        </w:rPr>
      </w:pPr>
      <w:r>
        <w:rPr>
          <w:noProof/>
        </w:rPr>
        <w:t>m)</w:t>
      </w:r>
      <w:r>
        <w:rPr>
          <w:noProof/>
        </w:rPr>
        <w:tab/>
        <w:t>[</w:t>
      </w:r>
      <w:r>
        <w:rPr>
          <w:i/>
          <w:noProof/>
        </w:rPr>
        <w:t>jus de pomme et jus d’ananas</w:t>
      </w:r>
      <w:r>
        <w:rPr>
          <w:noProof/>
        </w:rPr>
        <w:t>] La quantité agrégée de marchandises originaires relevant de la catégorie de démantèlement «Q*» dont l’entrée est autorisée chaque année civile à un taux de droit égal à 50 % du taux NPF appliqué, avec effet à la date visée au point 1 de la présente ANNEXE et jusqu’à la date visée au point 2 de la présente ANNEXE, est précisée ci-dessous: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275"/>
        <w:gridCol w:w="1164"/>
        <w:gridCol w:w="2238"/>
        <w:gridCol w:w="1130"/>
      </w:tblGrid>
      <w:tr>
        <w:tc>
          <w:tcPr>
            <w:tcW w:w="1668" w:type="dxa"/>
            <w:tcBorders>
              <w:top w:val="nil"/>
              <w:left w:val="nil"/>
              <w:bottom w:val="nil"/>
              <w:right w:val="nil"/>
            </w:tcBorders>
          </w:tcPr>
          <w:p>
            <w:pPr>
              <w:contextualSpacing/>
              <w:rPr>
                <w:rFonts w:eastAsia="Batang"/>
                <w:noProof/>
                <w:szCs w:val="24"/>
              </w:rPr>
            </w:pPr>
          </w:p>
        </w:tc>
        <w:tc>
          <w:tcPr>
            <w:tcW w:w="1275" w:type="dxa"/>
            <w:tcBorders>
              <w:top w:val="nil"/>
              <w:left w:val="nil"/>
              <w:bottom w:val="nil"/>
              <w:right w:val="nil"/>
            </w:tcBorders>
          </w:tcPr>
          <w:p>
            <w:pPr>
              <w:contextualSpacing/>
              <w:rPr>
                <w:rFonts w:eastAsia="Batang"/>
                <w:noProof/>
                <w:szCs w:val="24"/>
              </w:rPr>
            </w:pPr>
            <w:r>
              <w:rPr>
                <w:noProof/>
              </w:rPr>
              <w:t>Année</w:t>
            </w:r>
          </w:p>
        </w:tc>
        <w:tc>
          <w:tcPr>
            <w:tcW w:w="1164" w:type="dxa"/>
            <w:tcBorders>
              <w:top w:val="nil"/>
              <w:left w:val="nil"/>
              <w:bottom w:val="nil"/>
              <w:right w:val="nil"/>
            </w:tcBorders>
          </w:tcPr>
          <w:p>
            <w:pPr>
              <w:contextualSpacing/>
              <w:rPr>
                <w:rFonts w:eastAsia="Batang"/>
                <w:noProof/>
                <w:szCs w:val="24"/>
              </w:rPr>
            </w:pPr>
          </w:p>
        </w:tc>
        <w:tc>
          <w:tcPr>
            <w:tcW w:w="2238" w:type="dxa"/>
            <w:tcBorders>
              <w:top w:val="nil"/>
              <w:left w:val="nil"/>
              <w:bottom w:val="nil"/>
              <w:right w:val="nil"/>
            </w:tcBorders>
          </w:tcPr>
          <w:p>
            <w:pPr>
              <w:contextualSpacing/>
              <w:rPr>
                <w:rFonts w:eastAsia="Batang"/>
                <w:noProof/>
                <w:szCs w:val="24"/>
              </w:rPr>
            </w:pPr>
            <w:r>
              <w:rPr>
                <w:noProof/>
              </w:rPr>
              <w:t>Quantité</w:t>
            </w:r>
          </w:p>
        </w:tc>
        <w:tc>
          <w:tcPr>
            <w:tcW w:w="1130" w:type="dxa"/>
            <w:tcBorders>
              <w:top w:val="nil"/>
              <w:left w:val="nil"/>
              <w:bottom w:val="nil"/>
              <w:right w:val="nil"/>
            </w:tcBorders>
          </w:tcPr>
          <w:p>
            <w:pPr>
              <w:contextualSpacing/>
              <w:rPr>
                <w:rFonts w:eastAsia="Batang"/>
                <w:noProof/>
                <w:szCs w:val="24"/>
              </w:rPr>
            </w:pPr>
          </w:p>
        </w:tc>
      </w:tr>
      <w:tr>
        <w:tc>
          <w:tcPr>
            <w:tcW w:w="1668" w:type="dxa"/>
            <w:tcBorders>
              <w:top w:val="nil"/>
              <w:left w:val="nil"/>
              <w:bottom w:val="nil"/>
              <w:right w:val="nil"/>
            </w:tcBorders>
          </w:tcPr>
          <w:p>
            <w:pPr>
              <w:contextualSpacing/>
              <w:rPr>
                <w:rFonts w:eastAsia="Batang"/>
                <w:noProof/>
                <w:szCs w:val="24"/>
              </w:rPr>
            </w:pPr>
          </w:p>
        </w:tc>
        <w:tc>
          <w:tcPr>
            <w:tcW w:w="1275" w:type="dxa"/>
            <w:tcBorders>
              <w:top w:val="nil"/>
              <w:left w:val="nil"/>
              <w:bottom w:val="single" w:sz="4" w:space="0" w:color="auto"/>
              <w:right w:val="nil"/>
            </w:tcBorders>
          </w:tcPr>
          <w:p>
            <w:pPr>
              <w:contextualSpacing/>
              <w:rPr>
                <w:rFonts w:eastAsia="Batang"/>
                <w:noProof/>
                <w:szCs w:val="24"/>
              </w:rPr>
            </w:pPr>
          </w:p>
        </w:tc>
        <w:tc>
          <w:tcPr>
            <w:tcW w:w="1164" w:type="dxa"/>
            <w:tcBorders>
              <w:top w:val="nil"/>
              <w:left w:val="nil"/>
              <w:bottom w:val="single" w:sz="4" w:space="0" w:color="auto"/>
              <w:right w:val="nil"/>
            </w:tcBorders>
          </w:tcPr>
          <w:p>
            <w:pPr>
              <w:contextualSpacing/>
              <w:rPr>
                <w:rFonts w:eastAsia="Batang"/>
                <w:noProof/>
                <w:szCs w:val="24"/>
              </w:rPr>
            </w:pPr>
          </w:p>
        </w:tc>
        <w:tc>
          <w:tcPr>
            <w:tcW w:w="2238" w:type="dxa"/>
            <w:tcBorders>
              <w:top w:val="nil"/>
              <w:left w:val="nil"/>
              <w:bottom w:val="single" w:sz="4" w:space="0" w:color="auto"/>
              <w:right w:val="nil"/>
            </w:tcBorders>
          </w:tcPr>
          <w:p>
            <w:pPr>
              <w:contextualSpacing/>
              <w:rPr>
                <w:rFonts w:eastAsia="Batang"/>
                <w:noProof/>
                <w:szCs w:val="24"/>
              </w:rPr>
            </w:pPr>
            <w:r>
              <w:rPr>
                <w:noProof/>
              </w:rPr>
              <w:t>(tonnes métriques)</w:t>
            </w:r>
          </w:p>
        </w:tc>
        <w:tc>
          <w:tcPr>
            <w:tcW w:w="1130" w:type="dxa"/>
            <w:tcBorders>
              <w:top w:val="nil"/>
              <w:left w:val="nil"/>
              <w:bottom w:val="nil"/>
              <w:right w:val="nil"/>
            </w:tcBorders>
          </w:tcPr>
          <w:p>
            <w:pPr>
              <w:contextualSpacing/>
              <w:rPr>
                <w:rFonts w:eastAsia="Batang"/>
                <w:noProof/>
                <w:szCs w:val="24"/>
              </w:rPr>
            </w:pPr>
          </w:p>
        </w:tc>
      </w:tr>
      <w:tr>
        <w:tc>
          <w:tcPr>
            <w:tcW w:w="1668" w:type="dxa"/>
            <w:tcBorders>
              <w:top w:val="nil"/>
              <w:left w:val="nil"/>
              <w:bottom w:val="nil"/>
              <w:right w:val="nil"/>
            </w:tcBorders>
          </w:tcPr>
          <w:p>
            <w:pPr>
              <w:contextualSpacing/>
              <w:rPr>
                <w:rFonts w:eastAsia="Batang"/>
                <w:noProof/>
                <w:szCs w:val="24"/>
              </w:rPr>
            </w:pPr>
          </w:p>
        </w:tc>
        <w:tc>
          <w:tcPr>
            <w:tcW w:w="1275" w:type="dxa"/>
            <w:tcBorders>
              <w:top w:val="single" w:sz="4" w:space="0" w:color="auto"/>
              <w:left w:val="nil"/>
              <w:bottom w:val="nil"/>
              <w:right w:val="nil"/>
            </w:tcBorders>
          </w:tcPr>
          <w:p>
            <w:pPr>
              <w:contextualSpacing/>
              <w:rPr>
                <w:rFonts w:eastAsia="Batang"/>
                <w:noProof/>
                <w:szCs w:val="24"/>
              </w:rPr>
            </w:pPr>
          </w:p>
          <w:p>
            <w:pPr>
              <w:contextualSpacing/>
              <w:rPr>
                <w:rFonts w:eastAsia="Batang"/>
                <w:noProof/>
                <w:szCs w:val="24"/>
              </w:rPr>
            </w:pPr>
            <w:r>
              <w:rPr>
                <w:noProof/>
              </w:rPr>
              <w:t>2015</w:t>
            </w:r>
          </w:p>
          <w:p>
            <w:pPr>
              <w:contextualSpacing/>
              <w:rPr>
                <w:rFonts w:eastAsia="Batang"/>
                <w:noProof/>
                <w:szCs w:val="24"/>
              </w:rPr>
            </w:pPr>
            <w:r>
              <w:rPr>
                <w:noProof/>
              </w:rPr>
              <w:t>2016</w:t>
            </w:r>
          </w:p>
          <w:p>
            <w:pPr>
              <w:contextualSpacing/>
              <w:rPr>
                <w:rFonts w:eastAsia="Batang"/>
                <w:noProof/>
                <w:szCs w:val="24"/>
              </w:rPr>
            </w:pPr>
            <w:r>
              <w:rPr>
                <w:noProof/>
              </w:rPr>
              <w:t>2017</w:t>
            </w:r>
          </w:p>
          <w:p>
            <w:pPr>
              <w:contextualSpacing/>
              <w:rPr>
                <w:rFonts w:eastAsia="Batang"/>
                <w:noProof/>
                <w:szCs w:val="24"/>
              </w:rPr>
            </w:pPr>
            <w:r>
              <w:rPr>
                <w:noProof/>
              </w:rPr>
              <w:t>2018</w:t>
            </w:r>
          </w:p>
          <w:p>
            <w:pPr>
              <w:contextualSpacing/>
              <w:rPr>
                <w:rFonts w:eastAsia="Batang"/>
                <w:noProof/>
                <w:szCs w:val="24"/>
              </w:rPr>
            </w:pPr>
            <w:r>
              <w:rPr>
                <w:noProof/>
              </w:rPr>
              <w:t>2019</w:t>
            </w:r>
          </w:p>
          <w:p>
            <w:pPr>
              <w:contextualSpacing/>
              <w:rPr>
                <w:rFonts w:eastAsia="Batang"/>
                <w:noProof/>
                <w:szCs w:val="24"/>
              </w:rPr>
            </w:pPr>
            <w:r>
              <w:rPr>
                <w:noProof/>
              </w:rPr>
              <w:t>2020</w:t>
            </w:r>
          </w:p>
        </w:tc>
        <w:tc>
          <w:tcPr>
            <w:tcW w:w="1164" w:type="dxa"/>
            <w:tcBorders>
              <w:top w:val="single" w:sz="4" w:space="0" w:color="auto"/>
              <w:left w:val="nil"/>
              <w:bottom w:val="nil"/>
              <w:right w:val="nil"/>
            </w:tcBorders>
          </w:tcPr>
          <w:p>
            <w:pPr>
              <w:contextualSpacing/>
              <w:rPr>
                <w:rFonts w:eastAsia="Batang"/>
                <w:noProof/>
                <w:szCs w:val="24"/>
              </w:rPr>
            </w:pPr>
          </w:p>
        </w:tc>
        <w:tc>
          <w:tcPr>
            <w:tcW w:w="2238" w:type="dxa"/>
            <w:tcBorders>
              <w:top w:val="single" w:sz="4" w:space="0" w:color="auto"/>
              <w:left w:val="nil"/>
              <w:bottom w:val="nil"/>
              <w:right w:val="nil"/>
            </w:tcBorders>
          </w:tcPr>
          <w:p>
            <w:pPr>
              <w:contextualSpacing/>
              <w:rPr>
                <w:rFonts w:eastAsia="Batang"/>
                <w:noProof/>
                <w:szCs w:val="24"/>
              </w:rPr>
            </w:pPr>
          </w:p>
          <w:p>
            <w:pPr>
              <w:contextualSpacing/>
              <w:rPr>
                <w:rFonts w:eastAsia="Batang"/>
                <w:noProof/>
                <w:szCs w:val="24"/>
              </w:rPr>
            </w:pPr>
            <w:r>
              <w:rPr>
                <w:noProof/>
              </w:rPr>
              <w:t>7 250</w:t>
            </w:r>
          </w:p>
          <w:p>
            <w:pPr>
              <w:contextualSpacing/>
              <w:rPr>
                <w:rFonts w:eastAsia="Batang"/>
                <w:noProof/>
                <w:szCs w:val="24"/>
              </w:rPr>
            </w:pPr>
            <w:r>
              <w:rPr>
                <w:noProof/>
              </w:rPr>
              <w:t>7 400</w:t>
            </w:r>
          </w:p>
          <w:p>
            <w:pPr>
              <w:contextualSpacing/>
              <w:rPr>
                <w:rFonts w:eastAsia="Batang"/>
                <w:noProof/>
                <w:szCs w:val="24"/>
              </w:rPr>
            </w:pPr>
            <w:r>
              <w:rPr>
                <w:noProof/>
              </w:rPr>
              <w:t>7 550</w:t>
            </w:r>
          </w:p>
          <w:p>
            <w:pPr>
              <w:contextualSpacing/>
              <w:rPr>
                <w:rFonts w:eastAsia="Batang"/>
                <w:noProof/>
                <w:szCs w:val="24"/>
              </w:rPr>
            </w:pPr>
            <w:r>
              <w:rPr>
                <w:noProof/>
              </w:rPr>
              <w:t>7 700</w:t>
            </w:r>
          </w:p>
          <w:p>
            <w:pPr>
              <w:contextualSpacing/>
              <w:rPr>
                <w:rFonts w:eastAsia="Batang"/>
                <w:noProof/>
                <w:szCs w:val="24"/>
              </w:rPr>
            </w:pPr>
            <w:r>
              <w:rPr>
                <w:noProof/>
              </w:rPr>
              <w:t>7 850</w:t>
            </w:r>
          </w:p>
          <w:p>
            <w:pPr>
              <w:contextualSpacing/>
              <w:rPr>
                <w:rFonts w:eastAsia="Batang"/>
                <w:noProof/>
                <w:szCs w:val="24"/>
              </w:rPr>
            </w:pPr>
            <w:r>
              <w:rPr>
                <w:noProof/>
              </w:rPr>
              <w:t>8 000</w:t>
            </w:r>
          </w:p>
        </w:tc>
        <w:tc>
          <w:tcPr>
            <w:tcW w:w="1130" w:type="dxa"/>
            <w:tcBorders>
              <w:top w:val="nil"/>
              <w:left w:val="nil"/>
              <w:bottom w:val="nil"/>
              <w:right w:val="nil"/>
            </w:tcBorders>
          </w:tcPr>
          <w:p>
            <w:pPr>
              <w:contextualSpacing/>
              <w:rPr>
                <w:rFonts w:eastAsia="Batang"/>
                <w:noProof/>
                <w:szCs w:val="24"/>
              </w:rPr>
            </w:pPr>
          </w:p>
        </w:tc>
      </w:tr>
    </w:tbl>
    <w:p>
      <w:pPr>
        <w:pStyle w:val="Text2"/>
        <w:rPr>
          <w:rFonts w:eastAsia="Batang"/>
          <w:noProof/>
          <w:szCs w:val="24"/>
        </w:rPr>
      </w:pPr>
      <w:r>
        <w:rPr>
          <w:noProof/>
        </w:rPr>
        <w:t>Après 2020, la quantité contingentaire est augmentée annuellement de 150 tonnes métriques.</w:t>
      </w:r>
    </w:p>
    <w:p>
      <w:pPr>
        <w:pStyle w:val="Text2"/>
        <w:rPr>
          <w:rFonts w:eastAsia="Batang"/>
          <w:noProof/>
          <w:szCs w:val="24"/>
        </w:rPr>
      </w:pPr>
      <w:r>
        <w:rPr>
          <w:noProof/>
        </w:rPr>
        <w:t>Avec effet à la date visée au point 2 de la présente ANNEXE,</w:t>
      </w:r>
    </w:p>
    <w:p>
      <w:pPr>
        <w:pStyle w:val="Bullet2"/>
        <w:numPr>
          <w:ilvl w:val="0"/>
          <w:numId w:val="28"/>
        </w:numPr>
        <w:rPr>
          <w:noProof/>
        </w:rPr>
      </w:pPr>
      <w:r>
        <w:rPr>
          <w:noProof/>
        </w:rPr>
        <w:t>les droits de douane et les contingents tarifaires applicables aux marchandises relevant du code NC UE 2009 41 92 (à l’exclusion des marchandises d’une valeur n’excédant pas 30 EUR par 100 kg poids net) et du code NC UE 2009 49 30 dans cette catégorie de démantèlement sont éliminés, et</w:t>
      </w:r>
    </w:p>
    <w:p>
      <w:pPr>
        <w:pStyle w:val="Bullet2"/>
        <w:numPr>
          <w:ilvl w:val="0"/>
          <w:numId w:val="28"/>
        </w:numPr>
        <w:rPr>
          <w:rFonts w:eastAsia="Batang"/>
          <w:noProof/>
          <w:szCs w:val="24"/>
        </w:rPr>
      </w:pPr>
      <w:r>
        <w:rPr>
          <w:noProof/>
        </w:rPr>
        <w:t>la quantité agrégée d’autres marchandises originaires relevant de cette catégorie de démantèlement dont l’entrée est autorisée chaque année civile à un taux de droit égal à 50 % du taux NPF appliqué est fixée à 47 % de la quantité agrégée indiquée dans le tableau ci-dessus pour l’année de la date visée au point 2 de la présente ANNEXE.</w:t>
      </w:r>
    </w:p>
    <w:p>
      <w:pPr>
        <w:pStyle w:val="Text3"/>
        <w:rPr>
          <w:noProof/>
        </w:rPr>
      </w:pPr>
      <w:r>
        <w:rPr>
          <w:noProof/>
        </w:rPr>
        <w:t>Si la date visée au point 2 de la présente ANNEXE correspond à une date postérieure au 1</w:t>
      </w:r>
      <w:r>
        <w:rPr>
          <w:noProof/>
          <w:vertAlign w:val="superscript"/>
        </w:rPr>
        <w:t>er</w:t>
      </w:r>
      <w:r>
        <w:rPr>
          <w:noProof/>
        </w:rPr>
        <w:t xml:space="preserve"> janvier et antérieure au 31 décembre de la même année civile, la quantité du contingent tarifaire pour le reste de l’année en question est égale à 47 % de la quantité agrégée indiquée dans le tableau ci-dessus pour l’année de la date visée au point 2 de la présente ANNEXE moins la quantité de ces autres marchandises importées dans le cadre des contingents tarifaires de l’accord CDC et du présent accord entre le 1</w:t>
      </w:r>
      <w:r>
        <w:rPr>
          <w:noProof/>
          <w:vertAlign w:val="superscript"/>
        </w:rPr>
        <w:t>er</w:t>
      </w:r>
      <w:r>
        <w:rPr>
          <w:noProof/>
        </w:rPr>
        <w:t xml:space="preserve"> janvier de ladite année civile et la date visée au point 2 de la présente ANNEXE.</w:t>
      </w:r>
    </w:p>
    <w:p>
      <w:pPr>
        <w:pStyle w:val="Text3"/>
        <w:rPr>
          <w:rFonts w:eastAsia="Batang"/>
          <w:noProof/>
        </w:rPr>
      </w:pPr>
      <w:r>
        <w:rPr>
          <w:noProof/>
        </w:rPr>
        <w:t>Pour chaque année civile ultérieure, la quantité du contingent tarifaire est augmentée annuellement de 70,5 tonnes métriques, sauf pendant la période de dix (10) années civiles qui commence l’année civile suivant la date visée au point 2 de la présente ANNEXE et durant laquelle la quantité du contingent tarifaire est augmentée annuellement de 46,5 tonnes métriques supplémentaires, ce qui donne donc une augmentation annuelle totale de 117,0 tonnes métriques.</w:t>
      </w:r>
    </w:p>
    <w:p>
      <w:pPr>
        <w:pStyle w:val="Point1"/>
        <w:rPr>
          <w:rFonts w:eastAsia="Batang"/>
          <w:noProof/>
          <w:szCs w:val="24"/>
        </w:rPr>
      </w:pPr>
      <w:r>
        <w:rPr>
          <w:noProof/>
        </w:rPr>
        <w:t>n)</w:t>
      </w:r>
      <w:r>
        <w:rPr>
          <w:noProof/>
        </w:rPr>
        <w:tab/>
        <w:t>[</w:t>
      </w:r>
      <w:r>
        <w:rPr>
          <w:i/>
          <w:noProof/>
        </w:rPr>
        <w:t>levures vivantes</w:t>
      </w:r>
      <w:r>
        <w:rPr>
          <w:noProof/>
        </w:rPr>
        <w:t>] La quantité agrégée de marchandises originaires relevant de la catégorie de démantèlement «R*» dont l’entrée est autorisée en franchise de droits chaque année civile, avec effet à la date visée au point 2 de la présente ANNEXE, est précisée ci-dessous: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7"/>
      </w:tblGrid>
      <w:tr>
        <w:trPr>
          <w:jc w:val="center"/>
        </w:trPr>
        <w:tc>
          <w:tcPr>
            <w:tcW w:w="2017" w:type="dxa"/>
            <w:tcBorders>
              <w:top w:val="nil"/>
              <w:left w:val="nil"/>
              <w:bottom w:val="nil"/>
              <w:right w:val="nil"/>
            </w:tcBorders>
          </w:tcPr>
          <w:p>
            <w:pPr>
              <w:contextualSpacing/>
              <w:rPr>
                <w:rFonts w:eastAsia="Batang"/>
                <w:noProof/>
                <w:szCs w:val="24"/>
              </w:rPr>
            </w:pPr>
            <w:r>
              <w:rPr>
                <w:noProof/>
              </w:rPr>
              <w:t>Quantité</w:t>
            </w:r>
          </w:p>
        </w:tc>
      </w:tr>
      <w:tr>
        <w:trPr>
          <w:jc w:val="center"/>
        </w:trPr>
        <w:tc>
          <w:tcPr>
            <w:tcW w:w="2017" w:type="dxa"/>
            <w:tcBorders>
              <w:top w:val="nil"/>
              <w:left w:val="nil"/>
              <w:bottom w:val="single" w:sz="4" w:space="0" w:color="000000"/>
              <w:right w:val="nil"/>
            </w:tcBorders>
          </w:tcPr>
          <w:p>
            <w:pPr>
              <w:contextualSpacing/>
              <w:rPr>
                <w:rFonts w:eastAsia="Batang"/>
                <w:noProof/>
                <w:szCs w:val="24"/>
              </w:rPr>
            </w:pPr>
            <w:r>
              <w:rPr>
                <w:noProof/>
              </w:rPr>
              <w:t>(tonnes métriques)</w:t>
            </w:r>
          </w:p>
        </w:tc>
      </w:tr>
      <w:tr>
        <w:trPr>
          <w:jc w:val="center"/>
        </w:trPr>
        <w:tc>
          <w:tcPr>
            <w:tcW w:w="2017" w:type="dxa"/>
            <w:tcBorders>
              <w:top w:val="single" w:sz="4" w:space="0" w:color="000000"/>
              <w:left w:val="nil"/>
              <w:bottom w:val="nil"/>
              <w:right w:val="nil"/>
            </w:tcBorders>
            <w:vAlign w:val="center"/>
          </w:tcPr>
          <w:p>
            <w:pPr>
              <w:contextualSpacing/>
              <w:rPr>
                <w:rFonts w:eastAsia="Batang"/>
                <w:noProof/>
                <w:szCs w:val="24"/>
              </w:rPr>
            </w:pPr>
            <w:r>
              <w:rPr>
                <w:noProof/>
              </w:rPr>
              <w:t>350</w:t>
            </w:r>
          </w:p>
          <w:p>
            <w:pPr>
              <w:contextualSpacing/>
              <w:rPr>
                <w:rFonts w:eastAsia="Batang"/>
                <w:noProof/>
                <w:szCs w:val="24"/>
              </w:rPr>
            </w:pPr>
          </w:p>
        </w:tc>
      </w:tr>
    </w:tbl>
    <w:p>
      <w:pPr>
        <w:pStyle w:val="Text2"/>
        <w:rPr>
          <w:noProof/>
          <w:szCs w:val="24"/>
        </w:rPr>
      </w:pPr>
      <w:r>
        <w:rPr>
          <w:noProof/>
        </w:rPr>
        <w:t>Si la date visée au point 2 de la présente ANNEXE correspond à une date postérieure au 1</w:t>
      </w:r>
      <w:r>
        <w:rPr>
          <w:noProof/>
          <w:vertAlign w:val="superscript"/>
        </w:rPr>
        <w:t>er</w:t>
      </w:r>
      <w:r>
        <w:rPr>
          <w:noProof/>
        </w:rPr>
        <w:t xml:space="preserve"> janvier et antérieure au 31 décembre de la même année civile, la quantité du contingent tarifaire qui est applicable pour le reste de l’année civile en question est réduite au prorata du nombre de jours restants dans ladite année civile.</w:t>
      </w:r>
    </w:p>
    <w:p>
      <w:pPr>
        <w:pStyle w:val="Point1"/>
        <w:rPr>
          <w:rFonts w:eastAsia="Batang"/>
          <w:noProof/>
          <w:szCs w:val="24"/>
        </w:rPr>
      </w:pPr>
      <w:r>
        <w:rPr>
          <w:noProof/>
        </w:rPr>
        <w:t>o)</w:t>
      </w:r>
      <w:r>
        <w:rPr>
          <w:noProof/>
        </w:rPr>
        <w:tab/>
        <w:t>[</w:t>
      </w:r>
      <w:r>
        <w:rPr>
          <w:i/>
          <w:noProof/>
        </w:rPr>
        <w:t>vins</w:t>
      </w:r>
      <w:r>
        <w:rPr>
          <w:noProof/>
        </w:rPr>
        <w:t>]</w:t>
      </w:r>
    </w:p>
    <w:p>
      <w:pPr>
        <w:pStyle w:val="Text2"/>
        <w:rPr>
          <w:rFonts w:eastAsia="Batang"/>
          <w:noProof/>
          <w:szCs w:val="24"/>
        </w:rPr>
      </w:pPr>
      <w:r>
        <w:rPr>
          <w:noProof/>
          <w:u w:val="single"/>
        </w:rPr>
        <w:t>1. Vins libéralisés</w:t>
      </w:r>
    </w:p>
    <w:p>
      <w:pPr>
        <w:pStyle w:val="Text2"/>
        <w:rPr>
          <w:rFonts w:eastAsia="Batang"/>
          <w:noProof/>
          <w:szCs w:val="24"/>
        </w:rPr>
      </w:pPr>
      <w:r>
        <w:rPr>
          <w:noProof/>
        </w:rPr>
        <w:t>Les droits de douane sur les marchandises originaires qui relèvent des positions des catégories de démantèlement «S» et «S*» et qui:</w:t>
      </w:r>
    </w:p>
    <w:p>
      <w:pPr>
        <w:pStyle w:val="Point2"/>
        <w:rPr>
          <w:noProof/>
        </w:rPr>
      </w:pPr>
      <w:r>
        <w:rPr>
          <w:noProof/>
        </w:rPr>
        <w:t>i)</w:t>
      </w:r>
      <w:r>
        <w:rPr>
          <w:noProof/>
        </w:rPr>
        <w:tab/>
        <w:t>ont un titre alcoométrique acquis excédant 18 % vol, ou</w:t>
      </w:r>
    </w:p>
    <w:p>
      <w:pPr>
        <w:pStyle w:val="Point2"/>
        <w:rPr>
          <w:noProof/>
        </w:rPr>
      </w:pPr>
      <w:r>
        <w:rPr>
          <w:noProof/>
        </w:rPr>
        <w:t>ii)</w:t>
      </w:r>
      <w:r>
        <w:rPr>
          <w:noProof/>
        </w:rPr>
        <w:tab/>
        <w:t>ont un titre alcoométrique acquis n’excédant pas 13 % vol et ne sont pas des vins blancs ou des vins présentés en récipients d’une contenance n’excédant pas 2 litres,</w:t>
      </w:r>
    </w:p>
    <w:p>
      <w:pPr>
        <w:pStyle w:val="Text2"/>
        <w:rPr>
          <w:noProof/>
        </w:rPr>
      </w:pPr>
      <w:r>
        <w:rPr>
          <w:noProof/>
        </w:rPr>
        <w:t>sont éliminés et l’entrée de ces marchandises est autorisée en franchise de droits, avec effet à la date visée au point 1 de la présente ANNEXE.</w:t>
      </w:r>
    </w:p>
    <w:p>
      <w:pPr>
        <w:pStyle w:val="Text2"/>
        <w:rPr>
          <w:rFonts w:eastAsia="Batang"/>
          <w:noProof/>
          <w:szCs w:val="24"/>
          <w:u w:val="single"/>
        </w:rPr>
      </w:pPr>
      <w:r>
        <w:rPr>
          <w:noProof/>
          <w:u w:val="single"/>
        </w:rPr>
        <w:t>2. Contingent tarifaire de l’accord CDC</w:t>
      </w:r>
    </w:p>
    <w:p>
      <w:pPr>
        <w:pStyle w:val="Text2"/>
        <w:rPr>
          <w:rFonts w:eastAsia="Batang"/>
          <w:noProof/>
          <w:szCs w:val="24"/>
        </w:rPr>
      </w:pPr>
      <w:r>
        <w:rPr>
          <w:noProof/>
        </w:rPr>
        <w:t>La quantité agrégée de marchandises originaires, autres que les vins libéralisés, relevant de la catégorie de démantèlement «S» et ayant un titre alcoométrique acquis n’excédant pas 15 % vol dont l’entrée est autorisée en franchise de droits chaque année civile, avec effet à la date visée au point 1 de la présente ANNEXE et jusqu’à la date visée au point 2 de la présente ANNEXE, est précisée ci-dessous:</w:t>
      </w:r>
    </w:p>
    <w:tbl>
      <w:tblPr>
        <w:tblW w:w="0" w:type="auto"/>
        <w:jc w:val="center"/>
        <w:tblLook w:val="04A0" w:firstRow="1" w:lastRow="0" w:firstColumn="1" w:lastColumn="0" w:noHBand="0" w:noVBand="1"/>
      </w:tblPr>
      <w:tblGrid>
        <w:gridCol w:w="1275"/>
        <w:gridCol w:w="1164"/>
        <w:gridCol w:w="1684"/>
      </w:tblGrid>
      <w:tr>
        <w:trPr>
          <w:jc w:val="center"/>
        </w:trPr>
        <w:tc>
          <w:tcPr>
            <w:tcW w:w="1275" w:type="dxa"/>
          </w:tcPr>
          <w:p>
            <w:pPr>
              <w:contextualSpacing/>
              <w:rPr>
                <w:rFonts w:eastAsia="Batang"/>
                <w:noProof/>
                <w:szCs w:val="24"/>
              </w:rPr>
            </w:pPr>
            <w:r>
              <w:rPr>
                <w:noProof/>
              </w:rPr>
              <w:t>Année</w:t>
            </w:r>
          </w:p>
        </w:tc>
        <w:tc>
          <w:tcPr>
            <w:tcW w:w="1164" w:type="dxa"/>
          </w:tcPr>
          <w:p>
            <w:pPr>
              <w:contextualSpacing/>
              <w:rPr>
                <w:rFonts w:eastAsia="Batang"/>
                <w:noProof/>
                <w:szCs w:val="24"/>
              </w:rPr>
            </w:pPr>
          </w:p>
        </w:tc>
        <w:tc>
          <w:tcPr>
            <w:tcW w:w="1684" w:type="dxa"/>
          </w:tcPr>
          <w:p>
            <w:pPr>
              <w:contextualSpacing/>
              <w:rPr>
                <w:rFonts w:eastAsia="Batang"/>
                <w:noProof/>
                <w:szCs w:val="24"/>
              </w:rPr>
            </w:pPr>
            <w:r>
              <w:rPr>
                <w:noProof/>
              </w:rPr>
              <w:t>Quantité</w:t>
            </w:r>
          </w:p>
        </w:tc>
      </w:tr>
      <w:tr>
        <w:trPr>
          <w:jc w:val="center"/>
        </w:trPr>
        <w:tc>
          <w:tcPr>
            <w:tcW w:w="1275" w:type="dxa"/>
            <w:tcBorders>
              <w:bottom w:val="single" w:sz="4" w:space="0" w:color="auto"/>
            </w:tcBorders>
          </w:tcPr>
          <w:p>
            <w:pPr>
              <w:contextualSpacing/>
              <w:rPr>
                <w:rFonts w:eastAsia="Batang"/>
                <w:noProof/>
                <w:szCs w:val="24"/>
              </w:rPr>
            </w:pPr>
          </w:p>
        </w:tc>
        <w:tc>
          <w:tcPr>
            <w:tcW w:w="1164" w:type="dxa"/>
            <w:tcBorders>
              <w:bottom w:val="single" w:sz="4" w:space="0" w:color="auto"/>
            </w:tcBorders>
          </w:tcPr>
          <w:p>
            <w:pPr>
              <w:contextualSpacing/>
              <w:rPr>
                <w:rFonts w:eastAsia="Batang"/>
                <w:noProof/>
                <w:szCs w:val="24"/>
              </w:rPr>
            </w:pPr>
          </w:p>
        </w:tc>
        <w:tc>
          <w:tcPr>
            <w:tcW w:w="1684" w:type="dxa"/>
            <w:tcBorders>
              <w:bottom w:val="single" w:sz="4" w:space="0" w:color="auto"/>
            </w:tcBorders>
          </w:tcPr>
          <w:p>
            <w:pPr>
              <w:contextualSpacing/>
              <w:rPr>
                <w:rFonts w:eastAsia="Batang"/>
                <w:noProof/>
                <w:szCs w:val="24"/>
              </w:rPr>
            </w:pPr>
            <w:r>
              <w:rPr>
                <w:noProof/>
              </w:rPr>
              <w:t>(litres)</w:t>
            </w:r>
          </w:p>
        </w:tc>
      </w:tr>
      <w:tr>
        <w:trPr>
          <w:jc w:val="center"/>
        </w:trPr>
        <w:tc>
          <w:tcPr>
            <w:tcW w:w="1275" w:type="dxa"/>
            <w:tcBorders>
              <w:top w:val="single" w:sz="4" w:space="0" w:color="auto"/>
            </w:tcBorders>
          </w:tcPr>
          <w:p>
            <w:pPr>
              <w:contextualSpacing/>
              <w:rPr>
                <w:rFonts w:eastAsia="Batang"/>
                <w:noProof/>
                <w:szCs w:val="24"/>
              </w:rPr>
            </w:pPr>
          </w:p>
        </w:tc>
        <w:tc>
          <w:tcPr>
            <w:tcW w:w="1164" w:type="dxa"/>
            <w:tcBorders>
              <w:top w:val="single" w:sz="4" w:space="0" w:color="auto"/>
            </w:tcBorders>
          </w:tcPr>
          <w:p>
            <w:pPr>
              <w:contextualSpacing/>
              <w:rPr>
                <w:rFonts w:eastAsia="Batang"/>
                <w:noProof/>
                <w:szCs w:val="24"/>
              </w:rPr>
            </w:pPr>
          </w:p>
        </w:tc>
        <w:tc>
          <w:tcPr>
            <w:tcW w:w="1684" w:type="dxa"/>
            <w:tcBorders>
              <w:top w:val="single" w:sz="4" w:space="0" w:color="auto"/>
            </w:tcBorders>
          </w:tcPr>
          <w:p>
            <w:pPr>
              <w:contextualSpacing/>
              <w:rPr>
                <w:rFonts w:eastAsia="Batang"/>
                <w:noProof/>
                <w:szCs w:val="24"/>
              </w:rPr>
            </w:pPr>
          </w:p>
        </w:tc>
      </w:tr>
      <w:tr>
        <w:trPr>
          <w:jc w:val="center"/>
        </w:trPr>
        <w:tc>
          <w:tcPr>
            <w:tcW w:w="1275" w:type="dxa"/>
          </w:tcPr>
          <w:p>
            <w:pPr>
              <w:contextualSpacing/>
              <w:rPr>
                <w:rFonts w:eastAsia="Batang"/>
                <w:noProof/>
                <w:szCs w:val="24"/>
              </w:rPr>
            </w:pPr>
            <w:r>
              <w:rPr>
                <w:noProof/>
              </w:rPr>
              <w:t>2015</w:t>
            </w:r>
          </w:p>
        </w:tc>
        <w:tc>
          <w:tcPr>
            <w:tcW w:w="1164" w:type="dxa"/>
          </w:tcPr>
          <w:p>
            <w:pPr>
              <w:contextualSpacing/>
              <w:rPr>
                <w:rFonts w:eastAsia="Batang"/>
                <w:noProof/>
                <w:szCs w:val="24"/>
              </w:rPr>
            </w:pPr>
          </w:p>
        </w:tc>
        <w:tc>
          <w:tcPr>
            <w:tcW w:w="1684" w:type="dxa"/>
          </w:tcPr>
          <w:p>
            <w:pPr>
              <w:contextualSpacing/>
              <w:rPr>
                <w:rFonts w:eastAsia="Batang"/>
                <w:noProof/>
                <w:szCs w:val="24"/>
              </w:rPr>
            </w:pPr>
            <w:r>
              <w:rPr>
                <w:noProof/>
              </w:rPr>
              <w:t>49 067 000</w:t>
            </w:r>
          </w:p>
        </w:tc>
      </w:tr>
      <w:tr>
        <w:trPr>
          <w:jc w:val="center"/>
        </w:trPr>
        <w:tc>
          <w:tcPr>
            <w:tcW w:w="1275" w:type="dxa"/>
          </w:tcPr>
          <w:p>
            <w:pPr>
              <w:contextualSpacing/>
              <w:rPr>
                <w:rFonts w:eastAsia="Batang"/>
                <w:noProof/>
                <w:szCs w:val="24"/>
              </w:rPr>
            </w:pPr>
            <w:r>
              <w:rPr>
                <w:noProof/>
              </w:rPr>
              <w:t>2016</w:t>
            </w:r>
          </w:p>
        </w:tc>
        <w:tc>
          <w:tcPr>
            <w:tcW w:w="1164" w:type="dxa"/>
          </w:tcPr>
          <w:p>
            <w:pPr>
              <w:contextualSpacing/>
              <w:rPr>
                <w:rFonts w:eastAsia="Batang"/>
                <w:noProof/>
                <w:szCs w:val="24"/>
              </w:rPr>
            </w:pPr>
          </w:p>
        </w:tc>
        <w:tc>
          <w:tcPr>
            <w:tcW w:w="1684" w:type="dxa"/>
          </w:tcPr>
          <w:p>
            <w:pPr>
              <w:contextualSpacing/>
              <w:rPr>
                <w:rFonts w:eastAsia="Batang"/>
                <w:noProof/>
                <w:szCs w:val="24"/>
              </w:rPr>
            </w:pPr>
            <w:r>
              <w:rPr>
                <w:noProof/>
              </w:rPr>
              <w:t>50 126 000</w:t>
            </w:r>
          </w:p>
        </w:tc>
      </w:tr>
      <w:tr>
        <w:trPr>
          <w:jc w:val="center"/>
        </w:trPr>
        <w:tc>
          <w:tcPr>
            <w:tcW w:w="1275" w:type="dxa"/>
          </w:tcPr>
          <w:p>
            <w:pPr>
              <w:contextualSpacing/>
              <w:rPr>
                <w:rFonts w:eastAsia="Batang"/>
                <w:noProof/>
                <w:szCs w:val="24"/>
              </w:rPr>
            </w:pPr>
            <w:r>
              <w:rPr>
                <w:noProof/>
              </w:rPr>
              <w:t>2017</w:t>
            </w:r>
          </w:p>
        </w:tc>
        <w:tc>
          <w:tcPr>
            <w:tcW w:w="1164" w:type="dxa"/>
          </w:tcPr>
          <w:p>
            <w:pPr>
              <w:contextualSpacing/>
              <w:rPr>
                <w:rFonts w:eastAsia="Batang"/>
                <w:noProof/>
                <w:szCs w:val="24"/>
              </w:rPr>
            </w:pPr>
          </w:p>
        </w:tc>
        <w:tc>
          <w:tcPr>
            <w:tcW w:w="1684" w:type="dxa"/>
          </w:tcPr>
          <w:p>
            <w:pPr>
              <w:contextualSpacing/>
              <w:rPr>
                <w:rFonts w:eastAsia="Batang"/>
                <w:noProof/>
                <w:szCs w:val="24"/>
              </w:rPr>
            </w:pPr>
            <w:r>
              <w:rPr>
                <w:noProof/>
              </w:rPr>
              <w:t>51 185 000</w:t>
            </w:r>
          </w:p>
        </w:tc>
      </w:tr>
      <w:tr>
        <w:trPr>
          <w:jc w:val="center"/>
        </w:trPr>
        <w:tc>
          <w:tcPr>
            <w:tcW w:w="1275" w:type="dxa"/>
          </w:tcPr>
          <w:p>
            <w:pPr>
              <w:contextualSpacing/>
              <w:rPr>
                <w:rFonts w:eastAsia="Batang"/>
                <w:noProof/>
                <w:szCs w:val="24"/>
              </w:rPr>
            </w:pPr>
            <w:r>
              <w:rPr>
                <w:noProof/>
              </w:rPr>
              <w:t>2018</w:t>
            </w:r>
          </w:p>
        </w:tc>
        <w:tc>
          <w:tcPr>
            <w:tcW w:w="1164" w:type="dxa"/>
          </w:tcPr>
          <w:p>
            <w:pPr>
              <w:contextualSpacing/>
              <w:rPr>
                <w:rFonts w:eastAsia="Batang"/>
                <w:noProof/>
                <w:szCs w:val="24"/>
              </w:rPr>
            </w:pPr>
          </w:p>
        </w:tc>
        <w:tc>
          <w:tcPr>
            <w:tcW w:w="1684" w:type="dxa"/>
          </w:tcPr>
          <w:p>
            <w:pPr>
              <w:contextualSpacing/>
              <w:rPr>
                <w:rFonts w:eastAsia="Batang"/>
                <w:noProof/>
                <w:szCs w:val="24"/>
              </w:rPr>
            </w:pPr>
            <w:r>
              <w:rPr>
                <w:noProof/>
              </w:rPr>
              <w:t>52 244 000</w:t>
            </w:r>
          </w:p>
        </w:tc>
      </w:tr>
      <w:tr>
        <w:trPr>
          <w:jc w:val="center"/>
        </w:trPr>
        <w:tc>
          <w:tcPr>
            <w:tcW w:w="1275" w:type="dxa"/>
          </w:tcPr>
          <w:p>
            <w:pPr>
              <w:contextualSpacing/>
              <w:rPr>
                <w:rFonts w:eastAsia="Batang"/>
                <w:noProof/>
                <w:szCs w:val="24"/>
              </w:rPr>
            </w:pPr>
            <w:r>
              <w:rPr>
                <w:noProof/>
              </w:rPr>
              <w:t>2019</w:t>
            </w:r>
          </w:p>
        </w:tc>
        <w:tc>
          <w:tcPr>
            <w:tcW w:w="1164" w:type="dxa"/>
          </w:tcPr>
          <w:p>
            <w:pPr>
              <w:contextualSpacing/>
              <w:rPr>
                <w:rFonts w:eastAsia="Batang"/>
                <w:noProof/>
                <w:szCs w:val="24"/>
              </w:rPr>
            </w:pPr>
          </w:p>
        </w:tc>
        <w:tc>
          <w:tcPr>
            <w:tcW w:w="1684" w:type="dxa"/>
          </w:tcPr>
          <w:p>
            <w:pPr>
              <w:contextualSpacing/>
              <w:rPr>
                <w:rFonts w:eastAsia="Batang"/>
                <w:noProof/>
                <w:szCs w:val="24"/>
              </w:rPr>
            </w:pPr>
            <w:r>
              <w:rPr>
                <w:noProof/>
              </w:rPr>
              <w:t>53 303 000</w:t>
            </w:r>
          </w:p>
        </w:tc>
      </w:tr>
      <w:tr>
        <w:trPr>
          <w:jc w:val="center"/>
        </w:trPr>
        <w:tc>
          <w:tcPr>
            <w:tcW w:w="1275" w:type="dxa"/>
          </w:tcPr>
          <w:p>
            <w:pPr>
              <w:contextualSpacing/>
              <w:rPr>
                <w:rFonts w:eastAsia="Batang"/>
                <w:noProof/>
                <w:szCs w:val="24"/>
              </w:rPr>
            </w:pPr>
            <w:r>
              <w:rPr>
                <w:noProof/>
              </w:rPr>
              <w:t>2020</w:t>
            </w:r>
          </w:p>
        </w:tc>
        <w:tc>
          <w:tcPr>
            <w:tcW w:w="1164" w:type="dxa"/>
          </w:tcPr>
          <w:p>
            <w:pPr>
              <w:contextualSpacing/>
              <w:rPr>
                <w:rFonts w:eastAsia="Batang"/>
                <w:noProof/>
                <w:szCs w:val="24"/>
              </w:rPr>
            </w:pPr>
          </w:p>
        </w:tc>
        <w:tc>
          <w:tcPr>
            <w:tcW w:w="1684" w:type="dxa"/>
          </w:tcPr>
          <w:p>
            <w:pPr>
              <w:contextualSpacing/>
              <w:rPr>
                <w:rFonts w:eastAsia="Batang"/>
                <w:noProof/>
                <w:szCs w:val="24"/>
              </w:rPr>
            </w:pPr>
            <w:r>
              <w:rPr>
                <w:noProof/>
              </w:rPr>
              <w:t>54 362 000</w:t>
            </w:r>
          </w:p>
        </w:tc>
      </w:tr>
    </w:tbl>
    <w:p>
      <w:pPr>
        <w:pStyle w:val="Text2"/>
        <w:rPr>
          <w:rFonts w:eastAsia="Batang"/>
          <w:noProof/>
          <w:szCs w:val="24"/>
        </w:rPr>
      </w:pPr>
      <w:r>
        <w:rPr>
          <w:noProof/>
        </w:rPr>
        <w:t>Après 2020, la quantité contingentaire est augmentée annuellement de 1 059 000 litres.</w:t>
      </w:r>
    </w:p>
    <w:p>
      <w:pPr>
        <w:pStyle w:val="Text2"/>
        <w:rPr>
          <w:rFonts w:eastAsia="Batang"/>
          <w:noProof/>
          <w:szCs w:val="24"/>
          <w:u w:val="single"/>
        </w:rPr>
      </w:pPr>
      <w:r>
        <w:rPr>
          <w:noProof/>
          <w:u w:val="single"/>
        </w:rPr>
        <w:t>3. Contingent tarifaire applicable après la date visée au point 2 de la présente ANNEXE</w:t>
      </w:r>
    </w:p>
    <w:p>
      <w:pPr>
        <w:pStyle w:val="Text2"/>
        <w:rPr>
          <w:rFonts w:eastAsia="Batang"/>
          <w:noProof/>
          <w:szCs w:val="24"/>
        </w:rPr>
      </w:pPr>
      <w:r>
        <w:rPr>
          <w:noProof/>
        </w:rPr>
        <w:t>La quantité agrégée de marchandises originaires, autres que les vins libéralisés, relevant des catégories de démantèlement «S» et «S*» dont l’entrée est autorisée en franchise de droits chaque année civile, avec effet à la date visée au point 2 de la présente ANNEXE, est précisée ci-dessous:</w:t>
      </w:r>
    </w:p>
    <w:tbl>
      <w:tblPr>
        <w:tblpPr w:leftFromText="180" w:rightFromText="180" w:vertAnchor="text" w:horzAnchor="margin" w:tblpXSpec="center" w:tblpY="46"/>
        <w:tblW w:w="7384" w:type="dxa"/>
        <w:tblLook w:val="04A0" w:firstRow="1" w:lastRow="0" w:firstColumn="1" w:lastColumn="0" w:noHBand="0" w:noVBand="1"/>
      </w:tblPr>
      <w:tblGrid>
        <w:gridCol w:w="843"/>
        <w:gridCol w:w="3667"/>
        <w:gridCol w:w="2874"/>
      </w:tblGrid>
      <w:tr>
        <w:tc>
          <w:tcPr>
            <w:tcW w:w="828" w:type="dxa"/>
            <w:shd w:val="clear" w:color="auto" w:fill="auto"/>
          </w:tcPr>
          <w:p>
            <w:pPr>
              <w:contextualSpacing/>
              <w:jc w:val="center"/>
              <w:rPr>
                <w:rFonts w:eastAsia="Batang"/>
                <w:noProof/>
                <w:szCs w:val="24"/>
              </w:rPr>
            </w:pPr>
            <w:r>
              <w:rPr>
                <w:noProof/>
              </w:rPr>
              <w:t>Année</w:t>
            </w:r>
          </w:p>
        </w:tc>
        <w:tc>
          <w:tcPr>
            <w:tcW w:w="3676" w:type="dxa"/>
            <w:shd w:val="clear" w:color="auto" w:fill="auto"/>
          </w:tcPr>
          <w:p>
            <w:pPr>
              <w:contextualSpacing/>
              <w:jc w:val="center"/>
              <w:rPr>
                <w:rFonts w:eastAsia="Batang"/>
                <w:noProof/>
                <w:szCs w:val="24"/>
                <w:u w:val="single"/>
              </w:rPr>
            </w:pPr>
            <w:r>
              <w:rPr>
                <w:noProof/>
                <w:u w:val="single"/>
              </w:rPr>
              <w:t>Contingent vin A</w:t>
            </w:r>
          </w:p>
          <w:p>
            <w:pPr>
              <w:contextualSpacing/>
              <w:jc w:val="center"/>
              <w:rPr>
                <w:rFonts w:eastAsia="Batang"/>
                <w:noProof/>
                <w:szCs w:val="24"/>
              </w:rPr>
            </w:pPr>
            <w:r>
              <w:rPr>
                <w:noProof/>
              </w:rPr>
              <w:t>Quantité de vin en récipients d’une contenance n’excédant pas 2 litres</w:t>
            </w:r>
          </w:p>
        </w:tc>
        <w:tc>
          <w:tcPr>
            <w:tcW w:w="2880" w:type="dxa"/>
            <w:shd w:val="clear" w:color="auto" w:fill="auto"/>
          </w:tcPr>
          <w:p>
            <w:pPr>
              <w:contextualSpacing/>
              <w:jc w:val="center"/>
              <w:rPr>
                <w:rFonts w:eastAsia="Batang"/>
                <w:noProof/>
                <w:szCs w:val="24"/>
                <w:u w:val="single"/>
              </w:rPr>
            </w:pPr>
            <w:r>
              <w:rPr>
                <w:noProof/>
                <w:u w:val="single"/>
              </w:rPr>
              <w:t>Contingent vin B</w:t>
            </w:r>
          </w:p>
          <w:p>
            <w:pPr>
              <w:contextualSpacing/>
              <w:jc w:val="center"/>
              <w:rPr>
                <w:rFonts w:eastAsia="Batang"/>
                <w:noProof/>
                <w:szCs w:val="24"/>
              </w:rPr>
            </w:pPr>
            <w:r>
              <w:rPr>
                <w:noProof/>
              </w:rPr>
              <w:t>Quantité de vin en récipients de toute contenance</w:t>
            </w:r>
          </w:p>
        </w:tc>
      </w:tr>
      <w:tr>
        <w:tc>
          <w:tcPr>
            <w:tcW w:w="828" w:type="dxa"/>
            <w:tcBorders>
              <w:bottom w:val="single" w:sz="4" w:space="0" w:color="auto"/>
            </w:tcBorders>
            <w:shd w:val="clear" w:color="auto" w:fill="auto"/>
          </w:tcPr>
          <w:p>
            <w:pPr>
              <w:contextualSpacing/>
              <w:jc w:val="center"/>
              <w:rPr>
                <w:rFonts w:eastAsia="Batang"/>
                <w:noProof/>
                <w:szCs w:val="24"/>
              </w:rPr>
            </w:pPr>
          </w:p>
        </w:tc>
        <w:tc>
          <w:tcPr>
            <w:tcW w:w="3676" w:type="dxa"/>
            <w:tcBorders>
              <w:bottom w:val="single" w:sz="4" w:space="0" w:color="auto"/>
            </w:tcBorders>
            <w:shd w:val="clear" w:color="auto" w:fill="auto"/>
          </w:tcPr>
          <w:p>
            <w:pPr>
              <w:contextualSpacing/>
              <w:jc w:val="center"/>
              <w:rPr>
                <w:rFonts w:eastAsia="Batang"/>
                <w:noProof/>
                <w:szCs w:val="24"/>
              </w:rPr>
            </w:pPr>
            <w:r>
              <w:rPr>
                <w:noProof/>
              </w:rPr>
              <w:t>(litres)</w:t>
            </w:r>
          </w:p>
        </w:tc>
        <w:tc>
          <w:tcPr>
            <w:tcW w:w="2880" w:type="dxa"/>
            <w:tcBorders>
              <w:bottom w:val="single" w:sz="4" w:space="0" w:color="auto"/>
            </w:tcBorders>
            <w:shd w:val="clear" w:color="auto" w:fill="auto"/>
          </w:tcPr>
          <w:p>
            <w:pPr>
              <w:contextualSpacing/>
              <w:jc w:val="center"/>
              <w:rPr>
                <w:rFonts w:eastAsia="Batang"/>
                <w:noProof/>
                <w:szCs w:val="24"/>
              </w:rPr>
            </w:pPr>
            <w:r>
              <w:rPr>
                <w:noProof/>
              </w:rPr>
              <w:t>(litres)</w:t>
            </w:r>
          </w:p>
        </w:tc>
      </w:tr>
      <w:tr>
        <w:tc>
          <w:tcPr>
            <w:tcW w:w="828" w:type="dxa"/>
            <w:tcBorders>
              <w:top w:val="single" w:sz="4" w:space="0" w:color="auto"/>
            </w:tcBorders>
            <w:shd w:val="clear" w:color="auto" w:fill="auto"/>
          </w:tcPr>
          <w:p>
            <w:pPr>
              <w:contextualSpacing/>
              <w:jc w:val="center"/>
              <w:rPr>
                <w:rFonts w:eastAsia="Batang"/>
                <w:noProof/>
                <w:szCs w:val="24"/>
              </w:rPr>
            </w:pPr>
            <w:r>
              <w:rPr>
                <w:noProof/>
              </w:rPr>
              <w:t>1</w:t>
            </w:r>
          </w:p>
        </w:tc>
        <w:tc>
          <w:tcPr>
            <w:tcW w:w="3676" w:type="dxa"/>
            <w:tcBorders>
              <w:top w:val="single" w:sz="4" w:space="0" w:color="auto"/>
            </w:tcBorders>
            <w:shd w:val="clear" w:color="auto" w:fill="auto"/>
          </w:tcPr>
          <w:p>
            <w:pPr>
              <w:contextualSpacing/>
              <w:jc w:val="center"/>
              <w:rPr>
                <w:rFonts w:eastAsia="Batang"/>
                <w:noProof/>
                <w:szCs w:val="24"/>
              </w:rPr>
            </w:pPr>
            <w:r>
              <w:rPr>
                <w:noProof/>
              </w:rPr>
              <w:t>77 000 000</w:t>
            </w:r>
          </w:p>
        </w:tc>
        <w:tc>
          <w:tcPr>
            <w:tcW w:w="2880" w:type="dxa"/>
            <w:tcBorders>
              <w:top w:val="single" w:sz="4" w:space="0" w:color="auto"/>
            </w:tcBorders>
            <w:shd w:val="clear" w:color="auto" w:fill="auto"/>
          </w:tcPr>
          <w:p>
            <w:pPr>
              <w:contextualSpacing/>
              <w:jc w:val="center"/>
              <w:rPr>
                <w:rFonts w:eastAsia="Batang"/>
                <w:noProof/>
                <w:szCs w:val="24"/>
              </w:rPr>
            </w:pPr>
            <w:r>
              <w:rPr>
                <w:noProof/>
              </w:rPr>
              <w:t>33 000 000</w:t>
            </w:r>
          </w:p>
        </w:tc>
      </w:tr>
      <w:tr>
        <w:tc>
          <w:tcPr>
            <w:tcW w:w="828" w:type="dxa"/>
            <w:shd w:val="clear" w:color="auto" w:fill="auto"/>
          </w:tcPr>
          <w:p>
            <w:pPr>
              <w:contextualSpacing/>
              <w:jc w:val="center"/>
              <w:rPr>
                <w:rFonts w:eastAsia="Batang"/>
                <w:noProof/>
                <w:szCs w:val="24"/>
              </w:rPr>
            </w:pPr>
            <w:r>
              <w:rPr>
                <w:noProof/>
              </w:rPr>
              <w:t>2</w:t>
            </w:r>
          </w:p>
        </w:tc>
        <w:tc>
          <w:tcPr>
            <w:tcW w:w="3676" w:type="dxa"/>
            <w:shd w:val="clear" w:color="auto" w:fill="auto"/>
          </w:tcPr>
          <w:p>
            <w:pPr>
              <w:contextualSpacing/>
              <w:jc w:val="center"/>
              <w:rPr>
                <w:rFonts w:eastAsia="Batang"/>
                <w:noProof/>
                <w:szCs w:val="24"/>
              </w:rPr>
            </w:pPr>
            <w:r>
              <w:rPr>
                <w:noProof/>
              </w:rPr>
              <w:t>77 741 300</w:t>
            </w:r>
          </w:p>
        </w:tc>
        <w:tc>
          <w:tcPr>
            <w:tcW w:w="2880" w:type="dxa"/>
            <w:shd w:val="clear" w:color="auto" w:fill="auto"/>
          </w:tcPr>
          <w:p>
            <w:pPr>
              <w:contextualSpacing/>
              <w:jc w:val="center"/>
              <w:rPr>
                <w:rFonts w:eastAsia="Batang"/>
                <w:noProof/>
                <w:szCs w:val="24"/>
              </w:rPr>
            </w:pPr>
            <w:r>
              <w:rPr>
                <w:noProof/>
              </w:rPr>
              <w:t>33 317 700</w:t>
            </w:r>
          </w:p>
        </w:tc>
      </w:tr>
      <w:tr>
        <w:tc>
          <w:tcPr>
            <w:tcW w:w="828" w:type="dxa"/>
            <w:shd w:val="clear" w:color="auto" w:fill="auto"/>
          </w:tcPr>
          <w:p>
            <w:pPr>
              <w:contextualSpacing/>
              <w:jc w:val="center"/>
              <w:rPr>
                <w:rFonts w:eastAsia="Batang"/>
                <w:noProof/>
                <w:szCs w:val="24"/>
              </w:rPr>
            </w:pPr>
            <w:r>
              <w:rPr>
                <w:noProof/>
              </w:rPr>
              <w:t>3</w:t>
            </w:r>
          </w:p>
        </w:tc>
        <w:tc>
          <w:tcPr>
            <w:tcW w:w="3676" w:type="dxa"/>
            <w:shd w:val="clear" w:color="auto" w:fill="auto"/>
          </w:tcPr>
          <w:p>
            <w:pPr>
              <w:contextualSpacing/>
              <w:jc w:val="center"/>
              <w:rPr>
                <w:rFonts w:eastAsia="Batang"/>
                <w:noProof/>
                <w:szCs w:val="24"/>
              </w:rPr>
            </w:pPr>
            <w:r>
              <w:rPr>
                <w:noProof/>
              </w:rPr>
              <w:t>78 482 600</w:t>
            </w:r>
          </w:p>
        </w:tc>
        <w:tc>
          <w:tcPr>
            <w:tcW w:w="2880" w:type="dxa"/>
            <w:shd w:val="clear" w:color="auto" w:fill="auto"/>
          </w:tcPr>
          <w:p>
            <w:pPr>
              <w:contextualSpacing/>
              <w:jc w:val="center"/>
              <w:rPr>
                <w:rFonts w:eastAsia="Batang"/>
                <w:noProof/>
                <w:szCs w:val="24"/>
              </w:rPr>
            </w:pPr>
            <w:r>
              <w:rPr>
                <w:noProof/>
              </w:rPr>
              <w:t>33 635 400</w:t>
            </w:r>
          </w:p>
        </w:tc>
      </w:tr>
      <w:tr>
        <w:tc>
          <w:tcPr>
            <w:tcW w:w="828" w:type="dxa"/>
            <w:shd w:val="clear" w:color="auto" w:fill="auto"/>
          </w:tcPr>
          <w:p>
            <w:pPr>
              <w:contextualSpacing/>
              <w:jc w:val="center"/>
              <w:rPr>
                <w:rFonts w:eastAsia="Batang"/>
                <w:noProof/>
                <w:szCs w:val="24"/>
              </w:rPr>
            </w:pPr>
            <w:r>
              <w:rPr>
                <w:noProof/>
              </w:rPr>
              <w:t>4</w:t>
            </w:r>
          </w:p>
        </w:tc>
        <w:tc>
          <w:tcPr>
            <w:tcW w:w="3676" w:type="dxa"/>
            <w:shd w:val="clear" w:color="auto" w:fill="auto"/>
          </w:tcPr>
          <w:p>
            <w:pPr>
              <w:contextualSpacing/>
              <w:jc w:val="center"/>
              <w:rPr>
                <w:rFonts w:eastAsia="Batang"/>
                <w:noProof/>
                <w:szCs w:val="24"/>
              </w:rPr>
            </w:pPr>
            <w:r>
              <w:rPr>
                <w:noProof/>
              </w:rPr>
              <w:t>79 223 900</w:t>
            </w:r>
          </w:p>
        </w:tc>
        <w:tc>
          <w:tcPr>
            <w:tcW w:w="2880" w:type="dxa"/>
            <w:shd w:val="clear" w:color="auto" w:fill="auto"/>
          </w:tcPr>
          <w:p>
            <w:pPr>
              <w:contextualSpacing/>
              <w:jc w:val="center"/>
              <w:rPr>
                <w:rFonts w:eastAsia="Batang"/>
                <w:noProof/>
                <w:szCs w:val="24"/>
              </w:rPr>
            </w:pPr>
            <w:r>
              <w:rPr>
                <w:noProof/>
              </w:rPr>
              <w:t>33 953 100</w:t>
            </w:r>
          </w:p>
        </w:tc>
      </w:tr>
      <w:tr>
        <w:tc>
          <w:tcPr>
            <w:tcW w:w="828" w:type="dxa"/>
            <w:shd w:val="clear" w:color="auto" w:fill="auto"/>
          </w:tcPr>
          <w:p>
            <w:pPr>
              <w:contextualSpacing/>
              <w:jc w:val="center"/>
              <w:rPr>
                <w:rFonts w:eastAsia="Batang"/>
                <w:noProof/>
                <w:szCs w:val="24"/>
              </w:rPr>
            </w:pPr>
            <w:r>
              <w:rPr>
                <w:noProof/>
              </w:rPr>
              <w:t>5</w:t>
            </w:r>
          </w:p>
        </w:tc>
        <w:tc>
          <w:tcPr>
            <w:tcW w:w="3676" w:type="dxa"/>
            <w:shd w:val="clear" w:color="auto" w:fill="auto"/>
          </w:tcPr>
          <w:p>
            <w:pPr>
              <w:contextualSpacing/>
              <w:jc w:val="center"/>
              <w:rPr>
                <w:rFonts w:eastAsia="Batang"/>
                <w:noProof/>
                <w:szCs w:val="24"/>
              </w:rPr>
            </w:pPr>
            <w:r>
              <w:rPr>
                <w:noProof/>
              </w:rPr>
              <w:t>79 965 200</w:t>
            </w:r>
          </w:p>
        </w:tc>
        <w:tc>
          <w:tcPr>
            <w:tcW w:w="2880" w:type="dxa"/>
            <w:shd w:val="clear" w:color="auto" w:fill="auto"/>
          </w:tcPr>
          <w:p>
            <w:pPr>
              <w:contextualSpacing/>
              <w:jc w:val="center"/>
              <w:rPr>
                <w:rFonts w:eastAsia="Batang"/>
                <w:noProof/>
                <w:szCs w:val="24"/>
              </w:rPr>
            </w:pPr>
            <w:r>
              <w:rPr>
                <w:noProof/>
              </w:rPr>
              <w:t>34 270 800</w:t>
            </w:r>
          </w:p>
        </w:tc>
      </w:tr>
    </w:tbl>
    <w:p>
      <w:pPr>
        <w:pStyle w:val="Text2"/>
        <w:rPr>
          <w:noProof/>
        </w:rPr>
      </w:pPr>
    </w:p>
    <w:p>
      <w:pPr>
        <w:pStyle w:val="Text2"/>
        <w:rPr>
          <w:noProof/>
        </w:rPr>
      </w:pPr>
    </w:p>
    <w:p>
      <w:pPr>
        <w:pStyle w:val="Text2"/>
        <w:rPr>
          <w:noProof/>
        </w:rPr>
      </w:pPr>
    </w:p>
    <w:p>
      <w:pPr>
        <w:pStyle w:val="Text2"/>
        <w:rPr>
          <w:noProof/>
        </w:rPr>
      </w:pPr>
    </w:p>
    <w:p>
      <w:pPr>
        <w:pStyle w:val="Text2"/>
        <w:rPr>
          <w:noProof/>
        </w:rPr>
      </w:pPr>
    </w:p>
    <w:p>
      <w:pPr>
        <w:pStyle w:val="Text2"/>
        <w:rPr>
          <w:noProof/>
        </w:rPr>
      </w:pPr>
    </w:p>
    <w:p>
      <w:pPr>
        <w:pStyle w:val="Text2"/>
        <w:rPr>
          <w:rFonts w:eastAsia="Batang"/>
          <w:noProof/>
          <w:szCs w:val="24"/>
        </w:rPr>
      </w:pPr>
      <w:r>
        <w:rPr>
          <w:noProof/>
        </w:rPr>
        <w:t>Pour chaque année civile ultérieure, le contingent tarifaire est augmenté annuellement de 741 300 litres pour les marchandises du contingent vin A et de 317 700 litres pour les marchandises du contingent vin B.</w:t>
      </w:r>
    </w:p>
    <w:p>
      <w:pPr>
        <w:pStyle w:val="Text2"/>
        <w:rPr>
          <w:rFonts w:eastAsia="Batang"/>
          <w:noProof/>
          <w:szCs w:val="24"/>
        </w:rPr>
      </w:pPr>
      <w:r>
        <w:rPr>
          <w:noProof/>
        </w:rPr>
        <w:t>À partir du 1</w:t>
      </w:r>
      <w:r>
        <w:rPr>
          <w:noProof/>
          <w:vertAlign w:val="superscript"/>
        </w:rPr>
        <w:t>er</w:t>
      </w:r>
      <w:r>
        <w:rPr>
          <w:noProof/>
        </w:rPr>
        <w:t xml:space="preserve"> septembre de chaque année, les marchandises en récipients de toute contenance peuvent être importées dans le cadre du contingent vin A pendant le reste de l’année civile.</w:t>
      </w:r>
    </w:p>
    <w:p>
      <w:pPr>
        <w:pStyle w:val="Text2"/>
        <w:rPr>
          <w:noProof/>
          <w:szCs w:val="24"/>
        </w:rPr>
      </w:pPr>
      <w:r>
        <w:rPr>
          <w:noProof/>
        </w:rPr>
        <w:t>Si la date visée au point 2 de la présente ANNEXE correspond à une date postérieure au 1</w:t>
      </w:r>
      <w:r>
        <w:rPr>
          <w:noProof/>
          <w:vertAlign w:val="superscript"/>
        </w:rPr>
        <w:t>er</w:t>
      </w:r>
      <w:r>
        <w:rPr>
          <w:noProof/>
        </w:rPr>
        <w:t xml:space="preserve"> janvier et antérieure au 31 décembre de la même année civile, la quantité combinée du contingent vin A et du contingent vin B pour le reste de l’année en question est égale à la somme</w:t>
      </w:r>
    </w:p>
    <w:p>
      <w:pPr>
        <w:pStyle w:val="Point2"/>
        <w:rPr>
          <w:noProof/>
        </w:rPr>
      </w:pPr>
      <w:r>
        <w:rPr>
          <w:noProof/>
        </w:rPr>
        <w:t>a)</w:t>
      </w:r>
      <w:r>
        <w:rPr>
          <w:noProof/>
        </w:rPr>
        <w:tab/>
        <w:t>de la quantité du contingent tarifaire de l’accord CDC pour cette année civile moins la quantité importée dans le cadre du contingent avant la date visée au point 2 de la présente ANNEXE, et</w:t>
      </w:r>
    </w:p>
    <w:p>
      <w:pPr>
        <w:pStyle w:val="Point2"/>
        <w:rPr>
          <w:strike/>
          <w:noProof/>
          <w:szCs w:val="24"/>
        </w:rPr>
      </w:pPr>
      <w:r>
        <w:rPr>
          <w:noProof/>
        </w:rPr>
        <w:t>b)</w:t>
      </w:r>
      <w:r>
        <w:rPr>
          <w:noProof/>
        </w:rPr>
        <w:tab/>
        <w:t>de 110 millions de litres moins la quantité du contingent tarifaire de l’accord CDC pour cette année civile, la quantité ainsi obtenue étant réduite au prorata du nombre de jours restants dans ladite année civile.</w:t>
      </w:r>
    </w:p>
    <w:p>
      <w:pPr>
        <w:pStyle w:val="Text2"/>
        <w:rPr>
          <w:rFonts w:eastAsia="Batang"/>
          <w:noProof/>
          <w:szCs w:val="24"/>
        </w:rPr>
      </w:pPr>
      <w:r>
        <w:rPr>
          <w:noProof/>
        </w:rPr>
        <w:t>Si la date visée au point 2 de la présente ANNEXE est antérieure au 31 août de l’année civile en question, la quantité des contingents tarifaires susmentionnés est répartie entre le contingent vin A et le contingent vin B selon le même ratio que celui du tableau ci-dessus pour l’année 1 (à savoir 70/30) jusqu’au 31 août de ladite année. À partir du 1</w:t>
      </w:r>
      <w:r>
        <w:rPr>
          <w:noProof/>
          <w:vertAlign w:val="superscript"/>
        </w:rPr>
        <w:t>er</w:t>
      </w:r>
      <w:r>
        <w:rPr>
          <w:noProof/>
        </w:rPr>
        <w:t xml:space="preserve"> septembre de l’année en question, les marchandises en récipients de toute contenance peuvent être importées dans le cadre du contingent vin A pendant le reste de ladite année.</w:t>
      </w:r>
    </w:p>
    <w:p>
      <w:pPr>
        <w:pStyle w:val="Text2"/>
        <w:rPr>
          <w:noProof/>
          <w:szCs w:val="24"/>
        </w:rPr>
      </w:pPr>
      <w:r>
        <w:rPr>
          <w:noProof/>
        </w:rPr>
        <w:t>Sans préjudice du point 11 de la présente ANNEXE, les quantités allouées au contingent vin A et au contingent vin B et la date à laquelle des récipients de toute contenance peuvent être importés dans le cadre du contingent vin A peuvent faire l’objet d’un réexamen.</w:t>
      </w:r>
    </w:p>
    <w:p>
      <w:pPr>
        <w:pStyle w:val="Point1"/>
        <w:rPr>
          <w:rFonts w:eastAsia="Batang"/>
          <w:noProof/>
          <w:szCs w:val="24"/>
        </w:rPr>
      </w:pPr>
      <w:r>
        <w:rPr>
          <w:noProof/>
        </w:rPr>
        <w:t>p)</w:t>
      </w:r>
      <w:r>
        <w:rPr>
          <w:noProof/>
        </w:rPr>
        <w:tab/>
        <w:t>[</w:t>
      </w:r>
      <w:r>
        <w:rPr>
          <w:i/>
          <w:noProof/>
        </w:rPr>
        <w:t>éthanol</w:t>
      </w:r>
      <w:r>
        <w:rPr>
          <w:noProof/>
        </w:rPr>
        <w:t>] La quantité agrégée de marchandises originaires relevant de la catégorie de démantèlement «T*» dont l’entrée est autorisée en franchise de droits chaque année civile, avec effet à la date visée au point 2 de la présente ANNEXE, est précisée ci-dessous: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9"/>
      </w:tblGrid>
      <w:tr>
        <w:trPr>
          <w:jc w:val="center"/>
        </w:trPr>
        <w:tc>
          <w:tcPr>
            <w:tcW w:w="2159" w:type="dxa"/>
            <w:tcBorders>
              <w:top w:val="nil"/>
              <w:left w:val="nil"/>
              <w:bottom w:val="nil"/>
              <w:right w:val="nil"/>
            </w:tcBorders>
          </w:tcPr>
          <w:p>
            <w:pPr>
              <w:contextualSpacing/>
              <w:rPr>
                <w:rFonts w:eastAsia="Batang"/>
                <w:noProof/>
                <w:szCs w:val="24"/>
              </w:rPr>
            </w:pPr>
            <w:r>
              <w:rPr>
                <w:noProof/>
              </w:rPr>
              <w:t>Quantité</w:t>
            </w:r>
          </w:p>
        </w:tc>
      </w:tr>
      <w:tr>
        <w:trPr>
          <w:jc w:val="center"/>
        </w:trPr>
        <w:tc>
          <w:tcPr>
            <w:tcW w:w="2159" w:type="dxa"/>
            <w:tcBorders>
              <w:top w:val="nil"/>
              <w:left w:val="nil"/>
              <w:bottom w:val="single" w:sz="4" w:space="0" w:color="000000"/>
              <w:right w:val="nil"/>
            </w:tcBorders>
          </w:tcPr>
          <w:p>
            <w:pPr>
              <w:contextualSpacing/>
              <w:rPr>
                <w:rFonts w:eastAsia="Batang"/>
                <w:noProof/>
                <w:szCs w:val="24"/>
              </w:rPr>
            </w:pPr>
            <w:r>
              <w:rPr>
                <w:noProof/>
              </w:rPr>
              <w:t>(tonnes métriques)</w:t>
            </w:r>
          </w:p>
        </w:tc>
      </w:tr>
      <w:tr>
        <w:trPr>
          <w:jc w:val="center"/>
        </w:trPr>
        <w:tc>
          <w:tcPr>
            <w:tcW w:w="2159" w:type="dxa"/>
            <w:tcBorders>
              <w:top w:val="single" w:sz="4" w:space="0" w:color="000000"/>
              <w:left w:val="nil"/>
              <w:bottom w:val="nil"/>
              <w:right w:val="nil"/>
            </w:tcBorders>
            <w:vAlign w:val="center"/>
          </w:tcPr>
          <w:p>
            <w:pPr>
              <w:contextualSpacing/>
              <w:rPr>
                <w:rFonts w:eastAsia="Batang"/>
                <w:noProof/>
                <w:szCs w:val="24"/>
              </w:rPr>
            </w:pPr>
            <w:r>
              <w:rPr>
                <w:noProof/>
              </w:rPr>
              <w:t>80 000</w:t>
            </w:r>
          </w:p>
        </w:tc>
      </w:tr>
    </w:tbl>
    <w:p>
      <w:pPr>
        <w:pStyle w:val="Text2"/>
        <w:rPr>
          <w:noProof/>
        </w:rPr>
      </w:pPr>
      <w:r>
        <w:rPr>
          <w:noProof/>
        </w:rPr>
        <w:t>Si la date visée au point 2 de la présente ANNEXE correspond à une date postérieure au 1</w:t>
      </w:r>
      <w:r>
        <w:rPr>
          <w:noProof/>
          <w:vertAlign w:val="superscript"/>
        </w:rPr>
        <w:t>er</w:t>
      </w:r>
      <w:r>
        <w:rPr>
          <w:noProof/>
        </w:rPr>
        <w:t xml:space="preserve"> janvier et antérieure au 31 décembre de la même année civile, la quantité du contingent tarifaire qui est applicable pour le reste de l’année civile en question est réduite au prorata du nombre de jours restants dans ladite année civile.</w:t>
      </w:r>
    </w:p>
    <w:p>
      <w:pPr>
        <w:pStyle w:val="Text2"/>
        <w:rPr>
          <w:noProof/>
          <w:szCs w:val="24"/>
        </w:rPr>
        <w:sectPr>
          <w:footerReference w:type="default" r:id="rId16"/>
          <w:footerReference w:type="first" r:id="rId17"/>
          <w:pgSz w:w="11907" w:h="16839"/>
          <w:pgMar w:top="1134" w:right="1417" w:bottom="1134" w:left="1417" w:header="709" w:footer="709" w:gutter="0"/>
          <w:cols w:space="720"/>
          <w:docGrid w:linePitch="360"/>
        </w:sectPr>
      </w:pPr>
    </w:p>
    <w:p>
      <w:pPr>
        <w:jc w:val="center"/>
        <w:rPr>
          <w:b/>
          <w:noProof/>
        </w:rPr>
      </w:pPr>
      <w:r>
        <w:rPr>
          <w:b/>
          <w:noProof/>
        </w:rPr>
        <w:t>PARTIE II</w:t>
      </w:r>
    </w:p>
    <w:p>
      <w:pPr>
        <w:jc w:val="center"/>
        <w:rPr>
          <w:b/>
          <w:noProof/>
        </w:rPr>
      </w:pPr>
      <w:r>
        <w:rPr>
          <w:b/>
          <w:noProof/>
        </w:rPr>
        <w:t>LISTE TARIFAIRE DE l’UE</w:t>
      </w:r>
    </w:p>
    <w:p>
      <w:pPr>
        <w:jc w:val="center"/>
        <w:rPr>
          <w:b/>
          <w:noProof/>
        </w:rPr>
      </w:pPr>
      <w:r>
        <w:rPr>
          <w:b/>
          <w:noProof/>
        </w:rPr>
        <w:t>Rapport avec la nomenclature combinée (NC) de l’Union européenne</w:t>
      </w:r>
    </w:p>
    <w:p>
      <w:pPr>
        <w:rPr>
          <w:rFonts w:eastAsia="Batang"/>
          <w:noProof/>
          <w:szCs w:val="24"/>
        </w:rPr>
      </w:pPr>
      <w:r>
        <w:rPr>
          <w:noProof/>
        </w:rPr>
        <w:t>Les dispositions de la présente liste sont généralement exprimées dans les termes de la NC et l’interprétation des dispositions de la présente liste, y compris la couverture des produits des sous-positions de la présente liste, est régie par les notes générales, notes de section et notes de chapitre de la NC. Dans la mesure où elles sont identiques aux dispositions correspondantes de la NC, les dispositions de la présente liste ont la même signification que les dispositions correspondantes de la NC.</w:t>
      </w:r>
    </w:p>
    <w:p>
      <w:pPr>
        <w:rPr>
          <w:rFonts w:eastAsia="Batang"/>
          <w:noProof/>
          <w:szCs w:val="24"/>
        </w:rPr>
      </w:pPr>
      <w:r>
        <w:rPr>
          <w:b/>
          <w:noProof/>
        </w:rPr>
        <w:t>[Liste de l’UE – avec son appendice – à insérer ici]</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B4E5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FB6D9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AACA2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60B2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408730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742AC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B8D85E"/>
    <w:lvl w:ilvl="0">
      <w:start w:val="1"/>
      <w:numFmt w:val="decimal"/>
      <w:pStyle w:val="ListNumberLevel1"/>
      <w:lvlText w:val="%1."/>
      <w:lvlJc w:val="left"/>
      <w:pPr>
        <w:tabs>
          <w:tab w:val="num" w:pos="360"/>
        </w:tabs>
        <w:ind w:left="360" w:hanging="360"/>
      </w:pPr>
    </w:lvl>
  </w:abstractNum>
  <w:abstractNum w:abstractNumId="7">
    <w:nsid w:val="FFFFFF89"/>
    <w:multiLevelType w:val="singleLevel"/>
    <w:tmpl w:val="237005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9">
    <w:nsid w:val="11675D78"/>
    <w:multiLevelType w:val="multilevel"/>
    <w:tmpl w:val="08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6">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7">
    <w:nsid w:val="39053DE2"/>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9">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1">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2">
    <w:nsid w:val="40C33EEF"/>
    <w:multiLevelType w:val="hybridMultilevel"/>
    <w:tmpl w:val="3A203E1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5">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nsid w:val="596D67A1"/>
    <w:multiLevelType w:val="singleLevel"/>
    <w:tmpl w:val="9AC8831A"/>
    <w:name w:val="List Number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6">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7">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0">
    <w:nsid w:val="7D8820A0"/>
    <w:multiLevelType w:val="singleLevel"/>
    <w:tmpl w:val="54F6C7B4"/>
    <w:name w:val="List Bullet 3"/>
    <w:lvl w:ilvl="0">
      <w:start w:val="1"/>
      <w:numFmt w:val="bullet"/>
      <w:lvlRestart w:val="0"/>
      <w:pStyle w:val="ListDash4"/>
      <w:lvlText w:val="–"/>
      <w:lvlJc w:val="left"/>
      <w:pPr>
        <w:tabs>
          <w:tab w:val="num" w:pos="1134"/>
        </w:tabs>
        <w:ind w:left="1134" w:hanging="283"/>
      </w:pPr>
      <w:rPr>
        <w:rFonts w:ascii="Times New Roman" w:hAnsi="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6"/>
  </w:num>
  <w:num w:numId="10">
    <w:abstractNumId w:val="19"/>
  </w:num>
  <w:num w:numId="11">
    <w:abstractNumId w:val="38"/>
  </w:num>
  <w:num w:numId="12">
    <w:abstractNumId w:val="11"/>
  </w:num>
  <w:num w:numId="13">
    <w:abstractNumId w:val="25"/>
  </w:num>
  <w:num w:numId="14">
    <w:abstractNumId w:val="18"/>
  </w:num>
  <w:num w:numId="15">
    <w:abstractNumId w:val="20"/>
  </w:num>
  <w:num w:numId="16">
    <w:abstractNumId w:val="35"/>
  </w:num>
  <w:num w:numId="17">
    <w:abstractNumId w:val="15"/>
  </w:num>
  <w:num w:numId="18">
    <w:abstractNumId w:val="8"/>
  </w:num>
  <w:num w:numId="19">
    <w:abstractNumId w:val="21"/>
  </w:num>
  <w:num w:numId="20">
    <w:abstractNumId w:val="32"/>
  </w:num>
  <w:num w:numId="21">
    <w:abstractNumId w:val="28"/>
  </w:num>
  <w:num w:numId="22">
    <w:abstractNumId w:val="36"/>
  </w:num>
  <w:num w:numId="23">
    <w:abstractNumId w:val="40"/>
  </w:num>
  <w:num w:numId="24">
    <w:abstractNumId w:val="37"/>
  </w:num>
  <w:num w:numId="25">
    <w:abstractNumId w:val="17"/>
  </w:num>
  <w:num w:numId="26">
    <w:abstractNumId w:val="9"/>
  </w:num>
  <w:num w:numId="27">
    <w:abstractNumId w:val="22"/>
  </w:num>
  <w:num w:numId="28">
    <w:abstractNumId w:val="30"/>
    <w:lvlOverride w:ilvl="0">
      <w:startOverride w:val="1"/>
    </w:lvlOverride>
  </w:num>
  <w:num w:numId="29">
    <w:abstractNumId w:val="31"/>
  </w:num>
  <w:num w:numId="30">
    <w:abstractNumId w:val="23"/>
  </w:num>
  <w:num w:numId="31">
    <w:abstractNumId w:val="34"/>
  </w:num>
  <w:num w:numId="32">
    <w:abstractNumId w:val="14"/>
  </w:num>
  <w:num w:numId="33">
    <w:abstractNumId w:val="24"/>
  </w:num>
  <w:num w:numId="34">
    <w:abstractNumId w:val="12"/>
  </w:num>
  <w:num w:numId="35">
    <w:abstractNumId w:val="33"/>
  </w:num>
  <w:num w:numId="36">
    <w:abstractNumId w:val="10"/>
  </w:num>
  <w:num w:numId="37">
    <w:abstractNumId w:val="26"/>
  </w:num>
  <w:num w:numId="38">
    <w:abstractNumId w:val="29"/>
  </w:num>
  <w:num w:numId="39">
    <w:abstractNumId w:val="30"/>
  </w:num>
  <w:num w:numId="40">
    <w:abstractNumId w:val="13"/>
  </w:num>
  <w:num w:numId="41">
    <w:abstractNumId w:val="27"/>
  </w:num>
  <w:num w:numId="42">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3 15:39:5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ACCOMPAGNANT" w:val="à la"/>
    <w:docVar w:name="LW_ACCOMPAGNANT.CP" w:val="à la"/>
    <w:docVar w:name="LW_ANNEX_NBR_FIRST" w:val="2"/>
    <w:docVar w:name="LW_ANNEX_NBR_LAST" w:val="2"/>
    <w:docVar w:name="LW_CONFIDENCE" w:val=" "/>
    <w:docVar w:name="LW_CONST_RESTREINT_UE" w:val="RESTREINT UE"/>
    <w:docVar w:name="LW_CORRIGENDUM" w:val="&lt;UNUSED&gt;"/>
    <w:docVar w:name="LW_COVERPAGE_GUID" w:val="BB35B161300B4BD2A8CF01BCDBFD8263"/>
    <w:docVar w:name="LW_CROSSREFERENCE" w:val="&lt;UNUSED&gt;"/>
    <w:docVar w:name="LW_DocType" w:val="ANNEX"/>
    <w:docVar w:name="LW_EMISSION" w:val="22.1.2016"/>
    <w:docVar w:name="LW_EMISSION_ISODATE" w:val="2016-01-22"/>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relative à la conclusion de l\u8217?accord de partenariat économique entre l\u8217?Union européenne et ses États membres, d\u8217?une part, et les États de l\u8217?APE CDAA, d\u8217?autre part_x000b_"/>
    <w:docVar w:name="LW_OBJETACTEPRINCIPAL.CP" w:val="relative à la conclusion de l\u8217?accord de partenariat économique entre l\u8217?Union européenne et ses États membres, d\u8217?une part, et les États de l\u8217?APE CDAA, d\u8217?autre part_x000b_"/>
    <w:docVar w:name="LW_PART_NBR" w:val="1"/>
    <w:docVar w:name="LW_PART_NBR_TOTAL" w:val="8"/>
    <w:docVar w:name="LW_REF.INST.NEW" w:val="COM"/>
    <w:docVar w:name="LW_REF.INST.NEW_ADOPTED" w:val="final"/>
    <w:docVar w:name="LW_REF.INST.NEW_TEXT" w:val="(2016) 18"/>
    <w:docVar w:name="LW_REF.INTERNE" w:val="&lt;UNUSED&gt;"/>
    <w:docVar w:name="LW_SUPERTITRE" w:val="&lt;UNUSED&gt;"/>
    <w:docVar w:name="LW_TITRE.OBJ.CP" w:val="&lt;UNUSED&gt;"/>
    <w:docVar w:name="LW_TYPE.DOC" w:val="ANNEXE"/>
    <w:docVar w:name="LW_TYPE.DOC.CP" w:val="ANNEXE"/>
    <w:docVar w:name="LW_TYPEACTEPRINCIPAL" w:val="proposition de décision du Conseil_x000b_"/>
    <w:docVar w:name="LW_TYPEACTEPRINCIPAL.CP" w:val="proposition de décision du Conseil_x000b_"/>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HTML Sample" w:uiPriority="99"/>
    <w:lsdException w:name="Normal Table" w:uiPriority="99"/>
    <w:lsdException w:name="No List" w:uiPriority="99"/>
    <w:lsdException w:name="Outline List 3" w:uiPriority="99"/>
    <w:lsdException w:name="Table Colorful 2"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FollowedHyperlink">
    <w:name w:val="FollowedHyperlink"/>
    <w:basedOn w:val="DefaultParagraphFont"/>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tabs>
        <w:tab w:val="num" w:pos="360"/>
      </w:tabs>
      <w:ind w:left="360" w:hanging="360"/>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ascii="Times New Roman" w:hAnsi="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b/>
      <w:bCs/>
      <w:sz w:val="20"/>
      <w:szCs w:val="20"/>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Heading5Char">
    <w:name w:val="Heading 5 Char"/>
    <w:basedOn w:val="DefaultParagraphFont"/>
    <w:link w:val="Heading5"/>
    <w:rPr>
      <w:rFonts w:ascii="Arial" w:eastAsia="Times New Roman" w:hAnsi="Arial"/>
      <w:szCs w:val="20"/>
      <w:lang w:val="fr-FR" w:eastAsia="fr-FR"/>
    </w:rPr>
  </w:style>
  <w:style w:type="character" w:customStyle="1" w:styleId="Heading6Char">
    <w:name w:val="Heading 6 Char"/>
    <w:basedOn w:val="DefaultParagraphFont"/>
    <w:link w:val="Heading6"/>
    <w:rPr>
      <w:rFonts w:ascii="Arial" w:eastAsia="Times New Roman" w:hAnsi="Arial"/>
      <w:i/>
      <w:szCs w:val="20"/>
      <w:lang w:val="fr-FR" w:eastAsia="fr-FR"/>
    </w:rPr>
  </w:style>
  <w:style w:type="character" w:customStyle="1" w:styleId="Heading7Char">
    <w:name w:val="Heading 7 Char"/>
    <w:basedOn w:val="DefaultParagraphFont"/>
    <w:link w:val="Heading7"/>
    <w:rPr>
      <w:rFonts w:ascii="Arial" w:eastAsia="Times New Roman" w:hAnsi="Arial"/>
      <w:sz w:val="20"/>
      <w:szCs w:val="20"/>
      <w:lang w:val="fr-FR" w:eastAsia="fr-FR"/>
    </w:rPr>
  </w:style>
  <w:style w:type="character" w:customStyle="1" w:styleId="Heading8Char">
    <w:name w:val="Heading 8 Char"/>
    <w:basedOn w:val="DefaultParagraphFont"/>
    <w:link w:val="Heading8"/>
    <w:rPr>
      <w:rFonts w:ascii="Arial" w:eastAsia="Times New Roman" w:hAnsi="Arial"/>
      <w:i/>
      <w:sz w:val="20"/>
      <w:szCs w:val="20"/>
      <w:lang w:val="fr-FR" w:eastAsia="fr-FR"/>
    </w:rPr>
  </w:style>
  <w:style w:type="character" w:customStyle="1" w:styleId="Heading9Char">
    <w:name w:val="Heading 9 Char"/>
    <w:basedOn w:val="DefaultParagraphFont"/>
    <w:link w:val="Heading9"/>
    <w:rPr>
      <w:rFonts w:ascii="Arial" w:eastAsia="Times New Roman" w:hAnsi="Arial"/>
      <w:i/>
      <w:sz w:val="18"/>
      <w:szCs w:val="20"/>
      <w:lang w:val="fr-FR" w:eastAsia="fr-FR"/>
    </w:rPr>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5"/>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11"/>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13"/>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14"/>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6"/>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8"/>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12"/>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17"/>
      </w:numPr>
      <w:spacing w:before="0" w:after="0" w:line="360" w:lineRule="auto"/>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sz w:val="24"/>
      <w:szCs w:val="20"/>
      <w:lang w:val="fr-FR" w:eastAsia="fr-FR"/>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9"/>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10"/>
      </w:numPr>
      <w:spacing w:before="0" w:after="0" w:line="360" w:lineRule="auto"/>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sz w:val="24"/>
      <w:szCs w:val="20"/>
      <w:shd w:val="clear" w:color="auto" w:fill="000080"/>
      <w:lang w:val="fr-FR" w:eastAsia="fr-FR"/>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customStyle="1" w:styleId="ListBullet1">
    <w:name w:val="List Bullet 1"/>
    <w:basedOn w:val="Normal"/>
    <w:rPr>
      <w:rFonts w:eastAsia="Times New Roman"/>
      <w:szCs w:val="24"/>
    </w:rPr>
  </w:style>
  <w:style w:type="paragraph" w:customStyle="1" w:styleId="ListDash">
    <w:name w:val="List Dash"/>
    <w:basedOn w:val="Normal"/>
    <w:pPr>
      <w:numPr>
        <w:numId w:val="19"/>
      </w:numPr>
    </w:pPr>
    <w:rPr>
      <w:rFonts w:eastAsia="Times New Roman"/>
      <w:szCs w:val="24"/>
    </w:rPr>
  </w:style>
  <w:style w:type="paragraph" w:customStyle="1" w:styleId="ListDash1">
    <w:name w:val="List Dash 1"/>
    <w:basedOn w:val="Normal"/>
    <w:pPr>
      <w:numPr>
        <w:numId w:val="20"/>
      </w:numPr>
    </w:pPr>
    <w:rPr>
      <w:rFonts w:eastAsia="Times New Roman"/>
      <w:szCs w:val="24"/>
    </w:rPr>
  </w:style>
  <w:style w:type="paragraph" w:customStyle="1" w:styleId="ListDash2">
    <w:name w:val="List Dash 2"/>
    <w:basedOn w:val="Normal"/>
    <w:pPr>
      <w:numPr>
        <w:numId w:val="21"/>
      </w:numPr>
    </w:pPr>
    <w:rPr>
      <w:rFonts w:eastAsia="Times New Roman"/>
      <w:szCs w:val="24"/>
    </w:rPr>
  </w:style>
  <w:style w:type="paragraph" w:customStyle="1" w:styleId="ListDash3">
    <w:name w:val="List Dash 3"/>
    <w:basedOn w:val="Normal"/>
    <w:pPr>
      <w:numPr>
        <w:numId w:val="22"/>
      </w:numPr>
    </w:pPr>
    <w:rPr>
      <w:rFonts w:eastAsia="Times New Roman"/>
      <w:szCs w:val="24"/>
    </w:rPr>
  </w:style>
  <w:style w:type="paragraph" w:customStyle="1" w:styleId="ListDash4">
    <w:name w:val="List Dash 4"/>
    <w:basedOn w:val="Normal"/>
    <w:pPr>
      <w:numPr>
        <w:numId w:val="23"/>
      </w:numPr>
    </w:pPr>
    <w:rPr>
      <w:rFonts w:eastAsia="Times New Roman"/>
      <w:szCs w:val="24"/>
    </w:rPr>
  </w:style>
  <w:style w:type="paragraph" w:customStyle="1" w:styleId="ListNumber1">
    <w:name w:val="List Number 1"/>
    <w:basedOn w:val="Text1"/>
    <w:pPr>
      <w:numPr>
        <w:numId w:val="24"/>
      </w:numPr>
    </w:pPr>
    <w:rPr>
      <w:rFonts w:eastAsia="Times New Roman"/>
      <w:szCs w:val="24"/>
    </w:rPr>
  </w:style>
  <w:style w:type="paragraph" w:customStyle="1" w:styleId="ListNumberLevel2">
    <w:name w:val="List Number (Level 2)"/>
    <w:basedOn w:val="Normal"/>
    <w:pPr>
      <w:tabs>
        <w:tab w:val="num" w:pos="1417"/>
      </w:tabs>
      <w:ind w:left="1417" w:hanging="708"/>
    </w:pPr>
    <w:rPr>
      <w:rFonts w:eastAsia="Times New Roman"/>
      <w:szCs w:val="24"/>
    </w:rPr>
  </w:style>
  <w:style w:type="paragraph" w:customStyle="1" w:styleId="ListNumber1Level2">
    <w:name w:val="List Number 1 (Level 2)"/>
    <w:basedOn w:val="Text1"/>
    <w:pPr>
      <w:numPr>
        <w:ilvl w:val="1"/>
        <w:numId w:val="24"/>
      </w:numPr>
    </w:pPr>
    <w:rPr>
      <w:rFonts w:eastAsia="Times New Roman"/>
      <w:szCs w:val="24"/>
    </w:rPr>
  </w:style>
  <w:style w:type="paragraph" w:customStyle="1" w:styleId="ListNumber2Level2">
    <w:name w:val="List Number 2 (Level 2)"/>
    <w:basedOn w:val="Text2"/>
    <w:pPr>
      <w:tabs>
        <w:tab w:val="num" w:pos="2268"/>
      </w:tabs>
      <w:ind w:left="2268" w:hanging="708"/>
    </w:pPr>
    <w:rPr>
      <w:rFonts w:eastAsia="Times New Roman"/>
      <w:szCs w:val="24"/>
    </w:rPr>
  </w:style>
  <w:style w:type="paragraph" w:customStyle="1" w:styleId="ListNumber3Level2">
    <w:name w:val="List Number 3 (Level 2)"/>
    <w:basedOn w:val="Text3"/>
    <w:pPr>
      <w:tabs>
        <w:tab w:val="num" w:pos="2268"/>
      </w:tabs>
      <w:ind w:left="2268" w:hanging="708"/>
    </w:pPr>
    <w:rPr>
      <w:rFonts w:eastAsia="Times New Roman"/>
      <w:szCs w:val="24"/>
    </w:rPr>
  </w:style>
  <w:style w:type="paragraph" w:customStyle="1" w:styleId="ListNumber4Level2">
    <w:name w:val="List Number 4 (Level 2)"/>
    <w:basedOn w:val="Text4"/>
    <w:pPr>
      <w:tabs>
        <w:tab w:val="num" w:pos="2268"/>
      </w:tabs>
      <w:ind w:left="2268" w:hanging="708"/>
    </w:pPr>
    <w:rPr>
      <w:rFonts w:eastAsia="Times New Roman"/>
      <w:szCs w:val="24"/>
    </w:rPr>
  </w:style>
  <w:style w:type="paragraph" w:customStyle="1" w:styleId="ListNumberLevel3">
    <w:name w:val="List Number (Level 3)"/>
    <w:basedOn w:val="Normal"/>
    <w:pPr>
      <w:tabs>
        <w:tab w:val="num" w:pos="2126"/>
      </w:tabs>
      <w:ind w:left="2126" w:hanging="709"/>
    </w:pPr>
    <w:rPr>
      <w:rFonts w:eastAsia="Times New Roman"/>
      <w:szCs w:val="24"/>
    </w:rPr>
  </w:style>
  <w:style w:type="paragraph" w:customStyle="1" w:styleId="ListNumber1Level3">
    <w:name w:val="List Number 1 (Level 3)"/>
    <w:basedOn w:val="Text1"/>
    <w:pPr>
      <w:numPr>
        <w:ilvl w:val="2"/>
        <w:numId w:val="24"/>
      </w:numPr>
    </w:pPr>
    <w:rPr>
      <w:rFonts w:eastAsia="Times New Roman"/>
      <w:szCs w:val="24"/>
    </w:rPr>
  </w:style>
  <w:style w:type="paragraph" w:customStyle="1" w:styleId="ListNumber2Level3">
    <w:name w:val="List Number 2 (Level 3)"/>
    <w:basedOn w:val="Text2"/>
    <w:pPr>
      <w:tabs>
        <w:tab w:val="num" w:pos="2977"/>
      </w:tabs>
      <w:ind w:left="2977" w:hanging="709"/>
    </w:pPr>
    <w:rPr>
      <w:rFonts w:eastAsia="Times New Roman"/>
      <w:szCs w:val="24"/>
    </w:rPr>
  </w:style>
  <w:style w:type="paragraph" w:customStyle="1" w:styleId="ListNumber3Level3">
    <w:name w:val="List Number 3 (Level 3)"/>
    <w:basedOn w:val="Text3"/>
    <w:pPr>
      <w:tabs>
        <w:tab w:val="num" w:pos="2977"/>
      </w:tabs>
      <w:ind w:left="2977" w:hanging="709"/>
    </w:pPr>
    <w:rPr>
      <w:rFonts w:eastAsia="Times New Roman"/>
      <w:szCs w:val="24"/>
    </w:rPr>
  </w:style>
  <w:style w:type="paragraph" w:customStyle="1" w:styleId="ListNumber4Level3">
    <w:name w:val="List Number 4 (Level 3)"/>
    <w:basedOn w:val="Text4"/>
    <w:pPr>
      <w:tabs>
        <w:tab w:val="num" w:pos="2977"/>
      </w:tabs>
      <w:ind w:left="2977" w:hanging="709"/>
    </w:pPr>
    <w:rPr>
      <w:rFonts w:eastAsia="Times New Roman"/>
      <w:szCs w:val="24"/>
    </w:rPr>
  </w:style>
  <w:style w:type="paragraph" w:customStyle="1" w:styleId="ListNumberLevel4">
    <w:name w:val="List Number (Level 4)"/>
    <w:basedOn w:val="Normal"/>
    <w:pPr>
      <w:tabs>
        <w:tab w:val="num" w:pos="2835"/>
      </w:tabs>
      <w:ind w:left="2835" w:hanging="709"/>
    </w:pPr>
    <w:rPr>
      <w:rFonts w:eastAsia="Times New Roman"/>
      <w:szCs w:val="24"/>
    </w:rPr>
  </w:style>
  <w:style w:type="paragraph" w:customStyle="1" w:styleId="ListNumber1Level4">
    <w:name w:val="List Number 1 (Level 4)"/>
    <w:basedOn w:val="Text1"/>
    <w:pPr>
      <w:numPr>
        <w:ilvl w:val="3"/>
        <w:numId w:val="24"/>
      </w:numPr>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spacing w:before="0" w:after="240"/>
      <w:ind w:left="5103"/>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ListBullet5">
    <w:name w:val="List Bullet 5"/>
    <w:basedOn w:val="Normal"/>
    <w:autoRedefine/>
    <w:pPr>
      <w:tabs>
        <w:tab w:val="num" w:pos="1134"/>
        <w:tab w:val="num" w:pos="1492"/>
        <w:tab w:val="num" w:pos="2551"/>
      </w:tabs>
      <w:spacing w:before="0" w:after="240"/>
      <w:ind w:left="1492" w:hanging="360"/>
    </w:pPr>
    <w:rPr>
      <w:rFonts w:eastAsia="Times New Roman"/>
      <w:szCs w:val="20"/>
    </w:rPr>
  </w:style>
  <w:style w:type="paragraph" w:styleId="ListNumber5">
    <w:name w:val="List Number 5"/>
    <w:basedOn w:val="Normal"/>
    <w:pPr>
      <w:tabs>
        <w:tab w:val="num" w:pos="1134"/>
        <w:tab w:val="num" w:pos="1492"/>
        <w:tab w:val="num" w:pos="3118"/>
      </w:tabs>
      <w:spacing w:before="0" w:after="240"/>
      <w:ind w:left="1492" w:hanging="360"/>
    </w:pPr>
    <w:rPr>
      <w:rFonts w:eastAsia="Times New Roman"/>
      <w:szCs w:val="20"/>
    </w:rPr>
  </w:style>
  <w:style w:type="table" w:styleId="TableGrid">
    <w:name w:val="Table Grid"/>
    <w:basedOn w:val="TableNormal"/>
    <w:pPr>
      <w:spacing w:before="120" w:after="120" w:line="24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Titrearticle"/>
    <w:rPr>
      <w:rFonts w:eastAsia="Times New Roman"/>
      <w:szCs w:val="24"/>
    </w:rPr>
  </w:style>
  <w:style w:type="paragraph" w:styleId="BlockText">
    <w:name w:val="Block Text"/>
    <w:basedOn w:val="Normal"/>
    <w:pPr>
      <w:ind w:left="1440" w:right="1440"/>
    </w:pPr>
    <w:rPr>
      <w:rFonts w:eastAsia="Times New Roman"/>
      <w:szCs w:val="24"/>
    </w:rPr>
  </w:style>
  <w:style w:type="paragraph" w:styleId="BodyText">
    <w:name w:val="Body Text"/>
    <w:basedOn w:val="Normal"/>
    <w:link w:val="BodyTextChar"/>
    <w:rPr>
      <w:rFonts w:eastAsia="Times New Roman"/>
      <w:szCs w:val="24"/>
    </w:rPr>
  </w:style>
  <w:style w:type="character" w:customStyle="1" w:styleId="BodyTextChar">
    <w:name w:val="Body Text Char"/>
    <w:basedOn w:val="DefaultParagraphFont"/>
    <w:link w:val="BodyText"/>
    <w:rPr>
      <w:rFonts w:ascii="Times New Roman" w:eastAsia="Times New Roman" w:hAnsi="Times New Roman"/>
      <w:sz w:val="24"/>
      <w:szCs w:val="24"/>
      <w:lang w:val="fr-FR" w:eastAsia="fr-FR"/>
    </w:rPr>
  </w:style>
  <w:style w:type="paragraph" w:styleId="BodyText2">
    <w:name w:val="Body Text 2"/>
    <w:basedOn w:val="Normal"/>
    <w:link w:val="BodyText2Char"/>
    <w:pPr>
      <w:spacing w:line="480" w:lineRule="auto"/>
    </w:pPr>
    <w:rPr>
      <w:rFonts w:eastAsia="Times New Roman"/>
      <w:szCs w:val="24"/>
    </w:rPr>
  </w:style>
  <w:style w:type="character" w:customStyle="1" w:styleId="BodyText2Char">
    <w:name w:val="Body Text 2 Char"/>
    <w:basedOn w:val="DefaultParagraphFont"/>
    <w:link w:val="BodyText2"/>
    <w:rPr>
      <w:rFonts w:ascii="Times New Roman" w:eastAsia="Times New Roman" w:hAnsi="Times New Roman"/>
      <w:sz w:val="24"/>
      <w:szCs w:val="24"/>
      <w:lang w:val="fr-FR" w:eastAsia="fr-FR"/>
    </w:rPr>
  </w:style>
  <w:style w:type="paragraph" w:styleId="BodyText3">
    <w:name w:val="Body Text 3"/>
    <w:basedOn w:val="Normal"/>
    <w:link w:val="BodyText3Char"/>
    <w:rPr>
      <w:rFonts w:eastAsia="Times New Roman"/>
      <w:sz w:val="16"/>
      <w:szCs w:val="16"/>
    </w:rPr>
  </w:style>
  <w:style w:type="character" w:customStyle="1" w:styleId="BodyText3Char">
    <w:name w:val="Body Text 3 Char"/>
    <w:basedOn w:val="DefaultParagraphFont"/>
    <w:link w:val="BodyText3"/>
    <w:rPr>
      <w:rFonts w:ascii="Times New Roman" w:eastAsia="Times New Roman" w:hAnsi="Times New Roman"/>
      <w:sz w:val="16"/>
      <w:szCs w:val="16"/>
      <w:lang w:val="fr-FR" w:eastAsia="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sz w:val="24"/>
      <w:szCs w:val="24"/>
      <w:lang w:val="fr-FR" w:eastAsia="fr-FR"/>
    </w:rPr>
  </w:style>
  <w:style w:type="paragraph" w:styleId="BodyTextIndent">
    <w:name w:val="Body Text Indent"/>
    <w:basedOn w:val="Normal"/>
    <w:link w:val="BodyTextIndentChar"/>
    <w:pPr>
      <w:ind w:left="283"/>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sz w:val="24"/>
      <w:szCs w:val="24"/>
      <w:lang w:val="fr-FR" w:eastAsia="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sz w:val="24"/>
      <w:szCs w:val="24"/>
      <w:lang w:val="fr-FR" w:eastAsia="fr-FR"/>
    </w:rPr>
  </w:style>
  <w:style w:type="paragraph" w:styleId="BodyTextIndent2">
    <w:name w:val="Body Text Indent 2"/>
    <w:basedOn w:val="Normal"/>
    <w:link w:val="BodyTextIndent2Char"/>
    <w:pPr>
      <w:spacing w:line="480" w:lineRule="auto"/>
      <w:ind w:left="283"/>
    </w:pPr>
    <w:rPr>
      <w:rFonts w:eastAsia="Times New Roman"/>
      <w:szCs w:val="24"/>
    </w:rPr>
  </w:style>
  <w:style w:type="character" w:customStyle="1" w:styleId="BodyTextIndent2Char">
    <w:name w:val="Body Text Indent 2 Char"/>
    <w:basedOn w:val="DefaultParagraphFont"/>
    <w:link w:val="BodyTextIndent2"/>
    <w:rPr>
      <w:rFonts w:ascii="Times New Roman" w:eastAsia="Times New Roman" w:hAnsi="Times New Roman"/>
      <w:sz w:val="24"/>
      <w:szCs w:val="24"/>
      <w:lang w:val="fr-FR" w:eastAsia="fr-FR"/>
    </w:rPr>
  </w:style>
  <w:style w:type="paragraph" w:styleId="BodyTextIndent3">
    <w:name w:val="Body Text Indent 3"/>
    <w:basedOn w:val="Normal"/>
    <w:link w:val="BodyTextIndent3Char"/>
    <w:pPr>
      <w:ind w:left="283"/>
    </w:pPr>
    <w:rPr>
      <w:rFonts w:eastAsia="Times New Roman"/>
      <w:sz w:val="16"/>
      <w:szCs w:val="16"/>
    </w:rPr>
  </w:style>
  <w:style w:type="character" w:customStyle="1" w:styleId="BodyTextIndent3Char">
    <w:name w:val="Body Text Indent 3 Char"/>
    <w:basedOn w:val="DefaultParagraphFont"/>
    <w:link w:val="BodyTextIndent3"/>
    <w:rPr>
      <w:rFonts w:ascii="Times New Roman" w:eastAsia="Times New Roman" w:hAnsi="Times New Roman"/>
      <w:sz w:val="16"/>
      <w:szCs w:val="16"/>
      <w:lang w:val="fr-FR" w:eastAsia="fr-FR"/>
    </w:rPr>
  </w:style>
  <w:style w:type="paragraph" w:styleId="Closing">
    <w:name w:val="Closing"/>
    <w:basedOn w:val="Normal"/>
    <w:link w:val="ClosingChar"/>
    <w:pPr>
      <w:ind w:left="4252"/>
    </w:pPr>
    <w:rPr>
      <w:rFonts w:eastAsia="Times New Roman"/>
      <w:szCs w:val="24"/>
    </w:rPr>
  </w:style>
  <w:style w:type="character" w:customStyle="1" w:styleId="ClosingChar">
    <w:name w:val="Closing Char"/>
    <w:basedOn w:val="DefaultParagraphFont"/>
    <w:link w:val="Closing"/>
    <w:rPr>
      <w:rFonts w:ascii="Times New Roman" w:eastAsia="Times New Roman" w:hAnsi="Times New Roman"/>
      <w:sz w:val="24"/>
      <w:szCs w:val="24"/>
      <w:lang w:val="fr-FR" w:eastAsia="fr-FR"/>
    </w:rPr>
  </w:style>
  <w:style w:type="paragraph" w:styleId="Date">
    <w:name w:val="Date"/>
    <w:basedOn w:val="Normal"/>
    <w:next w:val="Normal"/>
    <w:link w:val="DateChar"/>
    <w:rPr>
      <w:rFonts w:eastAsia="Times New Roman"/>
      <w:szCs w:val="24"/>
    </w:rPr>
  </w:style>
  <w:style w:type="character" w:customStyle="1" w:styleId="DateChar">
    <w:name w:val="Date Char"/>
    <w:basedOn w:val="DefaultParagraphFont"/>
    <w:link w:val="Date"/>
    <w:rPr>
      <w:rFonts w:ascii="Times New Roman" w:eastAsia="Times New Roman" w:hAnsi="Times New Roman"/>
      <w:sz w:val="24"/>
      <w:szCs w:val="24"/>
      <w:lang w:val="fr-FR" w:eastAsia="fr-FR"/>
    </w:rPr>
  </w:style>
  <w:style w:type="paragraph" w:styleId="E-mailSignature">
    <w:name w:val="E-mail Signature"/>
    <w:basedOn w:val="Normal"/>
    <w:link w:val="E-mailSignatureChar"/>
    <w:semiHidden/>
    <w:rPr>
      <w:rFonts w:eastAsia="Times New Roman"/>
      <w:szCs w:val="24"/>
    </w:rPr>
  </w:style>
  <w:style w:type="character" w:customStyle="1" w:styleId="E-mailSignatureChar">
    <w:name w:val="E-mail Signature Char"/>
    <w:basedOn w:val="DefaultParagraphFont"/>
    <w:link w:val="E-mailSignature"/>
    <w:semiHidden/>
    <w:rPr>
      <w:rFonts w:ascii="Times New Roman" w:eastAsia="Times New Roman" w:hAnsi="Times New Roman"/>
      <w:sz w:val="24"/>
      <w:szCs w:val="24"/>
      <w:lang w:eastAsia="fr-FR"/>
    </w:rPr>
  </w:style>
  <w:style w:type="character" w:styleId="Emphasis">
    <w:name w:val="Emphasis"/>
    <w:uiPriority w:val="20"/>
    <w:qFormat/>
    <w:rPr>
      <w:rFonts w:cs="Times New Roman"/>
      <w:i/>
      <w:iCs/>
    </w:rPr>
  </w:style>
  <w:style w:type="paragraph" w:styleId="EnvelopeAddress">
    <w:name w:val="envelope address"/>
    <w:basedOn w:val="Normal"/>
    <w:pPr>
      <w:framePr w:w="7920" w:h="1980" w:hRule="exact" w:hSpace="180" w:wrap="auto" w:hAnchor="page" w:xAlign="center" w:yAlign="bottom"/>
      <w:ind w:left="2880"/>
    </w:pPr>
    <w:rPr>
      <w:rFonts w:ascii="Arial" w:eastAsia="Times New Roman" w:hAnsi="Arial" w:cs="Arial"/>
      <w:szCs w:val="24"/>
    </w:rPr>
  </w:style>
  <w:style w:type="paragraph" w:styleId="EnvelopeReturn">
    <w:name w:val="envelope return"/>
    <w:basedOn w:val="Normal"/>
    <w:rPr>
      <w:rFonts w:ascii="Arial" w:eastAsia="Times New Roman" w:hAnsi="Arial" w:cs="Arial"/>
      <w:sz w:val="20"/>
      <w:szCs w:val="20"/>
    </w:rPr>
  </w:style>
  <w:style w:type="character" w:styleId="HTMLAcronym">
    <w:name w:val="HTML Acronym"/>
    <w:semiHidden/>
    <w:rPr>
      <w:rFonts w:cs="Times New Roman"/>
    </w:rPr>
  </w:style>
  <w:style w:type="paragraph" w:styleId="HTMLAddress">
    <w:name w:val="HTML Address"/>
    <w:basedOn w:val="Normal"/>
    <w:link w:val="HTMLAddressChar"/>
    <w:semiHidden/>
    <w:rPr>
      <w:rFonts w:eastAsia="Times New Roman"/>
      <w:i/>
      <w:iCs/>
      <w:szCs w:val="24"/>
    </w:rPr>
  </w:style>
  <w:style w:type="character" w:customStyle="1" w:styleId="HTMLAddressChar">
    <w:name w:val="HTML Address Char"/>
    <w:basedOn w:val="DefaultParagraphFont"/>
    <w:link w:val="HTMLAddress"/>
    <w:semiHidden/>
    <w:rPr>
      <w:rFonts w:ascii="Times New Roman" w:eastAsia="Times New Roman" w:hAnsi="Times New Roman"/>
      <w:i/>
      <w:iCs/>
      <w:sz w:val="24"/>
      <w:szCs w:val="24"/>
      <w:lang w:eastAsia="fr-FR"/>
    </w:rPr>
  </w:style>
  <w:style w:type="character" w:styleId="HTMLCite">
    <w:name w:val="HTML Cite"/>
    <w:semiHidden/>
    <w:rPr>
      <w:rFonts w:cs="Times New Roman"/>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rFonts w:cs="Times New Roman"/>
      <w:i/>
      <w:iCs/>
    </w:rPr>
  </w:style>
  <w:style w:type="character" w:styleId="HTMLKeyboard">
    <w:name w:val="HTML Keyboard"/>
    <w:semiHidden/>
    <w:rPr>
      <w:rFonts w:ascii="Courier New" w:hAnsi="Courier New" w:cs="Courier New"/>
      <w:sz w:val="20"/>
      <w:szCs w:val="20"/>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rFonts w:cs="Times New Roman"/>
      <w:i/>
      <w:iCs/>
    </w:rPr>
  </w:style>
  <w:style w:type="character" w:styleId="LineNumber">
    <w:name w:val="line number"/>
    <w:semiHidden/>
    <w:rPr>
      <w:rFonts w:cs="Times New Roman"/>
    </w:rPr>
  </w:style>
  <w:style w:type="paragraph" w:styleId="List">
    <w:name w:val="List"/>
    <w:basedOn w:val="Normal"/>
    <w:pPr>
      <w:ind w:left="283" w:hanging="283"/>
    </w:pPr>
    <w:rPr>
      <w:rFonts w:eastAsia="Times New Roman"/>
      <w:szCs w:val="24"/>
    </w:rPr>
  </w:style>
  <w:style w:type="paragraph" w:styleId="List2">
    <w:name w:val="List 2"/>
    <w:basedOn w:val="Normal"/>
    <w:pPr>
      <w:ind w:left="566" w:hanging="283"/>
    </w:pPr>
    <w:rPr>
      <w:rFonts w:eastAsia="Times New Roman"/>
      <w:szCs w:val="24"/>
    </w:rPr>
  </w:style>
  <w:style w:type="paragraph" w:styleId="List3">
    <w:name w:val="List 3"/>
    <w:basedOn w:val="Normal"/>
    <w:pPr>
      <w:ind w:left="849" w:hanging="283"/>
    </w:pPr>
    <w:rPr>
      <w:rFonts w:eastAsia="Times New Roman"/>
      <w:szCs w:val="24"/>
    </w:rPr>
  </w:style>
  <w:style w:type="paragraph" w:styleId="List4">
    <w:name w:val="List 4"/>
    <w:basedOn w:val="Normal"/>
    <w:pPr>
      <w:ind w:left="1132" w:hanging="283"/>
    </w:pPr>
    <w:rPr>
      <w:rFonts w:eastAsia="Times New Roman"/>
      <w:szCs w:val="24"/>
    </w:rPr>
  </w:style>
  <w:style w:type="paragraph" w:styleId="List5">
    <w:name w:val="List 5"/>
    <w:basedOn w:val="Normal"/>
    <w:pPr>
      <w:ind w:left="1415" w:hanging="283"/>
    </w:pPr>
    <w:rPr>
      <w:rFonts w:eastAsia="Times New Roman"/>
      <w:szCs w:val="24"/>
    </w:rPr>
  </w:style>
  <w:style w:type="paragraph" w:styleId="ListContinue">
    <w:name w:val="List Continue"/>
    <w:basedOn w:val="Normal"/>
    <w:pPr>
      <w:ind w:left="283"/>
    </w:pPr>
    <w:rPr>
      <w:rFonts w:eastAsia="Times New Roman"/>
      <w:szCs w:val="24"/>
    </w:rPr>
  </w:style>
  <w:style w:type="paragraph" w:styleId="ListContinue2">
    <w:name w:val="List Continue 2"/>
    <w:basedOn w:val="Normal"/>
    <w:pPr>
      <w:ind w:left="566"/>
    </w:pPr>
    <w:rPr>
      <w:rFonts w:eastAsia="Times New Roman"/>
      <w:szCs w:val="24"/>
    </w:rPr>
  </w:style>
  <w:style w:type="paragraph" w:styleId="ListContinue3">
    <w:name w:val="List Continue 3"/>
    <w:basedOn w:val="Normal"/>
    <w:pPr>
      <w:ind w:left="849"/>
    </w:pPr>
    <w:rPr>
      <w:rFonts w:eastAsia="Times New Roman"/>
      <w:szCs w:val="24"/>
    </w:rPr>
  </w:style>
  <w:style w:type="paragraph" w:styleId="ListContinue4">
    <w:name w:val="List Continue 4"/>
    <w:basedOn w:val="Normal"/>
    <w:pPr>
      <w:ind w:left="1132"/>
    </w:pPr>
    <w:rPr>
      <w:rFonts w:eastAsia="Times New Roman"/>
      <w:szCs w:val="24"/>
    </w:rPr>
  </w:style>
  <w:style w:type="paragraph" w:styleId="ListContinue5">
    <w:name w:val="List Continue 5"/>
    <w:basedOn w:val="Normal"/>
    <w:pPr>
      <w:ind w:left="1415"/>
    </w:pPr>
    <w:rPr>
      <w:rFonts w:eastAsia="Times New Roman"/>
      <w:szCs w:val="24"/>
    </w:rPr>
  </w:style>
  <w:style w:type="character" w:styleId="Strong">
    <w:name w:val="Strong"/>
    <w:qFormat/>
    <w:rPr>
      <w:rFonts w:cs="Times New Roman"/>
      <w:b/>
      <w:bCs/>
    </w:rPr>
  </w:style>
  <w:style w:type="paragraph" w:styleId="Subtitle">
    <w:name w:val="Subtitle"/>
    <w:basedOn w:val="Normal"/>
    <w:link w:val="SubtitleChar"/>
    <w:qFormat/>
    <w:pPr>
      <w:spacing w:after="60"/>
      <w:jc w:val="center"/>
      <w:outlineLvl w:val="1"/>
    </w:pPr>
    <w:rPr>
      <w:rFonts w:ascii="Arial" w:eastAsia="Times New Roman" w:hAnsi="Arial"/>
      <w:szCs w:val="24"/>
    </w:rPr>
  </w:style>
  <w:style w:type="character" w:customStyle="1" w:styleId="SubtitleChar">
    <w:name w:val="Subtitle Char"/>
    <w:basedOn w:val="DefaultParagraphFont"/>
    <w:link w:val="Subtitle"/>
    <w:rPr>
      <w:rFonts w:ascii="Arial" w:eastAsia="Times New Roman" w:hAnsi="Arial"/>
      <w:sz w:val="24"/>
      <w:szCs w:val="24"/>
      <w:lang w:val="fr-FR" w:eastAsia="fr-FR"/>
    </w:rPr>
  </w:style>
  <w:style w:type="table" w:styleId="Table3Deffects1">
    <w:name w:val="Table 3D effects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before="120" w:after="120" w:line="240" w:lineRule="auto"/>
      <w:jc w:val="both"/>
    </w:pPr>
    <w:rPr>
      <w:rFonts w:ascii="Times New Roman" w:eastAsia="Times New Roman" w:hAnsi="Times New Roman"/>
      <w:color w:val="000080"/>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3">
    <w:name w:val="Table Colorful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pPr>
      <w:spacing w:before="120" w:after="120" w:line="24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spacing w:before="120" w:after="120" w:line="240" w:lineRule="auto"/>
      <w:jc w:val="both"/>
    </w:pPr>
    <w:rPr>
      <w:rFonts w:ascii="Times New Roman" w:eastAsia="Times New Roman" w:hAnsi="Times New Roman"/>
      <w:sz w:val="20"/>
      <w:szCs w:val="20"/>
      <w:lang w:val="en-GB" w:eastAsia="en-GB"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Style2">
    <w:name w:val="Style2"/>
    <w:basedOn w:val="Heading3"/>
    <w:next w:val="Normal"/>
    <w:pPr>
      <w:numPr>
        <w:ilvl w:val="0"/>
        <w:numId w:val="0"/>
      </w:numPr>
      <w:jc w:val="center"/>
    </w:pPr>
    <w:rPr>
      <w:rFonts w:eastAsia="Times New Roman"/>
      <w:b/>
      <w:szCs w:val="26"/>
    </w:rPr>
  </w:style>
  <w:style w:type="paragraph" w:customStyle="1" w:styleId="Style3">
    <w:name w:val="Style3"/>
    <w:basedOn w:val="Heading3"/>
    <w:next w:val="Style1"/>
    <w:pPr>
      <w:numPr>
        <w:ilvl w:val="0"/>
        <w:numId w:val="0"/>
      </w:numPr>
      <w:tabs>
        <w:tab w:val="num" w:pos="360"/>
      </w:tabs>
      <w:ind w:left="360" w:hanging="360"/>
    </w:pPr>
    <w:rPr>
      <w:rFonts w:eastAsia="Times New Roman"/>
      <w:szCs w:val="28"/>
    </w:rPr>
  </w:style>
  <w:style w:type="numbering" w:styleId="1ai">
    <w:name w:val="Outline List 1"/>
    <w:basedOn w:val="NoList"/>
    <w:pPr>
      <w:numPr>
        <w:numId w:val="26"/>
      </w:numPr>
    </w:pPr>
  </w:style>
  <w:style w:type="numbering" w:styleId="111111">
    <w:name w:val="Outline List 2"/>
    <w:basedOn w:val="NoList"/>
    <w:pPr>
      <w:numPr>
        <w:numId w:val="25"/>
      </w:numPr>
    </w:pPr>
  </w:style>
  <w:style w:type="paragraph" w:customStyle="1" w:styleId="Prlimin">
    <w:name w:val="Prélimin"/>
    <w:basedOn w:val="Prliminairetype"/>
  </w:style>
  <w:style w:type="paragraph" w:customStyle="1" w:styleId="Default">
    <w:name w:val="Default"/>
    <w:pPr>
      <w:autoSpaceDE w:val="0"/>
      <w:autoSpaceDN w:val="0"/>
      <w:adjustRightInd w:val="0"/>
      <w:spacing w:after="0" w:line="240" w:lineRule="auto"/>
    </w:pPr>
    <w:rPr>
      <w:rFonts w:ascii="EUAlbertina" w:eastAsia="MS Mincho" w:hAnsi="EUAlbertina" w:cs="EUAlbertina"/>
      <w:color w:val="000000"/>
      <w:sz w:val="24"/>
      <w:szCs w:val="24"/>
    </w:rPr>
  </w:style>
  <w:style w:type="paragraph" w:customStyle="1" w:styleId="ColorfulList-Accent11">
    <w:name w:val="Colorful List - Accent 11"/>
    <w:basedOn w:val="Normal"/>
    <w:uiPriority w:val="34"/>
    <w:qFormat/>
    <w:pPr>
      <w:spacing w:before="0" w:after="200" w:line="276" w:lineRule="auto"/>
      <w:ind w:left="720"/>
      <w:contextualSpacing/>
      <w:jc w:val="left"/>
    </w:pPr>
    <w:rPr>
      <w:rFonts w:ascii="Calibri" w:eastAsia="MS Mincho" w:hAnsi="Calibri"/>
      <w:sz w:val="22"/>
    </w:rPr>
  </w:style>
  <w:style w:type="paragraph" w:styleId="NormalWeb">
    <w:name w:val="Normal (Web)"/>
    <w:basedOn w:val="Normal"/>
    <w:uiPriority w:val="99"/>
    <w:pPr>
      <w:spacing w:before="100" w:beforeAutospacing="1" w:after="100" w:afterAutospacing="1"/>
      <w:jc w:val="left"/>
    </w:pPr>
    <w:rPr>
      <w:rFonts w:eastAsia="Times New Roman"/>
      <w:szCs w:val="24"/>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sz w:val="24"/>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sz w:val="24"/>
      <w:szCs w:val="20"/>
      <w:lang w:val="fr-FR" w:eastAsia="fr-FR"/>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Index1">
    <w:name w:val="index 1"/>
    <w:basedOn w:val="Normal"/>
    <w:next w:val="Normal"/>
    <w:autoRedefine/>
    <w:pPr>
      <w:spacing w:before="0" w:after="240"/>
      <w:ind w:left="240" w:hanging="240"/>
    </w:pPr>
    <w:rPr>
      <w:rFonts w:eastAsia="Times New Roman"/>
      <w:szCs w:val="20"/>
    </w:rPr>
  </w:style>
  <w:style w:type="paragraph" w:styleId="Index2">
    <w:name w:val="index 2"/>
    <w:basedOn w:val="Normal"/>
    <w:next w:val="Normal"/>
    <w:autoRedefine/>
    <w:pPr>
      <w:spacing w:before="0" w:after="240"/>
      <w:ind w:left="480" w:hanging="240"/>
    </w:pPr>
    <w:rPr>
      <w:rFonts w:eastAsia="Times New Roman"/>
      <w:szCs w:val="20"/>
    </w:rPr>
  </w:style>
  <w:style w:type="paragraph" w:styleId="Index3">
    <w:name w:val="index 3"/>
    <w:basedOn w:val="Normal"/>
    <w:next w:val="Normal"/>
    <w:autoRedefine/>
    <w:pPr>
      <w:spacing w:before="0" w:after="240"/>
      <w:ind w:left="720" w:hanging="240"/>
    </w:pPr>
    <w:rPr>
      <w:rFonts w:eastAsia="Times New Roman"/>
      <w:szCs w:val="20"/>
    </w:rPr>
  </w:style>
  <w:style w:type="paragraph" w:styleId="Index4">
    <w:name w:val="index 4"/>
    <w:basedOn w:val="Normal"/>
    <w:next w:val="Normal"/>
    <w:autoRedefine/>
    <w:pPr>
      <w:spacing w:before="0" w:after="240"/>
      <w:ind w:left="960" w:hanging="240"/>
    </w:pPr>
    <w:rPr>
      <w:rFonts w:eastAsia="Times New Roman"/>
      <w:szCs w:val="20"/>
    </w:rPr>
  </w:style>
  <w:style w:type="paragraph" w:styleId="Index5">
    <w:name w:val="index 5"/>
    <w:basedOn w:val="Normal"/>
    <w:next w:val="Normal"/>
    <w:autoRedefine/>
    <w:pPr>
      <w:spacing w:before="0" w:after="240"/>
      <w:ind w:left="1200" w:hanging="240"/>
    </w:pPr>
    <w:rPr>
      <w:rFonts w:eastAsia="Times New Roman"/>
      <w:szCs w:val="20"/>
    </w:rPr>
  </w:style>
  <w:style w:type="paragraph" w:styleId="Index6">
    <w:name w:val="index 6"/>
    <w:basedOn w:val="Normal"/>
    <w:next w:val="Normal"/>
    <w:autoRedefine/>
    <w:pPr>
      <w:spacing w:before="0" w:after="240"/>
      <w:ind w:left="1440" w:hanging="240"/>
    </w:pPr>
    <w:rPr>
      <w:rFonts w:eastAsia="Times New Roman"/>
      <w:szCs w:val="20"/>
    </w:rPr>
  </w:style>
  <w:style w:type="paragraph" w:styleId="Index7">
    <w:name w:val="index 7"/>
    <w:basedOn w:val="Normal"/>
    <w:next w:val="Normal"/>
    <w:autoRedefine/>
    <w:pPr>
      <w:spacing w:before="0" w:after="240"/>
      <w:ind w:left="1680" w:hanging="240"/>
    </w:pPr>
    <w:rPr>
      <w:rFonts w:eastAsia="Times New Roman"/>
      <w:szCs w:val="20"/>
    </w:rPr>
  </w:style>
  <w:style w:type="paragraph" w:styleId="Index8">
    <w:name w:val="index 8"/>
    <w:basedOn w:val="Normal"/>
    <w:next w:val="Normal"/>
    <w:autoRedefine/>
    <w:pPr>
      <w:spacing w:before="0" w:after="240"/>
      <w:ind w:left="1920" w:hanging="240"/>
    </w:pPr>
    <w:rPr>
      <w:rFonts w:eastAsia="Times New Roman"/>
      <w:szCs w:val="20"/>
    </w:rPr>
  </w:style>
  <w:style w:type="paragraph" w:styleId="Index9">
    <w:name w:val="index 9"/>
    <w:basedOn w:val="Normal"/>
    <w:next w:val="Normal"/>
    <w:autoRedefine/>
    <w:pPr>
      <w:spacing w:before="0" w:after="240"/>
      <w:ind w:left="2160" w:hanging="240"/>
    </w:pPr>
    <w:rPr>
      <w:rFonts w:eastAsia="Times New Roman"/>
      <w:szCs w:val="20"/>
    </w:rPr>
  </w:style>
  <w:style w:type="paragraph" w:styleId="IndexHeading">
    <w:name w:val="index heading"/>
    <w:basedOn w:val="Normal"/>
    <w:next w:val="Index1"/>
    <w:pPr>
      <w:spacing w:before="0" w:after="240"/>
    </w:pPr>
    <w:rPr>
      <w:rFonts w:ascii="Arial" w:eastAsia="Times New Roman" w:hAnsi="Arial"/>
      <w:b/>
      <w:szCs w:val="2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sz w:val="20"/>
      <w:szCs w:val="20"/>
    </w:rPr>
  </w:style>
  <w:style w:type="character" w:customStyle="1" w:styleId="MacroTextChar">
    <w:name w:val="Macro Text Char"/>
    <w:basedOn w:val="DefaultParagraphFont"/>
    <w:link w:val="MacroText"/>
    <w:rPr>
      <w:rFonts w:ascii="Courier New" w:eastAsia="Times New Roman" w:hAnsi="Courier New"/>
      <w:sz w:val="20"/>
      <w:szCs w:val="20"/>
      <w:lang w:val="fr-FR" w:eastAsia="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Cambria" w:eastAsia="Times New Roman" w:hAnsi="Cambria"/>
      <w:szCs w:val="24"/>
    </w:rPr>
  </w:style>
  <w:style w:type="character" w:customStyle="1" w:styleId="MessageHeaderChar">
    <w:name w:val="Message Header Char"/>
    <w:basedOn w:val="DefaultParagraphFont"/>
    <w:link w:val="MessageHeader"/>
    <w:rPr>
      <w:rFonts w:ascii="Cambria" w:eastAsia="Times New Roman" w:hAnsi="Cambria"/>
      <w:sz w:val="24"/>
      <w:szCs w:val="24"/>
      <w:shd w:val="pct20" w:color="auto" w:fill="auto"/>
      <w:lang w:val="fr-FR" w:eastAsia="fr-FR"/>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sz w:val="24"/>
      <w:szCs w:val="20"/>
      <w:lang w:val="fr-FR" w:eastAsia="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sz w:val="20"/>
      <w:szCs w:val="20"/>
      <w:lang w:val="fr-FR" w:eastAsia="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sz w:val="24"/>
      <w:szCs w:val="20"/>
      <w:lang w:val="fr-FR" w:eastAsia="fr-FR"/>
    </w:rPr>
  </w:style>
  <w:style w:type="paragraph" w:styleId="TableofAuthorities">
    <w:name w:val="table of authorities"/>
    <w:basedOn w:val="Normal"/>
    <w:next w:val="Normal"/>
    <w:pPr>
      <w:spacing w:before="0" w:after="240"/>
      <w:ind w:left="240" w:hanging="240"/>
    </w:pPr>
    <w:rPr>
      <w:rFonts w:eastAsia="Times New Roman"/>
      <w:szCs w:val="20"/>
    </w:rPr>
  </w:style>
  <w:style w:type="paragraph" w:styleId="Title">
    <w:name w:val="Title"/>
    <w:basedOn w:val="Normal"/>
    <w:link w:val="TitleChar"/>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Pr>
      <w:rFonts w:ascii="Cambria" w:eastAsia="Times New Roman" w:hAnsi="Cambria"/>
      <w:b/>
      <w:bCs/>
      <w:kern w:val="28"/>
      <w:sz w:val="32"/>
      <w:szCs w:val="32"/>
      <w:lang w:val="fr-FR" w:eastAsia="fr-FR"/>
    </w:rPr>
  </w:style>
  <w:style w:type="paragraph" w:styleId="TOAHeading">
    <w:name w:val="toa heading"/>
    <w:basedOn w:val="Normal"/>
    <w:next w:val="Normal"/>
    <w:pPr>
      <w:spacing w:after="240"/>
    </w:pPr>
    <w:rPr>
      <w:rFonts w:ascii="Arial" w:eastAsia="Times New Roman" w:hAnsi="Arial"/>
      <w:b/>
      <w:szCs w:val="20"/>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character" w:styleId="BookTitle">
    <w:name w:val="Book Title"/>
    <w:qFormat/>
    <w:rPr>
      <w:rFonts w:cs="Times New Roman"/>
      <w:b/>
      <w:smallCaps/>
      <w:spacing w:val="5"/>
    </w:rPr>
  </w:style>
  <w:style w:type="paragraph" w:customStyle="1" w:styleId="Briefinglist1">
    <w:name w:val="Briefing list 1"/>
    <w:basedOn w:val="Normal"/>
    <w:pPr>
      <w:numPr>
        <w:numId w:val="27"/>
      </w:numPr>
      <w:spacing w:before="0" w:after="240"/>
    </w:pPr>
    <w:rPr>
      <w:rFonts w:eastAsia="Times New Roman"/>
      <w:szCs w:val="20"/>
    </w:rPr>
  </w:style>
  <w:style w:type="paragraph" w:customStyle="1" w:styleId="ListNumberLevel1">
    <w:name w:val="List Number (Level 1)"/>
    <w:basedOn w:val="ListNumberLevel2"/>
    <w:pPr>
      <w:numPr>
        <w:ilvl w:val="1"/>
        <w:numId w:val="5"/>
      </w:numPr>
      <w:tabs>
        <w:tab w:val="clear" w:pos="360"/>
        <w:tab w:val="num" w:pos="1417"/>
      </w:tabs>
      <w:spacing w:before="0" w:after="240"/>
      <w:ind w:left="1417" w:hanging="708"/>
    </w:pPr>
    <w:rPr>
      <w:szCs w:val="20"/>
    </w:rPr>
  </w:style>
  <w:style w:type="character" w:customStyle="1" w:styleId="st1">
    <w:name w:val="st1"/>
    <w:rPr>
      <w:rFonts w:cs="Times New Roman"/>
    </w:rPr>
  </w:style>
  <w:style w:type="character" w:customStyle="1" w:styleId="ManualNumPar1Char">
    <w:name w:val="Manual NumPar 1 Char"/>
    <w:rPr>
      <w:rFonts w:ascii="Times New Roman" w:hAnsi="Times New Roman"/>
      <w:sz w:val="24"/>
    </w:rPr>
  </w:style>
  <w:style w:type="paragraph" w:customStyle="1" w:styleId="font6">
    <w:name w:val="font6"/>
    <w:basedOn w:val="Normal"/>
    <w:pPr>
      <w:spacing w:before="100" w:beforeAutospacing="1" w:after="100" w:afterAutospacing="1"/>
      <w:jc w:val="left"/>
    </w:pPr>
    <w:rPr>
      <w:rFonts w:ascii="Arial" w:eastAsia="Times New Roman" w:hAnsi="Arial" w:cs="Arial"/>
      <w:sz w:val="18"/>
      <w:szCs w:val="18"/>
      <w:u w:val="single"/>
    </w:rPr>
  </w:style>
  <w:style w:type="paragraph" w:customStyle="1" w:styleId="font7">
    <w:name w:val="font7"/>
    <w:basedOn w:val="Normal"/>
    <w:pPr>
      <w:spacing w:before="100" w:beforeAutospacing="1" w:after="100" w:afterAutospacing="1"/>
      <w:jc w:val="left"/>
    </w:pPr>
    <w:rPr>
      <w:rFonts w:ascii="Arial" w:eastAsia="Times New Roman" w:hAnsi="Arial" w:cs="Arial"/>
      <w:b/>
      <w:bCs/>
      <w:sz w:val="18"/>
      <w:szCs w:val="18"/>
    </w:rPr>
  </w:style>
  <w:style w:type="paragraph" w:customStyle="1" w:styleId="font8">
    <w:name w:val="font8"/>
    <w:basedOn w:val="Normal"/>
    <w:pPr>
      <w:spacing w:before="100" w:beforeAutospacing="1" w:after="100" w:afterAutospacing="1"/>
      <w:jc w:val="left"/>
    </w:pPr>
    <w:rPr>
      <w:rFonts w:ascii="Arial" w:eastAsia="Times New Roman" w:hAnsi="Arial" w:cs="Arial"/>
      <w:i/>
      <w:iCs/>
      <w:sz w:val="18"/>
      <w:szCs w:val="18"/>
    </w:rPr>
  </w:style>
  <w:style w:type="paragraph" w:customStyle="1" w:styleId="font9">
    <w:name w:val="font9"/>
    <w:basedOn w:val="Normal"/>
    <w:pPr>
      <w:spacing w:before="100" w:beforeAutospacing="1" w:after="100" w:afterAutospacing="1"/>
      <w:jc w:val="left"/>
    </w:pPr>
    <w:rPr>
      <w:rFonts w:ascii="Arial" w:eastAsia="Times New Roman" w:hAnsi="Arial" w:cs="Arial"/>
      <w:szCs w:val="24"/>
    </w:rPr>
  </w:style>
  <w:style w:type="paragraph" w:customStyle="1" w:styleId="font10">
    <w:name w:val="font10"/>
    <w:basedOn w:val="Normal"/>
    <w:pPr>
      <w:spacing w:before="100" w:beforeAutospacing="1" w:after="100" w:afterAutospacing="1"/>
      <w:jc w:val="left"/>
    </w:pPr>
    <w:rPr>
      <w:rFonts w:ascii="Arial" w:eastAsia="Times New Roman" w:hAnsi="Arial" w:cs="Arial"/>
      <w:b/>
      <w:bCs/>
      <w:szCs w:val="24"/>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25">
    <w:name w:val="xl25"/>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2">
    <w:name w:val="xl32"/>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4">
    <w:name w:val="xl3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5">
    <w:name w:val="xl35"/>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6">
    <w:name w:val="xl3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37">
    <w:name w:val="xl3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8">
    <w:name w:val="xl38"/>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9">
    <w:name w:val="xl39"/>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0">
    <w:name w:val="xl4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1">
    <w:name w:val="xl41"/>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3">
    <w:name w:val="xl43"/>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4">
    <w:name w:val="xl44"/>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bCs/>
      <w:sz w:val="18"/>
      <w:szCs w:val="18"/>
    </w:rPr>
  </w:style>
  <w:style w:type="paragraph" w:customStyle="1" w:styleId="xl46">
    <w:name w:val="xl4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7">
    <w:name w:val="xl4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48">
    <w:name w:val="xl48"/>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50">
    <w:name w:val="xl5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1">
    <w:name w:val="xl51"/>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54">
    <w:name w:val="xl5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5">
    <w:name w:val="xl55"/>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6">
    <w:name w:val="xl56"/>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7">
    <w:name w:val="xl57"/>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8">
    <w:name w:val="xl58"/>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pPr>
    <w:rPr>
      <w:rFonts w:ascii="Arial" w:eastAsia="Times New Roman" w:hAnsi="Arial" w:cs="Arial"/>
      <w:b/>
      <w:bCs/>
      <w:sz w:val="18"/>
      <w:szCs w:val="18"/>
    </w:rPr>
  </w:style>
  <w:style w:type="paragraph" w:customStyle="1" w:styleId="xl59">
    <w:name w:val="xl59"/>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textAlignment w:val="center"/>
    </w:pPr>
    <w:rPr>
      <w:rFonts w:ascii="Arial" w:eastAsia="Times New Roman" w:hAnsi="Arial" w:cs="Arial"/>
      <w:b/>
      <w:bCs/>
      <w:sz w:val="18"/>
      <w:szCs w:val="18"/>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61">
    <w:name w:val="xl61"/>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62">
    <w:name w:val="xl6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63">
    <w:name w:val="xl63"/>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MediumGrid21">
    <w:name w:val="Medium Grid 21"/>
    <w:uiPriority w:val="1"/>
    <w:qFormat/>
    <w:pPr>
      <w:spacing w:after="0" w:line="240" w:lineRule="auto"/>
    </w:pPr>
  </w:style>
  <w:style w:type="paragraph" w:styleId="ListParagraph">
    <w:name w:val="List Paragraph"/>
    <w:basedOn w:val="Normal"/>
    <w:uiPriority w:val="34"/>
    <w:qFormat/>
    <w:pPr>
      <w:widowControl w:val="0"/>
      <w:spacing w:before="0" w:after="0" w:line="360" w:lineRule="auto"/>
      <w:ind w:left="720"/>
      <w:jc w:val="left"/>
    </w:pPr>
    <w:rPr>
      <w:rFonts w:eastAsia="Times New Roman"/>
      <w:szCs w:val="20"/>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tabs>
        <w:tab w:val="num" w:pos="283"/>
        <w:tab w:val="num" w:pos="720"/>
        <w:tab w:val="num" w:pos="926"/>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bCs w:val="0"/>
      <w:smallCaps w:val="0"/>
      <w:szCs w:val="20"/>
    </w:rPr>
  </w:style>
  <w:style w:type="paragraph" w:customStyle="1" w:styleId="Style4">
    <w:name w:val="Style4"/>
    <w:basedOn w:val="Heading1"/>
    <w:next w:val="Style1"/>
    <w:pPr>
      <w:numPr>
        <w:numId w:val="0"/>
      </w:numPr>
      <w:spacing w:before="240" w:after="0"/>
      <w:jc w:val="left"/>
    </w:pPr>
    <w:rPr>
      <w:rFonts w:eastAsia="Times New Roman"/>
      <w:sz w:val="28"/>
      <w:szCs w:val="32"/>
    </w:rPr>
  </w:style>
  <w:style w:type="numbering" w:customStyle="1" w:styleId="NoList1">
    <w:name w:val="No List1"/>
    <w:next w:val="NoList"/>
    <w:semiHidden/>
    <w:unhideWhenUsed/>
  </w:style>
  <w:style w:type="table" w:customStyle="1" w:styleId="TableGrid10">
    <w:name w:val="Table Grid1"/>
    <w:basedOn w:val="TableNormal"/>
    <w:next w:val="TableGrid"/>
    <w:pPr>
      <w:spacing w:after="0" w:line="240" w:lineRule="auto"/>
    </w:pPr>
    <w:rPr>
      <w:rFonts w:ascii="Times New Roman" w:eastAsia="Batang"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int1Char">
    <w:name w:val="Point 1 Char"/>
    <w:rPr>
      <w:rFonts w:ascii="Times New Roman" w:hAnsi="Times New Roman"/>
      <w:sz w:val="24"/>
    </w:rPr>
  </w:style>
  <w:style w:type="paragraph" w:customStyle="1" w:styleId="a">
    <w:name w:val="목록 단락"/>
    <w:basedOn w:val="Normal"/>
    <w:qFormat/>
    <w:pPr>
      <w:widowControl w:val="0"/>
      <w:wordWrap w:val="0"/>
      <w:autoSpaceDE w:val="0"/>
      <w:autoSpaceDN w:val="0"/>
      <w:spacing w:before="0" w:after="0"/>
      <w:ind w:leftChars="400" w:left="800"/>
    </w:pPr>
    <w:rPr>
      <w:rFonts w:ascii="Malgun Gothic" w:eastAsia="Malgun Gothic" w:hAnsi="Malgun Gothic"/>
      <w:kern w:val="2"/>
      <w:sz w:val="20"/>
    </w:rPr>
  </w:style>
  <w:style w:type="character" w:customStyle="1" w:styleId="DocumentMapChar1">
    <w:name w:val="Document Map Char1"/>
    <w:uiPriority w:val="99"/>
    <w:semiHidden/>
    <w:rPr>
      <w:rFonts w:ascii="Tahoma" w:hAnsi="Tahoma" w:cs="Tahoma"/>
      <w:sz w:val="16"/>
      <w:szCs w:val="16"/>
    </w:rPr>
  </w:style>
  <w:style w:type="paragraph" w:styleId="Revision">
    <w:name w:val="Revision"/>
    <w:hidden/>
    <w:uiPriority w:val="99"/>
    <w:semiHidden/>
    <w:pPr>
      <w:spacing w:after="0" w:line="240" w:lineRule="auto"/>
    </w:pPr>
    <w:rPr>
      <w:rFonts w:ascii="Times New Roman" w:eastAsia="Batang" w:hAnsi="Times New Roman"/>
      <w:sz w:val="24"/>
      <w:szCs w:val="24"/>
    </w:rPr>
  </w:style>
  <w:style w:type="paragraph" w:styleId="NoSpacing">
    <w:name w:val="No Spacing"/>
    <w:uiPriority w:val="1"/>
    <w:qFormat/>
    <w:pPr>
      <w:spacing w:after="0" w:line="240" w:lineRule="auto"/>
    </w:pPr>
  </w:style>
  <w:style w:type="table" w:styleId="TableColorful1">
    <w:name w:val="Table Colorful 1"/>
    <w:basedOn w:val="TableNormal"/>
    <w:pPr>
      <w:widowControl w:val="0"/>
      <w:spacing w:after="0" w:line="360" w:lineRule="auto"/>
    </w:pPr>
    <w:rPr>
      <w:rFonts w:ascii="Times New Roman" w:eastAsia="Times New Roman" w:hAnsi="Times New Roman"/>
      <w:color w:val="FFFFFF"/>
      <w:sz w:val="20"/>
      <w:szCs w:val="20"/>
      <w:lang w:val="en-GB" w:eastAsia="en-GB"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HTML Sample" w:uiPriority="99"/>
    <w:lsdException w:name="Normal Table" w:uiPriority="99"/>
    <w:lsdException w:name="No List" w:uiPriority="99"/>
    <w:lsdException w:name="Outline List 3" w:uiPriority="99"/>
    <w:lsdException w:name="Table Colorful 2"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FollowedHyperlink">
    <w:name w:val="FollowedHyperlink"/>
    <w:basedOn w:val="DefaultParagraphFont"/>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tabs>
        <w:tab w:val="num" w:pos="360"/>
      </w:tabs>
      <w:ind w:left="360" w:hanging="360"/>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ascii="Times New Roman" w:hAnsi="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b/>
      <w:bCs/>
      <w:sz w:val="20"/>
      <w:szCs w:val="20"/>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Heading5Char">
    <w:name w:val="Heading 5 Char"/>
    <w:basedOn w:val="DefaultParagraphFont"/>
    <w:link w:val="Heading5"/>
    <w:rPr>
      <w:rFonts w:ascii="Arial" w:eastAsia="Times New Roman" w:hAnsi="Arial"/>
      <w:szCs w:val="20"/>
      <w:lang w:val="fr-FR" w:eastAsia="fr-FR"/>
    </w:rPr>
  </w:style>
  <w:style w:type="character" w:customStyle="1" w:styleId="Heading6Char">
    <w:name w:val="Heading 6 Char"/>
    <w:basedOn w:val="DefaultParagraphFont"/>
    <w:link w:val="Heading6"/>
    <w:rPr>
      <w:rFonts w:ascii="Arial" w:eastAsia="Times New Roman" w:hAnsi="Arial"/>
      <w:i/>
      <w:szCs w:val="20"/>
      <w:lang w:val="fr-FR" w:eastAsia="fr-FR"/>
    </w:rPr>
  </w:style>
  <w:style w:type="character" w:customStyle="1" w:styleId="Heading7Char">
    <w:name w:val="Heading 7 Char"/>
    <w:basedOn w:val="DefaultParagraphFont"/>
    <w:link w:val="Heading7"/>
    <w:rPr>
      <w:rFonts w:ascii="Arial" w:eastAsia="Times New Roman" w:hAnsi="Arial"/>
      <w:sz w:val="20"/>
      <w:szCs w:val="20"/>
      <w:lang w:val="fr-FR" w:eastAsia="fr-FR"/>
    </w:rPr>
  </w:style>
  <w:style w:type="character" w:customStyle="1" w:styleId="Heading8Char">
    <w:name w:val="Heading 8 Char"/>
    <w:basedOn w:val="DefaultParagraphFont"/>
    <w:link w:val="Heading8"/>
    <w:rPr>
      <w:rFonts w:ascii="Arial" w:eastAsia="Times New Roman" w:hAnsi="Arial"/>
      <w:i/>
      <w:sz w:val="20"/>
      <w:szCs w:val="20"/>
      <w:lang w:val="fr-FR" w:eastAsia="fr-FR"/>
    </w:rPr>
  </w:style>
  <w:style w:type="character" w:customStyle="1" w:styleId="Heading9Char">
    <w:name w:val="Heading 9 Char"/>
    <w:basedOn w:val="DefaultParagraphFont"/>
    <w:link w:val="Heading9"/>
    <w:rPr>
      <w:rFonts w:ascii="Arial" w:eastAsia="Times New Roman" w:hAnsi="Arial"/>
      <w:i/>
      <w:sz w:val="18"/>
      <w:szCs w:val="20"/>
      <w:lang w:val="fr-FR" w:eastAsia="fr-FR"/>
    </w:rPr>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5"/>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11"/>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13"/>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14"/>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6"/>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8"/>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12"/>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17"/>
      </w:numPr>
      <w:spacing w:before="0" w:after="0" w:line="360" w:lineRule="auto"/>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sz w:val="24"/>
      <w:szCs w:val="20"/>
      <w:lang w:val="fr-FR" w:eastAsia="fr-FR"/>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9"/>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10"/>
      </w:numPr>
      <w:spacing w:before="0" w:after="0" w:line="360" w:lineRule="auto"/>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sz w:val="24"/>
      <w:szCs w:val="20"/>
      <w:shd w:val="clear" w:color="auto" w:fill="000080"/>
      <w:lang w:val="fr-FR" w:eastAsia="fr-FR"/>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customStyle="1" w:styleId="ListBullet1">
    <w:name w:val="List Bullet 1"/>
    <w:basedOn w:val="Normal"/>
    <w:rPr>
      <w:rFonts w:eastAsia="Times New Roman"/>
      <w:szCs w:val="24"/>
    </w:rPr>
  </w:style>
  <w:style w:type="paragraph" w:customStyle="1" w:styleId="ListDash">
    <w:name w:val="List Dash"/>
    <w:basedOn w:val="Normal"/>
    <w:pPr>
      <w:numPr>
        <w:numId w:val="19"/>
      </w:numPr>
    </w:pPr>
    <w:rPr>
      <w:rFonts w:eastAsia="Times New Roman"/>
      <w:szCs w:val="24"/>
    </w:rPr>
  </w:style>
  <w:style w:type="paragraph" w:customStyle="1" w:styleId="ListDash1">
    <w:name w:val="List Dash 1"/>
    <w:basedOn w:val="Normal"/>
    <w:pPr>
      <w:numPr>
        <w:numId w:val="20"/>
      </w:numPr>
    </w:pPr>
    <w:rPr>
      <w:rFonts w:eastAsia="Times New Roman"/>
      <w:szCs w:val="24"/>
    </w:rPr>
  </w:style>
  <w:style w:type="paragraph" w:customStyle="1" w:styleId="ListDash2">
    <w:name w:val="List Dash 2"/>
    <w:basedOn w:val="Normal"/>
    <w:pPr>
      <w:numPr>
        <w:numId w:val="21"/>
      </w:numPr>
    </w:pPr>
    <w:rPr>
      <w:rFonts w:eastAsia="Times New Roman"/>
      <w:szCs w:val="24"/>
    </w:rPr>
  </w:style>
  <w:style w:type="paragraph" w:customStyle="1" w:styleId="ListDash3">
    <w:name w:val="List Dash 3"/>
    <w:basedOn w:val="Normal"/>
    <w:pPr>
      <w:numPr>
        <w:numId w:val="22"/>
      </w:numPr>
    </w:pPr>
    <w:rPr>
      <w:rFonts w:eastAsia="Times New Roman"/>
      <w:szCs w:val="24"/>
    </w:rPr>
  </w:style>
  <w:style w:type="paragraph" w:customStyle="1" w:styleId="ListDash4">
    <w:name w:val="List Dash 4"/>
    <w:basedOn w:val="Normal"/>
    <w:pPr>
      <w:numPr>
        <w:numId w:val="23"/>
      </w:numPr>
    </w:pPr>
    <w:rPr>
      <w:rFonts w:eastAsia="Times New Roman"/>
      <w:szCs w:val="24"/>
    </w:rPr>
  </w:style>
  <w:style w:type="paragraph" w:customStyle="1" w:styleId="ListNumber1">
    <w:name w:val="List Number 1"/>
    <w:basedOn w:val="Text1"/>
    <w:pPr>
      <w:numPr>
        <w:numId w:val="24"/>
      </w:numPr>
    </w:pPr>
    <w:rPr>
      <w:rFonts w:eastAsia="Times New Roman"/>
      <w:szCs w:val="24"/>
    </w:rPr>
  </w:style>
  <w:style w:type="paragraph" w:customStyle="1" w:styleId="ListNumberLevel2">
    <w:name w:val="List Number (Level 2)"/>
    <w:basedOn w:val="Normal"/>
    <w:pPr>
      <w:tabs>
        <w:tab w:val="num" w:pos="1417"/>
      </w:tabs>
      <w:ind w:left="1417" w:hanging="708"/>
    </w:pPr>
    <w:rPr>
      <w:rFonts w:eastAsia="Times New Roman"/>
      <w:szCs w:val="24"/>
    </w:rPr>
  </w:style>
  <w:style w:type="paragraph" w:customStyle="1" w:styleId="ListNumber1Level2">
    <w:name w:val="List Number 1 (Level 2)"/>
    <w:basedOn w:val="Text1"/>
    <w:pPr>
      <w:numPr>
        <w:ilvl w:val="1"/>
        <w:numId w:val="24"/>
      </w:numPr>
    </w:pPr>
    <w:rPr>
      <w:rFonts w:eastAsia="Times New Roman"/>
      <w:szCs w:val="24"/>
    </w:rPr>
  </w:style>
  <w:style w:type="paragraph" w:customStyle="1" w:styleId="ListNumber2Level2">
    <w:name w:val="List Number 2 (Level 2)"/>
    <w:basedOn w:val="Text2"/>
    <w:pPr>
      <w:tabs>
        <w:tab w:val="num" w:pos="2268"/>
      </w:tabs>
      <w:ind w:left="2268" w:hanging="708"/>
    </w:pPr>
    <w:rPr>
      <w:rFonts w:eastAsia="Times New Roman"/>
      <w:szCs w:val="24"/>
    </w:rPr>
  </w:style>
  <w:style w:type="paragraph" w:customStyle="1" w:styleId="ListNumber3Level2">
    <w:name w:val="List Number 3 (Level 2)"/>
    <w:basedOn w:val="Text3"/>
    <w:pPr>
      <w:tabs>
        <w:tab w:val="num" w:pos="2268"/>
      </w:tabs>
      <w:ind w:left="2268" w:hanging="708"/>
    </w:pPr>
    <w:rPr>
      <w:rFonts w:eastAsia="Times New Roman"/>
      <w:szCs w:val="24"/>
    </w:rPr>
  </w:style>
  <w:style w:type="paragraph" w:customStyle="1" w:styleId="ListNumber4Level2">
    <w:name w:val="List Number 4 (Level 2)"/>
    <w:basedOn w:val="Text4"/>
    <w:pPr>
      <w:tabs>
        <w:tab w:val="num" w:pos="2268"/>
      </w:tabs>
      <w:ind w:left="2268" w:hanging="708"/>
    </w:pPr>
    <w:rPr>
      <w:rFonts w:eastAsia="Times New Roman"/>
      <w:szCs w:val="24"/>
    </w:rPr>
  </w:style>
  <w:style w:type="paragraph" w:customStyle="1" w:styleId="ListNumberLevel3">
    <w:name w:val="List Number (Level 3)"/>
    <w:basedOn w:val="Normal"/>
    <w:pPr>
      <w:tabs>
        <w:tab w:val="num" w:pos="2126"/>
      </w:tabs>
      <w:ind w:left="2126" w:hanging="709"/>
    </w:pPr>
    <w:rPr>
      <w:rFonts w:eastAsia="Times New Roman"/>
      <w:szCs w:val="24"/>
    </w:rPr>
  </w:style>
  <w:style w:type="paragraph" w:customStyle="1" w:styleId="ListNumber1Level3">
    <w:name w:val="List Number 1 (Level 3)"/>
    <w:basedOn w:val="Text1"/>
    <w:pPr>
      <w:numPr>
        <w:ilvl w:val="2"/>
        <w:numId w:val="24"/>
      </w:numPr>
    </w:pPr>
    <w:rPr>
      <w:rFonts w:eastAsia="Times New Roman"/>
      <w:szCs w:val="24"/>
    </w:rPr>
  </w:style>
  <w:style w:type="paragraph" w:customStyle="1" w:styleId="ListNumber2Level3">
    <w:name w:val="List Number 2 (Level 3)"/>
    <w:basedOn w:val="Text2"/>
    <w:pPr>
      <w:tabs>
        <w:tab w:val="num" w:pos="2977"/>
      </w:tabs>
      <w:ind w:left="2977" w:hanging="709"/>
    </w:pPr>
    <w:rPr>
      <w:rFonts w:eastAsia="Times New Roman"/>
      <w:szCs w:val="24"/>
    </w:rPr>
  </w:style>
  <w:style w:type="paragraph" w:customStyle="1" w:styleId="ListNumber3Level3">
    <w:name w:val="List Number 3 (Level 3)"/>
    <w:basedOn w:val="Text3"/>
    <w:pPr>
      <w:tabs>
        <w:tab w:val="num" w:pos="2977"/>
      </w:tabs>
      <w:ind w:left="2977" w:hanging="709"/>
    </w:pPr>
    <w:rPr>
      <w:rFonts w:eastAsia="Times New Roman"/>
      <w:szCs w:val="24"/>
    </w:rPr>
  </w:style>
  <w:style w:type="paragraph" w:customStyle="1" w:styleId="ListNumber4Level3">
    <w:name w:val="List Number 4 (Level 3)"/>
    <w:basedOn w:val="Text4"/>
    <w:pPr>
      <w:tabs>
        <w:tab w:val="num" w:pos="2977"/>
      </w:tabs>
      <w:ind w:left="2977" w:hanging="709"/>
    </w:pPr>
    <w:rPr>
      <w:rFonts w:eastAsia="Times New Roman"/>
      <w:szCs w:val="24"/>
    </w:rPr>
  </w:style>
  <w:style w:type="paragraph" w:customStyle="1" w:styleId="ListNumberLevel4">
    <w:name w:val="List Number (Level 4)"/>
    <w:basedOn w:val="Normal"/>
    <w:pPr>
      <w:tabs>
        <w:tab w:val="num" w:pos="2835"/>
      </w:tabs>
      <w:ind w:left="2835" w:hanging="709"/>
    </w:pPr>
    <w:rPr>
      <w:rFonts w:eastAsia="Times New Roman"/>
      <w:szCs w:val="24"/>
    </w:rPr>
  </w:style>
  <w:style w:type="paragraph" w:customStyle="1" w:styleId="ListNumber1Level4">
    <w:name w:val="List Number 1 (Level 4)"/>
    <w:basedOn w:val="Text1"/>
    <w:pPr>
      <w:numPr>
        <w:ilvl w:val="3"/>
        <w:numId w:val="24"/>
      </w:numPr>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spacing w:before="0" w:after="240"/>
      <w:ind w:left="5103"/>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ListBullet5">
    <w:name w:val="List Bullet 5"/>
    <w:basedOn w:val="Normal"/>
    <w:autoRedefine/>
    <w:pPr>
      <w:tabs>
        <w:tab w:val="num" w:pos="1134"/>
        <w:tab w:val="num" w:pos="1492"/>
        <w:tab w:val="num" w:pos="2551"/>
      </w:tabs>
      <w:spacing w:before="0" w:after="240"/>
      <w:ind w:left="1492" w:hanging="360"/>
    </w:pPr>
    <w:rPr>
      <w:rFonts w:eastAsia="Times New Roman"/>
      <w:szCs w:val="20"/>
    </w:rPr>
  </w:style>
  <w:style w:type="paragraph" w:styleId="ListNumber5">
    <w:name w:val="List Number 5"/>
    <w:basedOn w:val="Normal"/>
    <w:pPr>
      <w:tabs>
        <w:tab w:val="num" w:pos="1134"/>
        <w:tab w:val="num" w:pos="1492"/>
        <w:tab w:val="num" w:pos="3118"/>
      </w:tabs>
      <w:spacing w:before="0" w:after="240"/>
      <w:ind w:left="1492" w:hanging="360"/>
    </w:pPr>
    <w:rPr>
      <w:rFonts w:eastAsia="Times New Roman"/>
      <w:szCs w:val="20"/>
    </w:rPr>
  </w:style>
  <w:style w:type="table" w:styleId="TableGrid">
    <w:name w:val="Table Grid"/>
    <w:basedOn w:val="TableNormal"/>
    <w:pPr>
      <w:spacing w:before="120" w:after="120" w:line="24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Titrearticle"/>
    <w:rPr>
      <w:rFonts w:eastAsia="Times New Roman"/>
      <w:szCs w:val="24"/>
    </w:rPr>
  </w:style>
  <w:style w:type="paragraph" w:styleId="BlockText">
    <w:name w:val="Block Text"/>
    <w:basedOn w:val="Normal"/>
    <w:pPr>
      <w:ind w:left="1440" w:right="1440"/>
    </w:pPr>
    <w:rPr>
      <w:rFonts w:eastAsia="Times New Roman"/>
      <w:szCs w:val="24"/>
    </w:rPr>
  </w:style>
  <w:style w:type="paragraph" w:styleId="BodyText">
    <w:name w:val="Body Text"/>
    <w:basedOn w:val="Normal"/>
    <w:link w:val="BodyTextChar"/>
    <w:rPr>
      <w:rFonts w:eastAsia="Times New Roman"/>
      <w:szCs w:val="24"/>
    </w:rPr>
  </w:style>
  <w:style w:type="character" w:customStyle="1" w:styleId="BodyTextChar">
    <w:name w:val="Body Text Char"/>
    <w:basedOn w:val="DefaultParagraphFont"/>
    <w:link w:val="BodyText"/>
    <w:rPr>
      <w:rFonts w:ascii="Times New Roman" w:eastAsia="Times New Roman" w:hAnsi="Times New Roman"/>
      <w:sz w:val="24"/>
      <w:szCs w:val="24"/>
      <w:lang w:val="fr-FR" w:eastAsia="fr-FR"/>
    </w:rPr>
  </w:style>
  <w:style w:type="paragraph" w:styleId="BodyText2">
    <w:name w:val="Body Text 2"/>
    <w:basedOn w:val="Normal"/>
    <w:link w:val="BodyText2Char"/>
    <w:pPr>
      <w:spacing w:line="480" w:lineRule="auto"/>
    </w:pPr>
    <w:rPr>
      <w:rFonts w:eastAsia="Times New Roman"/>
      <w:szCs w:val="24"/>
    </w:rPr>
  </w:style>
  <w:style w:type="character" w:customStyle="1" w:styleId="BodyText2Char">
    <w:name w:val="Body Text 2 Char"/>
    <w:basedOn w:val="DefaultParagraphFont"/>
    <w:link w:val="BodyText2"/>
    <w:rPr>
      <w:rFonts w:ascii="Times New Roman" w:eastAsia="Times New Roman" w:hAnsi="Times New Roman"/>
      <w:sz w:val="24"/>
      <w:szCs w:val="24"/>
      <w:lang w:val="fr-FR" w:eastAsia="fr-FR"/>
    </w:rPr>
  </w:style>
  <w:style w:type="paragraph" w:styleId="BodyText3">
    <w:name w:val="Body Text 3"/>
    <w:basedOn w:val="Normal"/>
    <w:link w:val="BodyText3Char"/>
    <w:rPr>
      <w:rFonts w:eastAsia="Times New Roman"/>
      <w:sz w:val="16"/>
      <w:szCs w:val="16"/>
    </w:rPr>
  </w:style>
  <w:style w:type="character" w:customStyle="1" w:styleId="BodyText3Char">
    <w:name w:val="Body Text 3 Char"/>
    <w:basedOn w:val="DefaultParagraphFont"/>
    <w:link w:val="BodyText3"/>
    <w:rPr>
      <w:rFonts w:ascii="Times New Roman" w:eastAsia="Times New Roman" w:hAnsi="Times New Roman"/>
      <w:sz w:val="16"/>
      <w:szCs w:val="16"/>
      <w:lang w:val="fr-FR" w:eastAsia="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sz w:val="24"/>
      <w:szCs w:val="24"/>
      <w:lang w:val="fr-FR" w:eastAsia="fr-FR"/>
    </w:rPr>
  </w:style>
  <w:style w:type="paragraph" w:styleId="BodyTextIndent">
    <w:name w:val="Body Text Indent"/>
    <w:basedOn w:val="Normal"/>
    <w:link w:val="BodyTextIndentChar"/>
    <w:pPr>
      <w:ind w:left="283"/>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sz w:val="24"/>
      <w:szCs w:val="24"/>
      <w:lang w:val="fr-FR" w:eastAsia="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sz w:val="24"/>
      <w:szCs w:val="24"/>
      <w:lang w:val="fr-FR" w:eastAsia="fr-FR"/>
    </w:rPr>
  </w:style>
  <w:style w:type="paragraph" w:styleId="BodyTextIndent2">
    <w:name w:val="Body Text Indent 2"/>
    <w:basedOn w:val="Normal"/>
    <w:link w:val="BodyTextIndent2Char"/>
    <w:pPr>
      <w:spacing w:line="480" w:lineRule="auto"/>
      <w:ind w:left="283"/>
    </w:pPr>
    <w:rPr>
      <w:rFonts w:eastAsia="Times New Roman"/>
      <w:szCs w:val="24"/>
    </w:rPr>
  </w:style>
  <w:style w:type="character" w:customStyle="1" w:styleId="BodyTextIndent2Char">
    <w:name w:val="Body Text Indent 2 Char"/>
    <w:basedOn w:val="DefaultParagraphFont"/>
    <w:link w:val="BodyTextIndent2"/>
    <w:rPr>
      <w:rFonts w:ascii="Times New Roman" w:eastAsia="Times New Roman" w:hAnsi="Times New Roman"/>
      <w:sz w:val="24"/>
      <w:szCs w:val="24"/>
      <w:lang w:val="fr-FR" w:eastAsia="fr-FR"/>
    </w:rPr>
  </w:style>
  <w:style w:type="paragraph" w:styleId="BodyTextIndent3">
    <w:name w:val="Body Text Indent 3"/>
    <w:basedOn w:val="Normal"/>
    <w:link w:val="BodyTextIndent3Char"/>
    <w:pPr>
      <w:ind w:left="283"/>
    </w:pPr>
    <w:rPr>
      <w:rFonts w:eastAsia="Times New Roman"/>
      <w:sz w:val="16"/>
      <w:szCs w:val="16"/>
    </w:rPr>
  </w:style>
  <w:style w:type="character" w:customStyle="1" w:styleId="BodyTextIndent3Char">
    <w:name w:val="Body Text Indent 3 Char"/>
    <w:basedOn w:val="DefaultParagraphFont"/>
    <w:link w:val="BodyTextIndent3"/>
    <w:rPr>
      <w:rFonts w:ascii="Times New Roman" w:eastAsia="Times New Roman" w:hAnsi="Times New Roman"/>
      <w:sz w:val="16"/>
      <w:szCs w:val="16"/>
      <w:lang w:val="fr-FR" w:eastAsia="fr-FR"/>
    </w:rPr>
  </w:style>
  <w:style w:type="paragraph" w:styleId="Closing">
    <w:name w:val="Closing"/>
    <w:basedOn w:val="Normal"/>
    <w:link w:val="ClosingChar"/>
    <w:pPr>
      <w:ind w:left="4252"/>
    </w:pPr>
    <w:rPr>
      <w:rFonts w:eastAsia="Times New Roman"/>
      <w:szCs w:val="24"/>
    </w:rPr>
  </w:style>
  <w:style w:type="character" w:customStyle="1" w:styleId="ClosingChar">
    <w:name w:val="Closing Char"/>
    <w:basedOn w:val="DefaultParagraphFont"/>
    <w:link w:val="Closing"/>
    <w:rPr>
      <w:rFonts w:ascii="Times New Roman" w:eastAsia="Times New Roman" w:hAnsi="Times New Roman"/>
      <w:sz w:val="24"/>
      <w:szCs w:val="24"/>
      <w:lang w:val="fr-FR" w:eastAsia="fr-FR"/>
    </w:rPr>
  </w:style>
  <w:style w:type="paragraph" w:styleId="Date">
    <w:name w:val="Date"/>
    <w:basedOn w:val="Normal"/>
    <w:next w:val="Normal"/>
    <w:link w:val="DateChar"/>
    <w:rPr>
      <w:rFonts w:eastAsia="Times New Roman"/>
      <w:szCs w:val="24"/>
    </w:rPr>
  </w:style>
  <w:style w:type="character" w:customStyle="1" w:styleId="DateChar">
    <w:name w:val="Date Char"/>
    <w:basedOn w:val="DefaultParagraphFont"/>
    <w:link w:val="Date"/>
    <w:rPr>
      <w:rFonts w:ascii="Times New Roman" w:eastAsia="Times New Roman" w:hAnsi="Times New Roman"/>
      <w:sz w:val="24"/>
      <w:szCs w:val="24"/>
      <w:lang w:val="fr-FR" w:eastAsia="fr-FR"/>
    </w:rPr>
  </w:style>
  <w:style w:type="paragraph" w:styleId="E-mailSignature">
    <w:name w:val="E-mail Signature"/>
    <w:basedOn w:val="Normal"/>
    <w:link w:val="E-mailSignatureChar"/>
    <w:semiHidden/>
    <w:rPr>
      <w:rFonts w:eastAsia="Times New Roman"/>
      <w:szCs w:val="24"/>
    </w:rPr>
  </w:style>
  <w:style w:type="character" w:customStyle="1" w:styleId="E-mailSignatureChar">
    <w:name w:val="E-mail Signature Char"/>
    <w:basedOn w:val="DefaultParagraphFont"/>
    <w:link w:val="E-mailSignature"/>
    <w:semiHidden/>
    <w:rPr>
      <w:rFonts w:ascii="Times New Roman" w:eastAsia="Times New Roman" w:hAnsi="Times New Roman"/>
      <w:sz w:val="24"/>
      <w:szCs w:val="24"/>
      <w:lang w:eastAsia="fr-FR"/>
    </w:rPr>
  </w:style>
  <w:style w:type="character" w:styleId="Emphasis">
    <w:name w:val="Emphasis"/>
    <w:uiPriority w:val="20"/>
    <w:qFormat/>
    <w:rPr>
      <w:rFonts w:cs="Times New Roman"/>
      <w:i/>
      <w:iCs/>
    </w:rPr>
  </w:style>
  <w:style w:type="paragraph" w:styleId="EnvelopeAddress">
    <w:name w:val="envelope address"/>
    <w:basedOn w:val="Normal"/>
    <w:pPr>
      <w:framePr w:w="7920" w:h="1980" w:hRule="exact" w:hSpace="180" w:wrap="auto" w:hAnchor="page" w:xAlign="center" w:yAlign="bottom"/>
      <w:ind w:left="2880"/>
    </w:pPr>
    <w:rPr>
      <w:rFonts w:ascii="Arial" w:eastAsia="Times New Roman" w:hAnsi="Arial" w:cs="Arial"/>
      <w:szCs w:val="24"/>
    </w:rPr>
  </w:style>
  <w:style w:type="paragraph" w:styleId="EnvelopeReturn">
    <w:name w:val="envelope return"/>
    <w:basedOn w:val="Normal"/>
    <w:rPr>
      <w:rFonts w:ascii="Arial" w:eastAsia="Times New Roman" w:hAnsi="Arial" w:cs="Arial"/>
      <w:sz w:val="20"/>
      <w:szCs w:val="20"/>
    </w:rPr>
  </w:style>
  <w:style w:type="character" w:styleId="HTMLAcronym">
    <w:name w:val="HTML Acronym"/>
    <w:semiHidden/>
    <w:rPr>
      <w:rFonts w:cs="Times New Roman"/>
    </w:rPr>
  </w:style>
  <w:style w:type="paragraph" w:styleId="HTMLAddress">
    <w:name w:val="HTML Address"/>
    <w:basedOn w:val="Normal"/>
    <w:link w:val="HTMLAddressChar"/>
    <w:semiHidden/>
    <w:rPr>
      <w:rFonts w:eastAsia="Times New Roman"/>
      <w:i/>
      <w:iCs/>
      <w:szCs w:val="24"/>
    </w:rPr>
  </w:style>
  <w:style w:type="character" w:customStyle="1" w:styleId="HTMLAddressChar">
    <w:name w:val="HTML Address Char"/>
    <w:basedOn w:val="DefaultParagraphFont"/>
    <w:link w:val="HTMLAddress"/>
    <w:semiHidden/>
    <w:rPr>
      <w:rFonts w:ascii="Times New Roman" w:eastAsia="Times New Roman" w:hAnsi="Times New Roman"/>
      <w:i/>
      <w:iCs/>
      <w:sz w:val="24"/>
      <w:szCs w:val="24"/>
      <w:lang w:eastAsia="fr-FR"/>
    </w:rPr>
  </w:style>
  <w:style w:type="character" w:styleId="HTMLCite">
    <w:name w:val="HTML Cite"/>
    <w:semiHidden/>
    <w:rPr>
      <w:rFonts w:cs="Times New Roman"/>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rFonts w:cs="Times New Roman"/>
      <w:i/>
      <w:iCs/>
    </w:rPr>
  </w:style>
  <w:style w:type="character" w:styleId="HTMLKeyboard">
    <w:name w:val="HTML Keyboard"/>
    <w:semiHidden/>
    <w:rPr>
      <w:rFonts w:ascii="Courier New" w:hAnsi="Courier New" w:cs="Courier New"/>
      <w:sz w:val="20"/>
      <w:szCs w:val="20"/>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rFonts w:cs="Times New Roman"/>
      <w:i/>
      <w:iCs/>
    </w:rPr>
  </w:style>
  <w:style w:type="character" w:styleId="LineNumber">
    <w:name w:val="line number"/>
    <w:semiHidden/>
    <w:rPr>
      <w:rFonts w:cs="Times New Roman"/>
    </w:rPr>
  </w:style>
  <w:style w:type="paragraph" w:styleId="List">
    <w:name w:val="List"/>
    <w:basedOn w:val="Normal"/>
    <w:pPr>
      <w:ind w:left="283" w:hanging="283"/>
    </w:pPr>
    <w:rPr>
      <w:rFonts w:eastAsia="Times New Roman"/>
      <w:szCs w:val="24"/>
    </w:rPr>
  </w:style>
  <w:style w:type="paragraph" w:styleId="List2">
    <w:name w:val="List 2"/>
    <w:basedOn w:val="Normal"/>
    <w:pPr>
      <w:ind w:left="566" w:hanging="283"/>
    </w:pPr>
    <w:rPr>
      <w:rFonts w:eastAsia="Times New Roman"/>
      <w:szCs w:val="24"/>
    </w:rPr>
  </w:style>
  <w:style w:type="paragraph" w:styleId="List3">
    <w:name w:val="List 3"/>
    <w:basedOn w:val="Normal"/>
    <w:pPr>
      <w:ind w:left="849" w:hanging="283"/>
    </w:pPr>
    <w:rPr>
      <w:rFonts w:eastAsia="Times New Roman"/>
      <w:szCs w:val="24"/>
    </w:rPr>
  </w:style>
  <w:style w:type="paragraph" w:styleId="List4">
    <w:name w:val="List 4"/>
    <w:basedOn w:val="Normal"/>
    <w:pPr>
      <w:ind w:left="1132" w:hanging="283"/>
    </w:pPr>
    <w:rPr>
      <w:rFonts w:eastAsia="Times New Roman"/>
      <w:szCs w:val="24"/>
    </w:rPr>
  </w:style>
  <w:style w:type="paragraph" w:styleId="List5">
    <w:name w:val="List 5"/>
    <w:basedOn w:val="Normal"/>
    <w:pPr>
      <w:ind w:left="1415" w:hanging="283"/>
    </w:pPr>
    <w:rPr>
      <w:rFonts w:eastAsia="Times New Roman"/>
      <w:szCs w:val="24"/>
    </w:rPr>
  </w:style>
  <w:style w:type="paragraph" w:styleId="ListContinue">
    <w:name w:val="List Continue"/>
    <w:basedOn w:val="Normal"/>
    <w:pPr>
      <w:ind w:left="283"/>
    </w:pPr>
    <w:rPr>
      <w:rFonts w:eastAsia="Times New Roman"/>
      <w:szCs w:val="24"/>
    </w:rPr>
  </w:style>
  <w:style w:type="paragraph" w:styleId="ListContinue2">
    <w:name w:val="List Continue 2"/>
    <w:basedOn w:val="Normal"/>
    <w:pPr>
      <w:ind w:left="566"/>
    </w:pPr>
    <w:rPr>
      <w:rFonts w:eastAsia="Times New Roman"/>
      <w:szCs w:val="24"/>
    </w:rPr>
  </w:style>
  <w:style w:type="paragraph" w:styleId="ListContinue3">
    <w:name w:val="List Continue 3"/>
    <w:basedOn w:val="Normal"/>
    <w:pPr>
      <w:ind w:left="849"/>
    </w:pPr>
    <w:rPr>
      <w:rFonts w:eastAsia="Times New Roman"/>
      <w:szCs w:val="24"/>
    </w:rPr>
  </w:style>
  <w:style w:type="paragraph" w:styleId="ListContinue4">
    <w:name w:val="List Continue 4"/>
    <w:basedOn w:val="Normal"/>
    <w:pPr>
      <w:ind w:left="1132"/>
    </w:pPr>
    <w:rPr>
      <w:rFonts w:eastAsia="Times New Roman"/>
      <w:szCs w:val="24"/>
    </w:rPr>
  </w:style>
  <w:style w:type="paragraph" w:styleId="ListContinue5">
    <w:name w:val="List Continue 5"/>
    <w:basedOn w:val="Normal"/>
    <w:pPr>
      <w:ind w:left="1415"/>
    </w:pPr>
    <w:rPr>
      <w:rFonts w:eastAsia="Times New Roman"/>
      <w:szCs w:val="24"/>
    </w:rPr>
  </w:style>
  <w:style w:type="character" w:styleId="Strong">
    <w:name w:val="Strong"/>
    <w:qFormat/>
    <w:rPr>
      <w:rFonts w:cs="Times New Roman"/>
      <w:b/>
      <w:bCs/>
    </w:rPr>
  </w:style>
  <w:style w:type="paragraph" w:styleId="Subtitle">
    <w:name w:val="Subtitle"/>
    <w:basedOn w:val="Normal"/>
    <w:link w:val="SubtitleChar"/>
    <w:qFormat/>
    <w:pPr>
      <w:spacing w:after="60"/>
      <w:jc w:val="center"/>
      <w:outlineLvl w:val="1"/>
    </w:pPr>
    <w:rPr>
      <w:rFonts w:ascii="Arial" w:eastAsia="Times New Roman" w:hAnsi="Arial"/>
      <w:szCs w:val="24"/>
    </w:rPr>
  </w:style>
  <w:style w:type="character" w:customStyle="1" w:styleId="SubtitleChar">
    <w:name w:val="Subtitle Char"/>
    <w:basedOn w:val="DefaultParagraphFont"/>
    <w:link w:val="Subtitle"/>
    <w:rPr>
      <w:rFonts w:ascii="Arial" w:eastAsia="Times New Roman" w:hAnsi="Arial"/>
      <w:sz w:val="24"/>
      <w:szCs w:val="24"/>
      <w:lang w:val="fr-FR" w:eastAsia="fr-FR"/>
    </w:rPr>
  </w:style>
  <w:style w:type="table" w:styleId="Table3Deffects1">
    <w:name w:val="Table 3D effects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before="120" w:after="120" w:line="240" w:lineRule="auto"/>
      <w:jc w:val="both"/>
    </w:pPr>
    <w:rPr>
      <w:rFonts w:ascii="Times New Roman" w:eastAsia="Times New Roman" w:hAnsi="Times New Roman"/>
      <w:color w:val="000080"/>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3">
    <w:name w:val="Table Colorful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pPr>
      <w:spacing w:before="120" w:after="120" w:line="24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spacing w:before="120" w:after="120" w:line="240" w:lineRule="auto"/>
      <w:jc w:val="both"/>
    </w:pPr>
    <w:rPr>
      <w:rFonts w:ascii="Times New Roman" w:eastAsia="Times New Roman" w:hAnsi="Times New Roman"/>
      <w:sz w:val="20"/>
      <w:szCs w:val="20"/>
      <w:lang w:val="en-GB" w:eastAsia="en-GB"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Style2">
    <w:name w:val="Style2"/>
    <w:basedOn w:val="Heading3"/>
    <w:next w:val="Normal"/>
    <w:pPr>
      <w:numPr>
        <w:ilvl w:val="0"/>
        <w:numId w:val="0"/>
      </w:numPr>
      <w:jc w:val="center"/>
    </w:pPr>
    <w:rPr>
      <w:rFonts w:eastAsia="Times New Roman"/>
      <w:b/>
      <w:szCs w:val="26"/>
    </w:rPr>
  </w:style>
  <w:style w:type="paragraph" w:customStyle="1" w:styleId="Style3">
    <w:name w:val="Style3"/>
    <w:basedOn w:val="Heading3"/>
    <w:next w:val="Style1"/>
    <w:pPr>
      <w:numPr>
        <w:ilvl w:val="0"/>
        <w:numId w:val="0"/>
      </w:numPr>
      <w:tabs>
        <w:tab w:val="num" w:pos="360"/>
      </w:tabs>
      <w:ind w:left="360" w:hanging="360"/>
    </w:pPr>
    <w:rPr>
      <w:rFonts w:eastAsia="Times New Roman"/>
      <w:szCs w:val="28"/>
    </w:rPr>
  </w:style>
  <w:style w:type="numbering" w:styleId="1ai">
    <w:name w:val="Outline List 1"/>
    <w:basedOn w:val="NoList"/>
    <w:pPr>
      <w:numPr>
        <w:numId w:val="26"/>
      </w:numPr>
    </w:pPr>
  </w:style>
  <w:style w:type="numbering" w:styleId="111111">
    <w:name w:val="Outline List 2"/>
    <w:basedOn w:val="NoList"/>
    <w:pPr>
      <w:numPr>
        <w:numId w:val="25"/>
      </w:numPr>
    </w:pPr>
  </w:style>
  <w:style w:type="paragraph" w:customStyle="1" w:styleId="Prlimin">
    <w:name w:val="Prélimin"/>
    <w:basedOn w:val="Prliminairetype"/>
  </w:style>
  <w:style w:type="paragraph" w:customStyle="1" w:styleId="Default">
    <w:name w:val="Default"/>
    <w:pPr>
      <w:autoSpaceDE w:val="0"/>
      <w:autoSpaceDN w:val="0"/>
      <w:adjustRightInd w:val="0"/>
      <w:spacing w:after="0" w:line="240" w:lineRule="auto"/>
    </w:pPr>
    <w:rPr>
      <w:rFonts w:ascii="EUAlbertina" w:eastAsia="MS Mincho" w:hAnsi="EUAlbertina" w:cs="EUAlbertina"/>
      <w:color w:val="000000"/>
      <w:sz w:val="24"/>
      <w:szCs w:val="24"/>
    </w:rPr>
  </w:style>
  <w:style w:type="paragraph" w:customStyle="1" w:styleId="ColorfulList-Accent11">
    <w:name w:val="Colorful List - Accent 11"/>
    <w:basedOn w:val="Normal"/>
    <w:uiPriority w:val="34"/>
    <w:qFormat/>
    <w:pPr>
      <w:spacing w:before="0" w:after="200" w:line="276" w:lineRule="auto"/>
      <w:ind w:left="720"/>
      <w:contextualSpacing/>
      <w:jc w:val="left"/>
    </w:pPr>
    <w:rPr>
      <w:rFonts w:ascii="Calibri" w:eastAsia="MS Mincho" w:hAnsi="Calibri"/>
      <w:sz w:val="22"/>
    </w:rPr>
  </w:style>
  <w:style w:type="paragraph" w:styleId="NormalWeb">
    <w:name w:val="Normal (Web)"/>
    <w:basedOn w:val="Normal"/>
    <w:uiPriority w:val="99"/>
    <w:pPr>
      <w:spacing w:before="100" w:beforeAutospacing="1" w:after="100" w:afterAutospacing="1"/>
      <w:jc w:val="left"/>
    </w:pPr>
    <w:rPr>
      <w:rFonts w:eastAsia="Times New Roman"/>
      <w:szCs w:val="24"/>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sz w:val="24"/>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sz w:val="24"/>
      <w:szCs w:val="20"/>
      <w:lang w:val="fr-FR" w:eastAsia="fr-FR"/>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Index1">
    <w:name w:val="index 1"/>
    <w:basedOn w:val="Normal"/>
    <w:next w:val="Normal"/>
    <w:autoRedefine/>
    <w:pPr>
      <w:spacing w:before="0" w:after="240"/>
      <w:ind w:left="240" w:hanging="240"/>
    </w:pPr>
    <w:rPr>
      <w:rFonts w:eastAsia="Times New Roman"/>
      <w:szCs w:val="20"/>
    </w:rPr>
  </w:style>
  <w:style w:type="paragraph" w:styleId="Index2">
    <w:name w:val="index 2"/>
    <w:basedOn w:val="Normal"/>
    <w:next w:val="Normal"/>
    <w:autoRedefine/>
    <w:pPr>
      <w:spacing w:before="0" w:after="240"/>
      <w:ind w:left="480" w:hanging="240"/>
    </w:pPr>
    <w:rPr>
      <w:rFonts w:eastAsia="Times New Roman"/>
      <w:szCs w:val="20"/>
    </w:rPr>
  </w:style>
  <w:style w:type="paragraph" w:styleId="Index3">
    <w:name w:val="index 3"/>
    <w:basedOn w:val="Normal"/>
    <w:next w:val="Normal"/>
    <w:autoRedefine/>
    <w:pPr>
      <w:spacing w:before="0" w:after="240"/>
      <w:ind w:left="720" w:hanging="240"/>
    </w:pPr>
    <w:rPr>
      <w:rFonts w:eastAsia="Times New Roman"/>
      <w:szCs w:val="20"/>
    </w:rPr>
  </w:style>
  <w:style w:type="paragraph" w:styleId="Index4">
    <w:name w:val="index 4"/>
    <w:basedOn w:val="Normal"/>
    <w:next w:val="Normal"/>
    <w:autoRedefine/>
    <w:pPr>
      <w:spacing w:before="0" w:after="240"/>
      <w:ind w:left="960" w:hanging="240"/>
    </w:pPr>
    <w:rPr>
      <w:rFonts w:eastAsia="Times New Roman"/>
      <w:szCs w:val="20"/>
    </w:rPr>
  </w:style>
  <w:style w:type="paragraph" w:styleId="Index5">
    <w:name w:val="index 5"/>
    <w:basedOn w:val="Normal"/>
    <w:next w:val="Normal"/>
    <w:autoRedefine/>
    <w:pPr>
      <w:spacing w:before="0" w:after="240"/>
      <w:ind w:left="1200" w:hanging="240"/>
    </w:pPr>
    <w:rPr>
      <w:rFonts w:eastAsia="Times New Roman"/>
      <w:szCs w:val="20"/>
    </w:rPr>
  </w:style>
  <w:style w:type="paragraph" w:styleId="Index6">
    <w:name w:val="index 6"/>
    <w:basedOn w:val="Normal"/>
    <w:next w:val="Normal"/>
    <w:autoRedefine/>
    <w:pPr>
      <w:spacing w:before="0" w:after="240"/>
      <w:ind w:left="1440" w:hanging="240"/>
    </w:pPr>
    <w:rPr>
      <w:rFonts w:eastAsia="Times New Roman"/>
      <w:szCs w:val="20"/>
    </w:rPr>
  </w:style>
  <w:style w:type="paragraph" w:styleId="Index7">
    <w:name w:val="index 7"/>
    <w:basedOn w:val="Normal"/>
    <w:next w:val="Normal"/>
    <w:autoRedefine/>
    <w:pPr>
      <w:spacing w:before="0" w:after="240"/>
      <w:ind w:left="1680" w:hanging="240"/>
    </w:pPr>
    <w:rPr>
      <w:rFonts w:eastAsia="Times New Roman"/>
      <w:szCs w:val="20"/>
    </w:rPr>
  </w:style>
  <w:style w:type="paragraph" w:styleId="Index8">
    <w:name w:val="index 8"/>
    <w:basedOn w:val="Normal"/>
    <w:next w:val="Normal"/>
    <w:autoRedefine/>
    <w:pPr>
      <w:spacing w:before="0" w:after="240"/>
      <w:ind w:left="1920" w:hanging="240"/>
    </w:pPr>
    <w:rPr>
      <w:rFonts w:eastAsia="Times New Roman"/>
      <w:szCs w:val="20"/>
    </w:rPr>
  </w:style>
  <w:style w:type="paragraph" w:styleId="Index9">
    <w:name w:val="index 9"/>
    <w:basedOn w:val="Normal"/>
    <w:next w:val="Normal"/>
    <w:autoRedefine/>
    <w:pPr>
      <w:spacing w:before="0" w:after="240"/>
      <w:ind w:left="2160" w:hanging="240"/>
    </w:pPr>
    <w:rPr>
      <w:rFonts w:eastAsia="Times New Roman"/>
      <w:szCs w:val="20"/>
    </w:rPr>
  </w:style>
  <w:style w:type="paragraph" w:styleId="IndexHeading">
    <w:name w:val="index heading"/>
    <w:basedOn w:val="Normal"/>
    <w:next w:val="Index1"/>
    <w:pPr>
      <w:spacing w:before="0" w:after="240"/>
    </w:pPr>
    <w:rPr>
      <w:rFonts w:ascii="Arial" w:eastAsia="Times New Roman" w:hAnsi="Arial"/>
      <w:b/>
      <w:szCs w:val="2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sz w:val="20"/>
      <w:szCs w:val="20"/>
    </w:rPr>
  </w:style>
  <w:style w:type="character" w:customStyle="1" w:styleId="MacroTextChar">
    <w:name w:val="Macro Text Char"/>
    <w:basedOn w:val="DefaultParagraphFont"/>
    <w:link w:val="MacroText"/>
    <w:rPr>
      <w:rFonts w:ascii="Courier New" w:eastAsia="Times New Roman" w:hAnsi="Courier New"/>
      <w:sz w:val="20"/>
      <w:szCs w:val="20"/>
      <w:lang w:val="fr-FR" w:eastAsia="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Cambria" w:eastAsia="Times New Roman" w:hAnsi="Cambria"/>
      <w:szCs w:val="24"/>
    </w:rPr>
  </w:style>
  <w:style w:type="character" w:customStyle="1" w:styleId="MessageHeaderChar">
    <w:name w:val="Message Header Char"/>
    <w:basedOn w:val="DefaultParagraphFont"/>
    <w:link w:val="MessageHeader"/>
    <w:rPr>
      <w:rFonts w:ascii="Cambria" w:eastAsia="Times New Roman" w:hAnsi="Cambria"/>
      <w:sz w:val="24"/>
      <w:szCs w:val="24"/>
      <w:shd w:val="pct20" w:color="auto" w:fill="auto"/>
      <w:lang w:val="fr-FR" w:eastAsia="fr-FR"/>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sz w:val="24"/>
      <w:szCs w:val="20"/>
      <w:lang w:val="fr-FR" w:eastAsia="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sz w:val="20"/>
      <w:szCs w:val="20"/>
      <w:lang w:val="fr-FR" w:eastAsia="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sz w:val="24"/>
      <w:szCs w:val="20"/>
      <w:lang w:val="fr-FR" w:eastAsia="fr-FR"/>
    </w:rPr>
  </w:style>
  <w:style w:type="paragraph" w:styleId="TableofAuthorities">
    <w:name w:val="table of authorities"/>
    <w:basedOn w:val="Normal"/>
    <w:next w:val="Normal"/>
    <w:pPr>
      <w:spacing w:before="0" w:after="240"/>
      <w:ind w:left="240" w:hanging="240"/>
    </w:pPr>
    <w:rPr>
      <w:rFonts w:eastAsia="Times New Roman"/>
      <w:szCs w:val="20"/>
    </w:rPr>
  </w:style>
  <w:style w:type="paragraph" w:styleId="Title">
    <w:name w:val="Title"/>
    <w:basedOn w:val="Normal"/>
    <w:link w:val="TitleChar"/>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Pr>
      <w:rFonts w:ascii="Cambria" w:eastAsia="Times New Roman" w:hAnsi="Cambria"/>
      <w:b/>
      <w:bCs/>
      <w:kern w:val="28"/>
      <w:sz w:val="32"/>
      <w:szCs w:val="32"/>
      <w:lang w:val="fr-FR" w:eastAsia="fr-FR"/>
    </w:rPr>
  </w:style>
  <w:style w:type="paragraph" w:styleId="TOAHeading">
    <w:name w:val="toa heading"/>
    <w:basedOn w:val="Normal"/>
    <w:next w:val="Normal"/>
    <w:pPr>
      <w:spacing w:after="240"/>
    </w:pPr>
    <w:rPr>
      <w:rFonts w:ascii="Arial" w:eastAsia="Times New Roman" w:hAnsi="Arial"/>
      <w:b/>
      <w:szCs w:val="20"/>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character" w:styleId="BookTitle">
    <w:name w:val="Book Title"/>
    <w:qFormat/>
    <w:rPr>
      <w:rFonts w:cs="Times New Roman"/>
      <w:b/>
      <w:smallCaps/>
      <w:spacing w:val="5"/>
    </w:rPr>
  </w:style>
  <w:style w:type="paragraph" w:customStyle="1" w:styleId="Briefinglist1">
    <w:name w:val="Briefing list 1"/>
    <w:basedOn w:val="Normal"/>
    <w:pPr>
      <w:numPr>
        <w:numId w:val="27"/>
      </w:numPr>
      <w:spacing w:before="0" w:after="240"/>
    </w:pPr>
    <w:rPr>
      <w:rFonts w:eastAsia="Times New Roman"/>
      <w:szCs w:val="20"/>
    </w:rPr>
  </w:style>
  <w:style w:type="paragraph" w:customStyle="1" w:styleId="ListNumberLevel1">
    <w:name w:val="List Number (Level 1)"/>
    <w:basedOn w:val="ListNumberLevel2"/>
    <w:pPr>
      <w:numPr>
        <w:ilvl w:val="1"/>
        <w:numId w:val="5"/>
      </w:numPr>
      <w:tabs>
        <w:tab w:val="clear" w:pos="360"/>
        <w:tab w:val="num" w:pos="1417"/>
      </w:tabs>
      <w:spacing w:before="0" w:after="240"/>
      <w:ind w:left="1417" w:hanging="708"/>
    </w:pPr>
    <w:rPr>
      <w:szCs w:val="20"/>
    </w:rPr>
  </w:style>
  <w:style w:type="character" w:customStyle="1" w:styleId="st1">
    <w:name w:val="st1"/>
    <w:rPr>
      <w:rFonts w:cs="Times New Roman"/>
    </w:rPr>
  </w:style>
  <w:style w:type="character" w:customStyle="1" w:styleId="ManualNumPar1Char">
    <w:name w:val="Manual NumPar 1 Char"/>
    <w:rPr>
      <w:rFonts w:ascii="Times New Roman" w:hAnsi="Times New Roman"/>
      <w:sz w:val="24"/>
    </w:rPr>
  </w:style>
  <w:style w:type="paragraph" w:customStyle="1" w:styleId="font6">
    <w:name w:val="font6"/>
    <w:basedOn w:val="Normal"/>
    <w:pPr>
      <w:spacing w:before="100" w:beforeAutospacing="1" w:after="100" w:afterAutospacing="1"/>
      <w:jc w:val="left"/>
    </w:pPr>
    <w:rPr>
      <w:rFonts w:ascii="Arial" w:eastAsia="Times New Roman" w:hAnsi="Arial" w:cs="Arial"/>
      <w:sz w:val="18"/>
      <w:szCs w:val="18"/>
      <w:u w:val="single"/>
    </w:rPr>
  </w:style>
  <w:style w:type="paragraph" w:customStyle="1" w:styleId="font7">
    <w:name w:val="font7"/>
    <w:basedOn w:val="Normal"/>
    <w:pPr>
      <w:spacing w:before="100" w:beforeAutospacing="1" w:after="100" w:afterAutospacing="1"/>
      <w:jc w:val="left"/>
    </w:pPr>
    <w:rPr>
      <w:rFonts w:ascii="Arial" w:eastAsia="Times New Roman" w:hAnsi="Arial" w:cs="Arial"/>
      <w:b/>
      <w:bCs/>
      <w:sz w:val="18"/>
      <w:szCs w:val="18"/>
    </w:rPr>
  </w:style>
  <w:style w:type="paragraph" w:customStyle="1" w:styleId="font8">
    <w:name w:val="font8"/>
    <w:basedOn w:val="Normal"/>
    <w:pPr>
      <w:spacing w:before="100" w:beforeAutospacing="1" w:after="100" w:afterAutospacing="1"/>
      <w:jc w:val="left"/>
    </w:pPr>
    <w:rPr>
      <w:rFonts w:ascii="Arial" w:eastAsia="Times New Roman" w:hAnsi="Arial" w:cs="Arial"/>
      <w:i/>
      <w:iCs/>
      <w:sz w:val="18"/>
      <w:szCs w:val="18"/>
    </w:rPr>
  </w:style>
  <w:style w:type="paragraph" w:customStyle="1" w:styleId="font9">
    <w:name w:val="font9"/>
    <w:basedOn w:val="Normal"/>
    <w:pPr>
      <w:spacing w:before="100" w:beforeAutospacing="1" w:after="100" w:afterAutospacing="1"/>
      <w:jc w:val="left"/>
    </w:pPr>
    <w:rPr>
      <w:rFonts w:ascii="Arial" w:eastAsia="Times New Roman" w:hAnsi="Arial" w:cs="Arial"/>
      <w:szCs w:val="24"/>
    </w:rPr>
  </w:style>
  <w:style w:type="paragraph" w:customStyle="1" w:styleId="font10">
    <w:name w:val="font10"/>
    <w:basedOn w:val="Normal"/>
    <w:pPr>
      <w:spacing w:before="100" w:beforeAutospacing="1" w:after="100" w:afterAutospacing="1"/>
      <w:jc w:val="left"/>
    </w:pPr>
    <w:rPr>
      <w:rFonts w:ascii="Arial" w:eastAsia="Times New Roman" w:hAnsi="Arial" w:cs="Arial"/>
      <w:b/>
      <w:bCs/>
      <w:szCs w:val="24"/>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25">
    <w:name w:val="xl25"/>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2">
    <w:name w:val="xl32"/>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4">
    <w:name w:val="xl3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5">
    <w:name w:val="xl35"/>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6">
    <w:name w:val="xl3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37">
    <w:name w:val="xl3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8">
    <w:name w:val="xl38"/>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9">
    <w:name w:val="xl39"/>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0">
    <w:name w:val="xl4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1">
    <w:name w:val="xl41"/>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3">
    <w:name w:val="xl43"/>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4">
    <w:name w:val="xl44"/>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bCs/>
      <w:sz w:val="18"/>
      <w:szCs w:val="18"/>
    </w:rPr>
  </w:style>
  <w:style w:type="paragraph" w:customStyle="1" w:styleId="xl46">
    <w:name w:val="xl4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7">
    <w:name w:val="xl4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48">
    <w:name w:val="xl48"/>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50">
    <w:name w:val="xl5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1">
    <w:name w:val="xl51"/>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54">
    <w:name w:val="xl5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5">
    <w:name w:val="xl55"/>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6">
    <w:name w:val="xl56"/>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7">
    <w:name w:val="xl57"/>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8">
    <w:name w:val="xl58"/>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pPr>
    <w:rPr>
      <w:rFonts w:ascii="Arial" w:eastAsia="Times New Roman" w:hAnsi="Arial" w:cs="Arial"/>
      <w:b/>
      <w:bCs/>
      <w:sz w:val="18"/>
      <w:szCs w:val="18"/>
    </w:rPr>
  </w:style>
  <w:style w:type="paragraph" w:customStyle="1" w:styleId="xl59">
    <w:name w:val="xl59"/>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textAlignment w:val="center"/>
    </w:pPr>
    <w:rPr>
      <w:rFonts w:ascii="Arial" w:eastAsia="Times New Roman" w:hAnsi="Arial" w:cs="Arial"/>
      <w:b/>
      <w:bCs/>
      <w:sz w:val="18"/>
      <w:szCs w:val="18"/>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61">
    <w:name w:val="xl61"/>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62">
    <w:name w:val="xl6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63">
    <w:name w:val="xl63"/>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MediumGrid21">
    <w:name w:val="Medium Grid 21"/>
    <w:uiPriority w:val="1"/>
    <w:qFormat/>
    <w:pPr>
      <w:spacing w:after="0" w:line="240" w:lineRule="auto"/>
    </w:pPr>
  </w:style>
  <w:style w:type="paragraph" w:styleId="ListParagraph">
    <w:name w:val="List Paragraph"/>
    <w:basedOn w:val="Normal"/>
    <w:uiPriority w:val="34"/>
    <w:qFormat/>
    <w:pPr>
      <w:widowControl w:val="0"/>
      <w:spacing w:before="0" w:after="0" w:line="360" w:lineRule="auto"/>
      <w:ind w:left="720"/>
      <w:jc w:val="left"/>
    </w:pPr>
    <w:rPr>
      <w:rFonts w:eastAsia="Times New Roman"/>
      <w:szCs w:val="20"/>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tabs>
        <w:tab w:val="num" w:pos="283"/>
        <w:tab w:val="num" w:pos="720"/>
        <w:tab w:val="num" w:pos="926"/>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bCs w:val="0"/>
      <w:smallCaps w:val="0"/>
      <w:szCs w:val="20"/>
    </w:rPr>
  </w:style>
  <w:style w:type="paragraph" w:customStyle="1" w:styleId="Style4">
    <w:name w:val="Style4"/>
    <w:basedOn w:val="Heading1"/>
    <w:next w:val="Style1"/>
    <w:pPr>
      <w:numPr>
        <w:numId w:val="0"/>
      </w:numPr>
      <w:spacing w:before="240" w:after="0"/>
      <w:jc w:val="left"/>
    </w:pPr>
    <w:rPr>
      <w:rFonts w:eastAsia="Times New Roman"/>
      <w:sz w:val="28"/>
      <w:szCs w:val="32"/>
    </w:rPr>
  </w:style>
  <w:style w:type="numbering" w:customStyle="1" w:styleId="NoList1">
    <w:name w:val="No List1"/>
    <w:next w:val="NoList"/>
    <w:semiHidden/>
    <w:unhideWhenUsed/>
  </w:style>
  <w:style w:type="table" w:customStyle="1" w:styleId="TableGrid10">
    <w:name w:val="Table Grid1"/>
    <w:basedOn w:val="TableNormal"/>
    <w:next w:val="TableGrid"/>
    <w:pPr>
      <w:spacing w:after="0" w:line="240" w:lineRule="auto"/>
    </w:pPr>
    <w:rPr>
      <w:rFonts w:ascii="Times New Roman" w:eastAsia="Batang"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int1Char">
    <w:name w:val="Point 1 Char"/>
    <w:rPr>
      <w:rFonts w:ascii="Times New Roman" w:hAnsi="Times New Roman"/>
      <w:sz w:val="24"/>
    </w:rPr>
  </w:style>
  <w:style w:type="paragraph" w:customStyle="1" w:styleId="a">
    <w:name w:val="목록 단락"/>
    <w:basedOn w:val="Normal"/>
    <w:qFormat/>
    <w:pPr>
      <w:widowControl w:val="0"/>
      <w:wordWrap w:val="0"/>
      <w:autoSpaceDE w:val="0"/>
      <w:autoSpaceDN w:val="0"/>
      <w:spacing w:before="0" w:after="0"/>
      <w:ind w:leftChars="400" w:left="800"/>
    </w:pPr>
    <w:rPr>
      <w:rFonts w:ascii="Malgun Gothic" w:eastAsia="Malgun Gothic" w:hAnsi="Malgun Gothic"/>
      <w:kern w:val="2"/>
      <w:sz w:val="20"/>
    </w:rPr>
  </w:style>
  <w:style w:type="character" w:customStyle="1" w:styleId="DocumentMapChar1">
    <w:name w:val="Document Map Char1"/>
    <w:uiPriority w:val="99"/>
    <w:semiHidden/>
    <w:rPr>
      <w:rFonts w:ascii="Tahoma" w:hAnsi="Tahoma" w:cs="Tahoma"/>
      <w:sz w:val="16"/>
      <w:szCs w:val="16"/>
    </w:rPr>
  </w:style>
  <w:style w:type="paragraph" w:styleId="Revision">
    <w:name w:val="Revision"/>
    <w:hidden/>
    <w:uiPriority w:val="99"/>
    <w:semiHidden/>
    <w:pPr>
      <w:spacing w:after="0" w:line="240" w:lineRule="auto"/>
    </w:pPr>
    <w:rPr>
      <w:rFonts w:ascii="Times New Roman" w:eastAsia="Batang" w:hAnsi="Times New Roman"/>
      <w:sz w:val="24"/>
      <w:szCs w:val="24"/>
    </w:rPr>
  </w:style>
  <w:style w:type="paragraph" w:styleId="NoSpacing">
    <w:name w:val="No Spacing"/>
    <w:uiPriority w:val="1"/>
    <w:qFormat/>
    <w:pPr>
      <w:spacing w:after="0" w:line="240" w:lineRule="auto"/>
    </w:pPr>
  </w:style>
  <w:style w:type="table" w:styleId="TableColorful1">
    <w:name w:val="Table Colorful 1"/>
    <w:basedOn w:val="TableNormal"/>
    <w:pPr>
      <w:widowControl w:val="0"/>
      <w:spacing w:after="0" w:line="360" w:lineRule="auto"/>
    </w:pPr>
    <w:rPr>
      <w:rFonts w:ascii="Times New Roman" w:eastAsia="Times New Roman" w:hAnsi="Times New Roman"/>
      <w:color w:val="FFFFFF"/>
      <w:sz w:val="20"/>
      <w:szCs w:val="20"/>
      <w:lang w:val="en-GB" w:eastAsia="en-GB"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33722">
      <w:bodyDiv w:val="1"/>
      <w:marLeft w:val="0"/>
      <w:marRight w:val="0"/>
      <w:marTop w:val="0"/>
      <w:marBottom w:val="0"/>
      <w:divBdr>
        <w:top w:val="none" w:sz="0" w:space="0" w:color="auto"/>
        <w:left w:val="none" w:sz="0" w:space="0" w:color="auto"/>
        <w:bottom w:val="none" w:sz="0" w:space="0" w:color="auto"/>
        <w:right w:val="none" w:sz="0" w:space="0" w:color="auto"/>
      </w:divBdr>
    </w:div>
    <w:div w:id="15247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68003-18C8-46CF-9816-3B612CEFC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16</Pages>
  <Words>5649</Words>
  <Characters>26607</Characters>
  <Application>Microsoft Office Word</Application>
  <DocSecurity>0</DocSecurity>
  <Lines>831</Lines>
  <Paragraphs>398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2016-01-08T15:43:00Z</dcterms:created>
  <dcterms:modified xsi:type="dcterms:W3CDTF">2016-01-13T14:39:00Z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2</vt:lpwstr>
  </property>
  <property fmtid="{D5CDD505-2E9C-101B-9397-08002B2CF9AE}" pid="8" name="Last annex">
    <vt:lpwstr>2</vt:lpwstr>
  </property>
  <property fmtid="{D5CDD505-2E9C-101B-9397-08002B2CF9AE}" pid="9" name="Part">
    <vt:lpwstr>1</vt:lpwstr>
  </property>
  <property fmtid="{D5CDD505-2E9C-101B-9397-08002B2CF9AE}" pid="10" name="Total parts">
    <vt:lpwstr>8</vt:lpwstr>
  </property>
  <property fmtid="{D5CDD505-2E9C-101B-9397-08002B2CF9AE}" pid="11" name="LWTemplateID">
    <vt:lpwstr>SG-017</vt:lpwstr>
  </property>
  <property fmtid="{D5CDD505-2E9C-101B-9397-08002B2CF9AE}" pid="12" name="DQCStatus">
    <vt:lpwstr>Green (DQC version 03)</vt:lpwstr>
  </property>
</Properties>
</file>