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154F7F2FCC844F195A25CF8B7170C12"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autoSpaceDE w:val="0"/>
        <w:autoSpaceDN w:val="0"/>
        <w:adjustRightInd w:val="0"/>
        <w:spacing w:after="0"/>
        <w:rPr>
          <w:noProof/>
          <w:szCs w:val="24"/>
        </w:rPr>
      </w:pPr>
      <w:r>
        <w:rPr>
          <w:noProof/>
        </w:rPr>
        <w:t>На своята 39</w:t>
      </w:r>
      <w:r>
        <w:rPr>
          <w:noProof/>
          <w:vertAlign w:val="superscript"/>
        </w:rPr>
        <w:t>-ата</w:t>
      </w:r>
      <w:r>
        <w:rPr>
          <w:noProof/>
        </w:rPr>
        <w:t xml:space="preserve"> сесия, състояла се в Найроби на 19 и 20 юни 2014 г., Съветът на министрите АКТБ</w:t>
      </w:r>
      <w:r>
        <w:rPr>
          <w:rStyle w:val="FootnoteReference"/>
          <w:noProof/>
        </w:rPr>
        <w:footnoteReference w:id="1"/>
      </w:r>
      <w:r>
        <w:rPr>
          <w:noProof/>
        </w:rPr>
        <w:t>—ЕС постигна съгласие в съвместна декларация да се пристъпи към закриване по установения ред на Центъра за развитие на предприятията (наричан по нататък „ЦРП“), който е съвместен технически орган по Споразумението за партньорство АКТБ—ЕС, създаден с приложение III към него</w:t>
      </w:r>
      <w:r>
        <w:rPr>
          <w:rStyle w:val="FootnoteReference"/>
          <w:noProof/>
        </w:rPr>
        <w:footnoteReference w:id="2"/>
      </w:r>
      <w:r>
        <w:rPr>
          <w:noProof/>
        </w:rPr>
        <w:t>. В своята съвместна декларация Съветът на министрите делегира правомощия на Комитета на посланиците АКТБ—ЕС да вземе необходимите решения, „</w:t>
      </w:r>
      <w:r>
        <w:rPr>
          <w:i/>
          <w:noProof/>
        </w:rPr>
        <w:t>включително съответното изменение на приложение III към Споразумението от Котону</w:t>
      </w:r>
      <w:r>
        <w:rPr>
          <w:noProof/>
        </w:rPr>
        <w:t xml:space="preserve">“. </w:t>
      </w:r>
    </w:p>
    <w:p>
      <w:pPr>
        <w:autoSpaceDE w:val="0"/>
        <w:autoSpaceDN w:val="0"/>
        <w:adjustRightInd w:val="0"/>
        <w:spacing w:after="0"/>
        <w:rPr>
          <w:noProof/>
          <w:szCs w:val="24"/>
        </w:rPr>
      </w:pPr>
      <w:r>
        <w:rPr>
          <w:noProof/>
        </w:rPr>
        <w:t>От юни 2014 г. насам бяха предприети последователни стъпки с цел ликвидация на ЦРП, като последното важно условие за ликвидация на ЦРП по установения ред е изменението на приложение III към Споразумението за партньорство АКТБ—ЕС.</w:t>
      </w:r>
    </w:p>
    <w:p>
      <w:pPr>
        <w:autoSpaceDE w:val="0"/>
        <w:autoSpaceDN w:val="0"/>
        <w:adjustRightInd w:val="0"/>
        <w:spacing w:after="0"/>
        <w:rPr>
          <w:i/>
          <w:noProof/>
          <w:szCs w:val="24"/>
        </w:rPr>
      </w:pPr>
      <w:r>
        <w:rPr>
          <w:noProof/>
        </w:rPr>
        <w:t>Целта на настоящото предложение на Комисията е да се направят необходимите изменения в приложение III към Споразумението за партньорство АКТБ—ЕС, както и да се създаде правна рамка за съществуването на ЦРП единствено за нуждите на неговата ликвидация и да се предвидят правни разпоредби по отношение на:</w:t>
      </w:r>
    </w:p>
    <w:p>
      <w:pPr>
        <w:autoSpaceDE w:val="0"/>
        <w:autoSpaceDN w:val="0"/>
        <w:adjustRightInd w:val="0"/>
        <w:spacing w:after="0"/>
        <w:ind w:left="568" w:hanging="284"/>
        <w:rPr>
          <w:noProof/>
          <w:szCs w:val="24"/>
        </w:rPr>
      </w:pPr>
      <w:r>
        <w:rPr>
          <w:i/>
          <w:noProof/>
        </w:rPr>
        <w:t>i</w:t>
      </w:r>
      <w:r>
        <w:rPr>
          <w:noProof/>
        </w:rPr>
        <w:t>) юридическата правосубектност на ЦРП;</w:t>
      </w:r>
    </w:p>
    <w:p>
      <w:pPr>
        <w:autoSpaceDE w:val="0"/>
        <w:autoSpaceDN w:val="0"/>
        <w:adjustRightInd w:val="0"/>
        <w:spacing w:after="0"/>
        <w:ind w:left="568" w:hanging="284"/>
        <w:rPr>
          <w:noProof/>
          <w:szCs w:val="24"/>
        </w:rPr>
      </w:pPr>
      <w:r>
        <w:rPr>
          <w:i/>
          <w:noProof/>
        </w:rPr>
        <w:t>ii</w:t>
      </w:r>
      <w:r>
        <w:rPr>
          <w:noProof/>
        </w:rPr>
        <w:t>) определянето на период за постепенно преустановяване на дейността на центъра;</w:t>
      </w:r>
    </w:p>
    <w:p>
      <w:pPr>
        <w:autoSpaceDE w:val="0"/>
        <w:autoSpaceDN w:val="0"/>
        <w:adjustRightInd w:val="0"/>
        <w:spacing w:after="0"/>
        <w:ind w:left="568" w:hanging="284"/>
        <w:rPr>
          <w:noProof/>
          <w:szCs w:val="24"/>
        </w:rPr>
      </w:pPr>
      <w:r>
        <w:rPr>
          <w:i/>
          <w:noProof/>
        </w:rPr>
        <w:t>iii</w:t>
      </w:r>
      <w:r>
        <w:rPr>
          <w:noProof/>
        </w:rPr>
        <w:t>) финансовите договорености;</w:t>
      </w:r>
    </w:p>
    <w:p>
      <w:pPr>
        <w:autoSpaceDE w:val="0"/>
        <w:autoSpaceDN w:val="0"/>
        <w:adjustRightInd w:val="0"/>
        <w:spacing w:after="0"/>
        <w:ind w:left="568" w:hanging="284"/>
        <w:rPr>
          <w:noProof/>
          <w:szCs w:val="24"/>
        </w:rPr>
      </w:pPr>
      <w:r>
        <w:rPr>
          <w:i/>
          <w:noProof/>
        </w:rPr>
        <w:t>iv</w:t>
      </w:r>
      <w:r>
        <w:rPr>
          <w:noProof/>
        </w:rPr>
        <w:t>) преразглеждането на структурата на управление на ЦРП единствено за нуждите на неговата ликвидация.</w:t>
      </w:r>
    </w:p>
    <w:p>
      <w:pPr>
        <w:autoSpaceDE w:val="0"/>
        <w:autoSpaceDN w:val="0"/>
        <w:adjustRightInd w:val="0"/>
        <w:spacing w:after="0"/>
        <w:rPr>
          <w:noProof/>
          <w:szCs w:val="24"/>
        </w:rPr>
      </w:pPr>
      <w:r>
        <w:rPr>
          <w:noProof/>
        </w:rPr>
        <w:t>Същевременно Комисията реши да оттегли предложението на Комисията за решение на Съвета относно „</w:t>
      </w:r>
      <w:r>
        <w:rPr>
          <w:i/>
          <w:noProof/>
        </w:rPr>
        <w:t>позицията, която Европейският съюз трябва да заеме в рамките на Съвета на министрите АКТБ—ЕС, по отношение на ревизирането на приложение IІІ към Споразумението за партньорство АКТБ—ЕС</w:t>
      </w:r>
      <w:r>
        <w:rPr>
          <w:noProof/>
        </w:rPr>
        <w:t>“ (COM (2014) 364 final</w:t>
      </w:r>
      <w:r>
        <w:rPr>
          <w:rStyle w:val="FootnoteReference"/>
          <w:noProof/>
        </w:rPr>
        <w:footnoteReference w:id="3"/>
      </w:r>
      <w:r>
        <w:rPr>
          <w:noProof/>
        </w:rPr>
        <w:t>), което послужи за основа на преговорите с цел подготовка на 39</w:t>
      </w:r>
      <w:r>
        <w:rPr>
          <w:noProof/>
          <w:vertAlign w:val="superscript"/>
        </w:rPr>
        <w:t>-ата</w:t>
      </w:r>
      <w:r>
        <w:rPr>
          <w:noProof/>
        </w:rPr>
        <w:t xml:space="preserve"> сесия на Съвета на министрите АКТБ—ЕС. Към тогавашния момент Комисията препоръча всички позовавания на ЦРП в приложение III просто да бъдат заличени. Това предложение на Комисията, прието на 10 юни 2014 г., стана неактуално и трябва да бъде преразгледано, за да се предвиди новата правна рамка за съществуване на ЦРП единствено за нуждите на неговата ликвидация. Успоредно с това ще бъде оттеглено предложение на Комисията COM (2014) 364, като се следва необходимата процедура.</w:t>
      </w:r>
    </w:p>
    <w:p>
      <w:pPr>
        <w:autoSpaceDE w:val="0"/>
        <w:autoSpaceDN w:val="0"/>
        <w:adjustRightInd w:val="0"/>
        <w:spacing w:after="0"/>
        <w:rPr>
          <w:noProof/>
          <w:szCs w:val="24"/>
        </w:rPr>
      </w:pPr>
      <w:r>
        <w:rPr>
          <w:noProof/>
        </w:rPr>
        <w:t>Комисията предлага Съветът на Европейския съюз да приеме приложеното решение.</w:t>
      </w:r>
    </w:p>
    <w:p>
      <w:pPr>
        <w:pStyle w:val="ManualHeading2"/>
        <w:ind w:left="0" w:firstLine="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2016/0012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Европейският съюз трябва да заеме в рамките на Комитета на посланиците АКТБ—ЕС по отношение на преразглеждането на приложение IІІ към Споразумението за партньорство АКТБ—ЕС</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209, параграф 2 от него във връзка с член 218, параграф 9 от него,</w:t>
      </w:r>
    </w:p>
    <w:p>
      <w:pPr>
        <w:rPr>
          <w:noProof/>
        </w:rPr>
      </w:pPr>
      <w:r>
        <w:rPr>
          <w:noProof/>
        </w:rPr>
        <w:t>като взе предвид Споразумението за партньорство между членовете на Групата страни от Африка, Карибите и Тихоокеанския басейн, от една страна, и Европейската общност и нейните държави членки, от друга страна, (наричано по-нататък „Споразумението за партньорство АКТБ—ЕС“)</w:t>
      </w:r>
      <w:r>
        <w:rPr>
          <w:rStyle w:val="FootnoteReference"/>
          <w:noProof/>
        </w:rPr>
        <w:footnoteReference w:id="4"/>
      </w:r>
      <w:r>
        <w:rPr>
          <w:noProof/>
        </w:rPr>
        <w:t>,</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100 от Споразумението за партньорство АКТБ—ЕС се посочва, че приложения Iа, Iб, II, III, IV и VI към него могат да бъдат преразглеждани, адаптирани и/или изменяни от Съвета на министрите АКТБ—ЕС въз основа на препоръка от Комитета АКТБ—ЕС за сътрудничество при финансиране на развитието.</w:t>
      </w:r>
    </w:p>
    <w:p>
      <w:pPr>
        <w:pStyle w:val="ManualConsidrant"/>
        <w:rPr>
          <w:noProof/>
        </w:rPr>
      </w:pPr>
      <w:r>
        <w:t>(2)</w:t>
      </w:r>
      <w:r>
        <w:tab/>
      </w:r>
      <w:r>
        <w:rPr>
          <w:noProof/>
        </w:rPr>
        <w:t>В член 15, параграф 4 от Споразумението за партньорство АКТБ—ЕС се посочва, че Съветът на министрите АКТБ—ЕС може да делегира правомощия на Комитета на посланиците АКТБ—ЕС.</w:t>
      </w:r>
    </w:p>
    <w:p>
      <w:pPr>
        <w:pStyle w:val="ManualConsidrant"/>
        <w:rPr>
          <w:noProof/>
        </w:rPr>
      </w:pPr>
      <w:r>
        <w:t>(3)</w:t>
      </w:r>
      <w:r>
        <w:tab/>
      </w:r>
      <w:r>
        <w:rPr>
          <w:noProof/>
        </w:rPr>
        <w:t>На своята 39</w:t>
      </w:r>
      <w:r>
        <w:rPr>
          <w:noProof/>
          <w:vertAlign w:val="superscript"/>
        </w:rPr>
        <w:t>-ата</w:t>
      </w:r>
      <w:r>
        <w:rPr>
          <w:noProof/>
        </w:rPr>
        <w:t xml:space="preserve"> сесия, състояла се в Найроби на 19 и 20 юни 2014 г., Съветът на министрите АКТБ—ЕС постигна съгласие в съвместна декларация да се пристъпи към закриване по установения ред на Центъра за развитие на предприятията (наричан по-нататък „ЦРП“) </w:t>
      </w:r>
      <w:r>
        <w:rPr>
          <w:i/>
          <w:noProof/>
        </w:rPr>
        <w:t>„и към изменение на приложение III към Споразумението от Котону“</w:t>
      </w:r>
      <w:r>
        <w:rPr>
          <w:noProof/>
        </w:rPr>
        <w:t>. За тази цел Съветът на министрите АКТБ—ЕС взе решение да делегира на Комитета на посланиците АКТБ—ЕС правомощия да придвижи въпроса с цел приемане на необходимите решения, „</w:t>
      </w:r>
      <w:r>
        <w:rPr>
          <w:i/>
          <w:noProof/>
        </w:rPr>
        <w:t>включително съответното изменение на приложение III към Споразумението от Котону“</w:t>
      </w:r>
      <w:r>
        <w:rPr>
          <w:noProof/>
        </w:rPr>
        <w:t>.</w:t>
      </w:r>
    </w:p>
    <w:p>
      <w:pPr>
        <w:pStyle w:val="ManualConsidrant"/>
        <w:rPr>
          <w:noProof/>
        </w:rPr>
      </w:pPr>
      <w:r>
        <w:t>(4)</w:t>
      </w:r>
      <w:r>
        <w:tab/>
      </w:r>
      <w:r>
        <w:rPr>
          <w:noProof/>
        </w:rPr>
        <w:t>Изменението на приложение III засяга определянето на нова правна рамка за съществуването на ЦРП единствено за нуждите на неговата ликвидация.</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pStyle w:val="ManualNumPar1"/>
        <w:rPr>
          <w:noProof/>
        </w:rPr>
      </w:pPr>
      <w:r>
        <w:rPr>
          <w:noProof/>
        </w:rPr>
        <w:t>1.</w:t>
      </w:r>
      <w:r>
        <w:rPr>
          <w:noProof/>
        </w:rPr>
        <w:tab/>
        <w:t>Позицията, която Европейският съюз трябва да заеме в рамките на Комитета на посланиците АКТБ—ЕС по отношение на преразглеждането на приложение III към Споразумението за партньорство АКТБ—ЕС се основава на проекта на решение на Комитета на посланиците АКТБ—ЕС, приложен към настоящото решение.</w:t>
      </w:r>
    </w:p>
    <w:p>
      <w:pPr>
        <w:pStyle w:val="ManualNumPar2"/>
        <w:rPr>
          <w:noProof/>
        </w:rPr>
      </w:pPr>
      <w:r>
        <w:rPr>
          <w:noProof/>
        </w:rPr>
        <w:t xml:space="preserve">2. </w:t>
      </w:r>
      <w:r>
        <w:rPr>
          <w:noProof/>
        </w:rPr>
        <w:tab/>
        <w:t>Незначителни изменения на проекта на решението могат да бъдат договаряни от представителите на Съюза в Комитета на посланиците АКТБ—ЕС, без да е необходимо допълнително решение на Комитета.</w:t>
      </w:r>
    </w:p>
    <w:p>
      <w:pPr>
        <w:pStyle w:val="Titrearticle"/>
        <w:rPr>
          <w:noProof/>
        </w:rPr>
      </w:pPr>
      <w:r>
        <w:rPr>
          <w:noProof/>
        </w:rPr>
        <w:t>Член 2</w:t>
      </w:r>
    </w:p>
    <w:p>
      <w:pPr>
        <w:keepLines/>
        <w:rPr>
          <w:noProof/>
        </w:rPr>
      </w:pPr>
      <w:r>
        <w:rPr>
          <w:noProof/>
        </w:rPr>
        <w:t xml:space="preserve">След приемането му решението на Комитета на посланиците АКТБ—ЕС се публикува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autoSpaceDE w:val="0"/>
        <w:autoSpaceDN w:val="0"/>
        <w:adjustRightInd w:val="0"/>
        <w:spacing w:after="0"/>
        <w:rPr>
          <w:sz w:val="18"/>
          <w:szCs w:val="18"/>
          <w:lang w:eastAsia="en-GB"/>
        </w:rPr>
      </w:pPr>
      <w:r>
        <w:rPr>
          <w:rStyle w:val="FootnoteReference"/>
        </w:rPr>
        <w:footnoteRef/>
      </w:r>
      <w:r>
        <w:rPr>
          <w:sz w:val="18"/>
          <w:szCs w:val="18"/>
        </w:rPr>
        <w:tab/>
        <w:t>Африка, Карибите и Тихоокеанския басейн („АКТБ“).</w:t>
      </w:r>
    </w:p>
  </w:footnote>
  <w:footnote w:id="2">
    <w:p>
      <w:pPr>
        <w:pStyle w:val="FootnoteText"/>
        <w:rPr>
          <w:sz w:val="18"/>
          <w:szCs w:val="18"/>
        </w:rPr>
      </w:pPr>
      <w:r>
        <w:rPr>
          <w:rStyle w:val="FootnoteReference"/>
        </w:rPr>
        <w:footnoteRef/>
      </w:r>
      <w:r>
        <w:rPr>
          <w:sz w:val="18"/>
          <w:szCs w:val="18"/>
        </w:rPr>
        <w:tab/>
        <w:t>ОВ L 317, 15.12.2000 г. стр.3 Споразумение, подписано в Котону на 23 юни 2000 г., изменено със споразумението, подписано в Люксембург на 25 юни 2005 г. (OВ L 209, 11.8.2005 г., стp. 27), и със споразумението, подписано в Уагадугу на 22 юни 2010 г. (OВ L 287, 4.11.2010 г., стp. 3).</w:t>
      </w:r>
    </w:p>
  </w:footnote>
  <w:footnote w:id="3">
    <w:p>
      <w:pPr>
        <w:autoSpaceDE w:val="0"/>
        <w:autoSpaceDN w:val="0"/>
        <w:adjustRightInd w:val="0"/>
        <w:spacing w:after="0"/>
        <w:ind w:left="720" w:hanging="720"/>
        <w:rPr>
          <w:sz w:val="18"/>
          <w:szCs w:val="18"/>
          <w:lang w:eastAsia="en-GB"/>
        </w:rPr>
      </w:pPr>
      <w:r>
        <w:rPr>
          <w:rStyle w:val="FootnoteReference"/>
        </w:rPr>
        <w:footnoteRef/>
      </w:r>
      <w:r>
        <w:rPr>
          <w:sz w:val="18"/>
          <w:szCs w:val="18"/>
        </w:rPr>
        <w:tab/>
        <w:t>Предложение за решение на Съвета относно позицията, която Европейският съюз трябва да заеме в рамките на Съвета на министрите АКТБ—ЕС, по отношение на ревизирането на приложение ІІІ към Споразумението за партньорство АКТБ—ЕС (COM(2014) 364 final).</w:t>
      </w:r>
    </w:p>
    <w:p>
      <w:pPr>
        <w:autoSpaceDE w:val="0"/>
        <w:autoSpaceDN w:val="0"/>
        <w:adjustRightInd w:val="0"/>
        <w:spacing w:before="0" w:after="0"/>
        <w:rPr>
          <w:sz w:val="18"/>
          <w:szCs w:val="18"/>
          <w:lang w:eastAsia="en-GB"/>
        </w:rPr>
      </w:pPr>
      <w:r>
        <w:rPr>
          <w:sz w:val="18"/>
          <w:szCs w:val="18"/>
        </w:rPr>
        <w:tab/>
      </w:r>
      <w:hyperlink r:id="rId1">
        <w:r>
          <w:rPr>
            <w:rStyle w:val="Hyperlink"/>
            <w:sz w:val="18"/>
            <w:szCs w:val="18"/>
          </w:rPr>
          <w:t>http://eur-lex.europa.eu/legal-content/BG/TXT/HTML/?uri=CELEX:52014PC0364&amp;from=EN</w:t>
        </w:r>
      </w:hyperlink>
      <w:r>
        <w:rPr>
          <w:sz w:val="18"/>
          <w:szCs w:val="18"/>
        </w:rPr>
        <w:t xml:space="preserve"> </w:t>
      </w:r>
    </w:p>
    <w:p>
      <w:pPr>
        <w:autoSpaceDE w:val="0"/>
        <w:autoSpaceDN w:val="0"/>
        <w:adjustRightInd w:val="0"/>
        <w:spacing w:after="0"/>
        <w:rPr>
          <w:sz w:val="18"/>
          <w:szCs w:val="18"/>
        </w:rPr>
      </w:pPr>
    </w:p>
  </w:footnote>
  <w:footnote w:id="4">
    <w:p>
      <w:pPr>
        <w:pStyle w:val="FootnoteText"/>
        <w:rPr>
          <w:sz w:val="18"/>
        </w:rPr>
      </w:pPr>
      <w:r>
        <w:rPr>
          <w:rStyle w:val="FootnoteReference"/>
        </w:rPr>
        <w:footnoteRef/>
      </w:r>
      <w:r>
        <w:rPr>
          <w:sz w:val="18"/>
          <w:szCs w:val="18"/>
        </w:rPr>
        <w:tab/>
        <w:t>OВ L 287, 4.11.2010 г., стр. 3. Споразумение, изменено със споразумението, подписано в Люксембург на 25 юни 2005 г. (OВ L 209, 11.8.2005 г., стp. 27), и със споразумението, подписано в Уагадугу на 22 юни 2010 г. (OВ L 287, 4.11.2010 г., стp.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542A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B0BB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8AD8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0E6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FB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5CC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74A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61E68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hideSpellingErrors/>
  <w:hideGrammaticalErrors/>
  <w:attachedTemplate r:id="rId1"/>
  <w:revisionView w:markup="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5 09:57: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3"/>
    <w:docVar w:name="DQCStatus" w:val="Green"/>
    <w:docVar w:name="DQCVersion" w:val="3"/>
    <w:docVar w:name="DQCWithWarnings" w:val="0"/>
    <w:docVar w:name="LW_CONFIDENCE" w:val=" "/>
    <w:docVar w:name="LW_CONST_RESTREINT_UE" w:val="RESTREINT UE"/>
    <w:docVar w:name="LW_CORRIGENDUM" w:val="&lt;UNUSED&gt;"/>
    <w:docVar w:name="LW_COVERPAGE_GUID" w:val="E154F7F2FCC844F195A25CF8B7170C12"/>
    <w:docVar w:name="LW_CROSSREFERENCE" w:val="&lt;UNUSED&gt;"/>
    <w:docVar w:name="LW_DocType" w:val="COM"/>
    <w:docVar w:name="LW_EMISSION" w:val="25.1.2016"/>
    <w:docVar w:name="LW_EMISSION_ISODATE" w:val="2016-01-2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2"/>
    <w:docVar w:name="LW_REF.II.NEW.CP_YEAR" w:val="2016"/>
    <w:docVar w:name="LW_REF.INST.NEW" w:val="COM"/>
    <w:docVar w:name="LW_REF.INST.NEW_ADOPTED" w:val="final"/>
    <w:docVar w:name="LW_REF.INST.NEW_TEXT" w:val="(2016) 28"/>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45?\u1074?\u1088?\u1086?\u1087?\u1077?\u1081?\u1089?\u1082?\u1080?\u1103?\u1090? \u1089?\u1098?\u1102?\u1079? \u1090?\u1088?\u1103?\u1073?\u1074?\u1072? \u1076?\u1072? \u1079?\u1072?\u1077?\u1084?\u1077? \u1074? \u1088?\u1072?\u1084?\u1082?\u1080?\u1090?\u1077? \u1085?\u1072? \u1050?\u1086?\u1084?\u1080?\u1090?\u1077?\u1090?\u1072? \u1085?\u1072? \u1087?\u1086?\u1089?\u1083?\u1072?\u1085?\u1080?\u1094?\u1080?\u1090?\u1077? \u1040?\u1050?\u1058?\u1041?\u8212?\u1045?\u1057? \u1087?\u1086? \u1086?\u1090?\u1085?\u1086?\u1096?\u1077?\u1085?\u1080?\u1077? \u1085?\u1072? \u1087?\u1088?\u1077?\u1088?\u1072?\u1079?\u1075?\u1083?\u1077?\u1078?\u1076?\u1072?\u1085?\u1077?\u1090?\u1086? \u1085?\u1072? \u1087?\u1088?\u1080?\u1083?\u1086?\u1078?\u1077?\u1085?\u1080?\u1077? I\u1030?\u1030? \u1082?\u1098?\u1084? \u1057?\u1087?\u1086?\u1088?\u1072?\u1079?\u1091?\u1084?\u1077?\u1085?\u1080?\u1077?\u1090?\u1086? \u1079?\u1072? \u1087?\u1072?\u1088?\u1090?\u1085?\u1100?\u1086?\u1088?\u1089?\u1090?\u1074?\u1086? \u1040?\u1050?\u1058?\u1041?\u8212?\u1045?\u105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TXT/HTML/?uri=CELEX:52014PC0364&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FD55-BFBB-45B6-B7DD-7C960810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760</Words>
  <Characters>4270</Characters>
  <Application>Microsoft Office Word</Application>
  <DocSecurity>0</DocSecurity>
  <Lines>87</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2016-01-14T12:16:00Z</dcterms:created>
  <dcterms:modified xsi:type="dcterms:W3CDTF">2016-01-25T08:57:00Z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