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A9DDD5BFC5D4524BDCA2F1E7426969B" style="width:451.25pt;height:366.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Bullet0"/>
        <w:numPr>
          <w:ilvl w:val="0"/>
          <w:numId w:val="2"/>
        </w:numPr>
        <w:rPr>
          <w:b/>
          <w:noProof/>
        </w:rPr>
      </w:pPr>
      <w:r>
        <w:rPr>
          <w:b/>
          <w:noProof/>
        </w:rPr>
        <w:t>Основания и цели на предложението</w:t>
      </w:r>
    </w:p>
    <w:p>
      <w:pPr>
        <w:rPr>
          <w:noProof/>
          <w:color w:val="000000"/>
          <w:szCs w:val="20"/>
        </w:rPr>
      </w:pPr>
      <w:r>
        <w:rPr>
          <w:noProof/>
          <w:color w:val="000000"/>
        </w:rPr>
        <w:t>Приложеното предложение за решение на Съвета представлява правният инструмент за сключването на Споразумението за икономическо партньорство (СИП) между държавите партньори от Източноафриканската общност (ИАО), от една страна, и Европейския съюз и неговите държави членки, от друга страна (СИП с ИАО). Държавите партньори от ИАО са Бурунди, Кения, Руанда, Танзания и Уганда.</w:t>
      </w:r>
    </w:p>
    <w:p>
      <w:pPr>
        <w:rPr>
          <w:noProof/>
          <w:color w:val="000000"/>
          <w:szCs w:val="20"/>
        </w:rPr>
      </w:pPr>
      <w:r>
        <w:rPr>
          <w:noProof/>
          <w:color w:val="000000"/>
        </w:rPr>
        <w:t xml:space="preserve">Преговорите на ниво главни преговарящи приключиха на 14 октомври 2014 г. в Брюксел. Споразумението бе парафирано на 16 октомври 2014 г. в Брюксел. </w:t>
      </w:r>
    </w:p>
    <w:p>
      <w:pPr>
        <w:rPr>
          <w:noProof/>
          <w:color w:val="000000"/>
          <w:szCs w:val="20"/>
        </w:rPr>
      </w:pPr>
      <w:r>
        <w:rPr>
          <w:noProof/>
          <w:color w:val="000000"/>
        </w:rPr>
        <w:t xml:space="preserve">Кения понастоящем се ползва от схемата, предвидена в Регламента относно достъпа до пазара (MAR). Останалите държави от региона понастоящем се ползват с подкрепа по линия на инициативата „Всичко освен оръжие“ поради класирането им сред най-слаборазвитите държави (НСРД). </w:t>
      </w:r>
    </w:p>
    <w:p>
      <w:pPr>
        <w:rPr>
          <w:noProof/>
          <w:color w:val="000000"/>
          <w:szCs w:val="20"/>
        </w:rPr>
      </w:pPr>
      <w:r>
        <w:rPr>
          <w:noProof/>
          <w:color w:val="000000"/>
        </w:rPr>
        <w:t xml:space="preserve">Споразумението ще осигури единен режим за достъп на държавите партньори от ИАО веднага след влизането му в сила. </w:t>
      </w:r>
    </w:p>
    <w:p>
      <w:pPr>
        <w:pStyle w:val="Bullet0"/>
        <w:numPr>
          <w:ilvl w:val="0"/>
          <w:numId w:val="10"/>
        </w:numPr>
        <w:rPr>
          <w:b/>
          <w:noProof/>
          <w:color w:val="000000"/>
          <w:szCs w:val="20"/>
        </w:rPr>
      </w:pPr>
      <w:r>
        <w:rPr>
          <w:b/>
          <w:noProof/>
          <w:color w:val="000000"/>
        </w:rPr>
        <w:t>Съгласуваност със съществуващите разпоредби в тази област на политиката</w:t>
      </w:r>
    </w:p>
    <w:p>
      <w:pPr>
        <w:rPr>
          <w:noProof/>
          <w:szCs w:val="20"/>
        </w:rPr>
      </w:pPr>
      <w:r>
        <w:rPr>
          <w:noProof/>
        </w:rPr>
        <w:t>Настоящото предложение се отнася до прилагането на Споразумението за партньорство между членовете на групата държави от Африка, Карибите и Тихоокеанския басейн, от една страна, и Европейската общност и нейните държави членки, от друга страна</w:t>
      </w:r>
      <w:r>
        <w:rPr>
          <w:rStyle w:val="FootnoteReference"/>
          <w:noProof/>
        </w:rPr>
        <w:footnoteReference w:id="1"/>
      </w:r>
      <w:r>
        <w:rPr>
          <w:noProof/>
        </w:rPr>
        <w:t xml:space="preserve"> („Споразумението за партньорство АКТБ — ЕС“), в което се призовава за сключването на съвместими с текстовете на СТО споразумения за икономическо партньорство. </w:t>
      </w:r>
    </w:p>
    <w:p>
      <w:pPr>
        <w:pStyle w:val="Bullet0"/>
        <w:numPr>
          <w:ilvl w:val="0"/>
          <w:numId w:val="10"/>
        </w:numPr>
        <w:rPr>
          <w:b/>
          <w:noProof/>
          <w:color w:val="000000"/>
          <w:szCs w:val="20"/>
        </w:rPr>
      </w:pPr>
      <w:r>
        <w:rPr>
          <w:b/>
          <w:noProof/>
          <w:color w:val="000000"/>
        </w:rPr>
        <w:t xml:space="preserve">Съгласуваност </w:t>
      </w:r>
      <w:r>
        <w:rPr>
          <w:b/>
          <w:noProof/>
          <w:u w:color="000000"/>
          <w:bdr w:val="nil"/>
        </w:rPr>
        <w:t>с</w:t>
      </w:r>
      <w:r>
        <w:rPr>
          <w:b/>
          <w:noProof/>
          <w:color w:val="000000"/>
        </w:rPr>
        <w:t xml:space="preserve"> другите политики на Съюза</w:t>
      </w:r>
    </w:p>
    <w:p>
      <w:pPr>
        <w:rPr>
          <w:noProof/>
          <w:color w:val="000000"/>
          <w:szCs w:val="20"/>
        </w:rPr>
      </w:pPr>
      <w:r>
        <w:rPr>
          <w:noProof/>
          <w:color w:val="000000"/>
        </w:rPr>
        <w:t xml:space="preserve">СИП с ИАО е ориентирано към развитието търговско споразумение. То предлага асиметричен достъп до пазара на държавите партньори от ИАО, който им позволява да предпазят определени чувствителни сектори от либерализация, в споразумението са предвидени голям брой защитни мерки и клауза за защита на новосъздадени промишлени отрасли, в него се съдържат разпоредби относно правилата за произход, които улесняват износа и с него се премахва използването на експортни субсидии при търговията между страните. </w:t>
      </w:r>
      <w:r>
        <w:rPr>
          <w:noProof/>
        </w:rPr>
        <w:t>Тези разпоредби допринасят за постигане на целите за съгласуваност на политиките в интерес на развитието и са в съответствие с член 208, параграф 2 от ДФЕС.</w:t>
      </w:r>
    </w:p>
    <w:p>
      <w:pPr>
        <w:pStyle w:val="ManualHeading1"/>
        <w:rPr>
          <w:smallCaps w:val="0"/>
          <w:noProof/>
        </w:rPr>
      </w:pPr>
      <w:r>
        <w:rPr>
          <w:noProof/>
        </w:rPr>
        <w:t>2.</w:t>
      </w:r>
      <w:r>
        <w:rPr>
          <w:noProof/>
        </w:rPr>
        <w:tab/>
        <w:t>ПРАВНО ОСНОВАНИЕ, СУБСИДИАРНОСТ И ПРОПОРЦИОНАЛНОСТ</w:t>
      </w:r>
    </w:p>
    <w:p>
      <w:pPr>
        <w:pStyle w:val="Bullet0"/>
        <w:numPr>
          <w:ilvl w:val="0"/>
          <w:numId w:val="10"/>
        </w:numPr>
        <w:rPr>
          <w:b/>
          <w:noProof/>
          <w:color w:val="000000"/>
          <w:szCs w:val="20"/>
        </w:rPr>
      </w:pPr>
      <w:r>
        <w:rPr>
          <w:b/>
          <w:noProof/>
          <w:color w:val="000000"/>
        </w:rPr>
        <w:t>Правно основание</w:t>
      </w:r>
    </w:p>
    <w:p>
      <w:pPr>
        <w:autoSpaceDE w:val="0"/>
        <w:autoSpaceDN w:val="0"/>
        <w:adjustRightInd w:val="0"/>
        <w:rPr>
          <w:noProof/>
          <w:color w:val="000000"/>
          <w:szCs w:val="20"/>
        </w:rPr>
      </w:pPr>
      <w:r>
        <w:rPr>
          <w:noProof/>
        </w:rPr>
        <w:t>Правното основание на настоящото решение на Съвета е Договорът за функционирането на Европейския съюз и по-специално неговите член 207, параграфи 3 и 4, и член 209, параграф 2, във връзка с член 218, параграф 6, буква а) от него.</w:t>
      </w:r>
      <w:r>
        <w:rPr>
          <w:noProof/>
          <w:color w:val="000000"/>
        </w:rPr>
        <w:t xml:space="preserve"> </w:t>
      </w:r>
    </w:p>
    <w:p>
      <w:pPr>
        <w:pStyle w:val="Bullet0"/>
        <w:numPr>
          <w:ilvl w:val="0"/>
          <w:numId w:val="10"/>
        </w:numPr>
        <w:rPr>
          <w:b/>
          <w:noProof/>
        </w:rPr>
      </w:pPr>
      <w:r>
        <w:rPr>
          <w:b/>
          <w:noProof/>
        </w:rPr>
        <w:lastRenderedPageBreak/>
        <w:t>Субсидиарност (при неизключителна компетентност)</w:t>
      </w:r>
    </w:p>
    <w:p>
      <w:pPr>
        <w:rPr>
          <w:noProof/>
        </w:rPr>
      </w:pPr>
      <w:r>
        <w:rPr>
          <w:noProof/>
        </w:rPr>
        <w:t>В съответствие с член 3 от ДФЕС общата търговска политика е от изключителната компетентност на Съюза.</w:t>
      </w:r>
    </w:p>
    <w:p>
      <w:pPr>
        <w:pStyle w:val="Bullet0"/>
        <w:numPr>
          <w:ilvl w:val="0"/>
          <w:numId w:val="10"/>
        </w:numPr>
        <w:rPr>
          <w:noProof/>
        </w:rPr>
      </w:pPr>
      <w:r>
        <w:rPr>
          <w:b/>
          <w:noProof/>
          <w:color w:val="000000"/>
        </w:rPr>
        <w:t>Пропорционалност</w:t>
      </w:r>
    </w:p>
    <w:p>
      <w:pPr>
        <w:rPr>
          <w:noProof/>
        </w:rPr>
      </w:pPr>
      <w:r>
        <w:rPr>
          <w:noProof/>
        </w:rPr>
        <w:t xml:space="preserve">Настоящото предложение е необходимо с оглед изпълнението на международните ангажименти на Съюза, залегнали в Споразумението за партньорство АКТБ — ЕО. </w:t>
      </w:r>
    </w:p>
    <w:p>
      <w:pPr>
        <w:pStyle w:val="Bullet0"/>
        <w:numPr>
          <w:ilvl w:val="0"/>
          <w:numId w:val="10"/>
        </w:numPr>
        <w:rPr>
          <w:b/>
          <w:noProof/>
        </w:rPr>
      </w:pPr>
      <w:r>
        <w:rPr>
          <w:b/>
          <w:noProof/>
        </w:rPr>
        <w:t>Избор на инструмент</w:t>
      </w:r>
    </w:p>
    <w:p>
      <w:pPr>
        <w:rPr>
          <w:noProof/>
        </w:rPr>
      </w:pPr>
      <w:r>
        <w:rPr>
          <w:noProof/>
        </w:rPr>
        <w:t xml:space="preserve">Настоящото предложение е в съответствие с член 218, параграф 6 от ДФЕС, който предвижда приемането от Съвета на решения относно сключването на международни споразумения. Не съществува друг правен инструмент, който да може да бъде използван за постигане на целта, изложена в настоящото предложение.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Bullet0"/>
        <w:numPr>
          <w:ilvl w:val="0"/>
          <w:numId w:val="10"/>
        </w:numPr>
        <w:rPr>
          <w:b/>
          <w:noProof/>
          <w:u w:color="000000"/>
          <w:bdr w:val="nil"/>
        </w:rPr>
      </w:pPr>
      <w:r>
        <w:rPr>
          <w:b/>
          <w:noProof/>
          <w:u w:color="000000"/>
          <w:bdr w:val="nil"/>
        </w:rPr>
        <w:t xml:space="preserve">Последващи </w:t>
      </w:r>
      <w:r>
        <w:rPr>
          <w:b/>
          <w:noProof/>
        </w:rPr>
        <w:t>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Bullet0"/>
        <w:numPr>
          <w:ilvl w:val="0"/>
          <w:numId w:val="10"/>
        </w:numPr>
        <w:rPr>
          <w:rFonts w:eastAsia="Arial Unicode MS"/>
          <w:b/>
          <w:noProof/>
          <w:u w:color="000000"/>
          <w:bdr w:val="nil"/>
        </w:rPr>
      </w:pPr>
      <w:r>
        <w:rPr>
          <w:b/>
          <w:noProof/>
          <w:u w:color="000000"/>
          <w:bdr w:val="nil"/>
        </w:rPr>
        <w:t>Консултации със заинтересованите страни</w:t>
      </w:r>
    </w:p>
    <w:p>
      <w:pPr>
        <w:keepNext/>
        <w:tabs>
          <w:tab w:val="left" w:pos="850"/>
        </w:tabs>
        <w:outlineLvl w:val="1"/>
        <w:rPr>
          <w:noProof/>
          <w:color w:val="000000"/>
          <w:szCs w:val="20"/>
        </w:rPr>
      </w:pPr>
      <w:r>
        <w:rPr>
          <w:noProof/>
          <w:color w:val="000000"/>
        </w:rPr>
        <w:t>Не се прилага.</w:t>
      </w:r>
    </w:p>
    <w:p>
      <w:pPr>
        <w:pStyle w:val="Bullet0"/>
        <w:numPr>
          <w:ilvl w:val="0"/>
          <w:numId w:val="10"/>
        </w:numPr>
        <w:rPr>
          <w:rFonts w:eastAsia="Arial Unicode MS"/>
          <w:b/>
          <w:noProof/>
          <w:u w:color="000000"/>
          <w:bdr w:val="nil"/>
        </w:rPr>
      </w:pPr>
      <w:r>
        <w:rPr>
          <w:b/>
          <w:noProof/>
          <w:u w:color="000000"/>
          <w:bdr w:val="nil"/>
        </w:rPr>
        <w:t>Събиране и използване на експертни становища</w:t>
      </w:r>
    </w:p>
    <w:p>
      <w:pPr>
        <w:rPr>
          <w:rFonts w:eastAsia="Arial Unicode MS"/>
          <w:noProof/>
          <w:u w:color="000000"/>
          <w:bdr w:val="nil"/>
        </w:rPr>
      </w:pPr>
      <w:r>
        <w:rPr>
          <w:noProof/>
        </w:rPr>
        <w:t>Не се прилага.</w:t>
      </w:r>
    </w:p>
    <w:p>
      <w:pPr>
        <w:pStyle w:val="Bullet0"/>
        <w:numPr>
          <w:ilvl w:val="0"/>
          <w:numId w:val="10"/>
        </w:numPr>
        <w:rPr>
          <w:rFonts w:eastAsia="Arial Unicode MS"/>
          <w:b/>
          <w:noProof/>
          <w:u w:color="000000"/>
          <w:bdr w:val="nil"/>
        </w:rPr>
      </w:pPr>
      <w:r>
        <w:rPr>
          <w:b/>
          <w:noProof/>
          <w:u w:color="000000"/>
          <w:bdr w:val="nil"/>
        </w:rPr>
        <w:t>Оценка на въздействието</w:t>
      </w:r>
    </w:p>
    <w:p>
      <w:pPr>
        <w:rPr>
          <w:noProof/>
        </w:rPr>
      </w:pPr>
      <w:r>
        <w:rPr>
          <w:noProof/>
        </w:rPr>
        <w:t xml:space="preserve">В периода 2003 — 2007 г. бе извършена оценка на въздействието върху устойчивото развитие на споразуменията за икономическо партньорство ЕС — АКТБ. Мандатът за този проект бе публикуван от Европейската комисия през 2002 г. в рамките на конкурентна тръжна процедура. В резултат от нея през август 2002 г. поръчката бе възложена на PwC France с петгодишен рамков договор. Предварителна версия на окончателния доклад за оценка на въздействието върху устойчивото развитие бе представена на заинтересованите страни в Европа по време на организираната от Европейската комисия среща на ЕС за диалог с гражданското общество, проведена на 23 март 2007 г. в Брюксел, Белгия. </w:t>
      </w:r>
    </w:p>
    <w:p>
      <w:pPr>
        <w:pStyle w:val="Bullet0"/>
        <w:numPr>
          <w:ilvl w:val="0"/>
          <w:numId w:val="10"/>
        </w:numPr>
        <w:rPr>
          <w:rFonts w:eastAsia="Arial Unicode MS"/>
          <w:b/>
          <w:noProof/>
          <w:u w:color="000000"/>
          <w:bdr w:val="nil"/>
        </w:rPr>
      </w:pPr>
      <w:r>
        <w:rPr>
          <w:b/>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 xml:space="preserve">СИП с ИАО не е предмет на процедури по програмата REFIT, не предполага никакви разходи за МСП от Съюза и не поражда проблеми от гледна точка на цифровата среда. </w:t>
      </w:r>
    </w:p>
    <w:p>
      <w:pPr>
        <w:pStyle w:val="Bullet0"/>
        <w:numPr>
          <w:ilvl w:val="0"/>
          <w:numId w:val="10"/>
        </w:numPr>
        <w:rPr>
          <w:rFonts w:eastAsia="Arial Unicode MS"/>
          <w:b/>
          <w:noProof/>
          <w:u w:color="000000"/>
          <w:bdr w:val="nil"/>
        </w:rPr>
      </w:pPr>
      <w:r>
        <w:rPr>
          <w:b/>
          <w:noProof/>
          <w:u w:color="000000"/>
          <w:bdr w:val="nil"/>
        </w:rPr>
        <w:t>Основни права</w:t>
      </w:r>
    </w:p>
    <w:p>
      <w:pPr>
        <w:keepNext/>
        <w:tabs>
          <w:tab w:val="left" w:pos="850"/>
        </w:tabs>
        <w:outlineLvl w:val="1"/>
        <w:rPr>
          <w:rFonts w:eastAsia="Arial Unicode MS"/>
          <w:noProof/>
          <w:u w:color="000000"/>
          <w:bdr w:val="nil"/>
        </w:rPr>
      </w:pPr>
      <w:r>
        <w:rPr>
          <w:noProof/>
        </w:rPr>
        <w:lastRenderedPageBreak/>
        <w:t xml:space="preserve">Предложението няма последствия за защитата на основните права в Съюза. </w:t>
      </w:r>
    </w:p>
    <w:p>
      <w:pPr>
        <w:pStyle w:val="ManualHeading1"/>
        <w:rPr>
          <w:smallCaps w:val="0"/>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Четири от петте държави партньори от ИАО са най-слаборазвити държави, които се ползват с подкрепа по линия на инициативата „Всичко освен оръжие“, в рамките на която им се предлага свободен от мита и квоти достъп до пазара на ЕС. Кения се ползва от Регламента относно достъпа до пазара, в който също така се предлага свободен от мита и квоти достъп до пазара на ЕС. Поради това няма да има отражение върху бюджета, като се има предвид, че със споразумението техният достъп до пазара на ЕС ще бъде продължен при същите условия.</w:t>
      </w:r>
    </w:p>
    <w:p>
      <w:pPr>
        <w:pStyle w:val="ManualHeading1"/>
        <w:rPr>
          <w:smallCaps w:val="0"/>
          <w:noProof/>
        </w:rPr>
      </w:pPr>
      <w:r>
        <w:rPr>
          <w:noProof/>
        </w:rPr>
        <w:t>5.</w:t>
      </w:r>
      <w:r>
        <w:rPr>
          <w:noProof/>
        </w:rPr>
        <w:tab/>
        <w:t>ДРУГИ ЕЛЕМЕНТИ</w:t>
      </w:r>
    </w:p>
    <w:p>
      <w:pPr>
        <w:pStyle w:val="Bullet0"/>
        <w:numPr>
          <w:ilvl w:val="0"/>
          <w:numId w:val="10"/>
        </w:numPr>
        <w:rPr>
          <w:rFonts w:eastAsia="Arial Unicode MS"/>
          <w:b/>
          <w:noProof/>
          <w:u w:color="000000"/>
          <w:bdr w:val="nil"/>
        </w:rPr>
      </w:pPr>
      <w:r>
        <w:rPr>
          <w:b/>
          <w:noProof/>
          <w:u w:color="000000"/>
          <w:bdr w:val="nil"/>
        </w:rPr>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 xml:space="preserve">В институционалните разпоредби на СИП с ИАО се предвижда създаването на Съвет по СИП, отговарящ за контрола по прилагането на СИП. Съветът по СИП се състои от представители на страните на министерско равнище и ще бъде подпомаган от Комитет на висшите служители. </w:t>
      </w:r>
    </w:p>
    <w:p>
      <w:pPr>
        <w:pBdr>
          <w:top w:val="nil"/>
          <w:left w:val="nil"/>
          <w:bottom w:val="nil"/>
          <w:right w:val="nil"/>
          <w:between w:val="nil"/>
          <w:bar w:val="nil"/>
        </w:pBdr>
        <w:spacing w:before="0" w:after="240"/>
        <w:rPr>
          <w:rFonts w:eastAsia="Arial Unicode MS"/>
          <w:b/>
          <w:noProof/>
          <w:u w:color="000000"/>
          <w:bdr w:val="nil"/>
        </w:rPr>
      </w:pPr>
      <w:r>
        <w:rPr>
          <w:noProof/>
        </w:rPr>
        <w:t xml:space="preserve">Комитетът на висшите служители ще се подпомага от Консултативен комитет, с цел насърчаване на диалога и сътрудничеството между представителите на гражданското общество, частния сектор и социалните и икономическите партньори. И на последно място, СИП с ИАО се преразглежда на всеки пет години, считано от датата на неговото влизане в сила. </w:t>
      </w:r>
    </w:p>
    <w:p>
      <w:pPr>
        <w:pStyle w:val="Bullet0"/>
        <w:numPr>
          <w:ilvl w:val="0"/>
          <w:numId w:val="10"/>
        </w:numPr>
        <w:rPr>
          <w:rFonts w:eastAsia="Arial Unicode MS"/>
          <w:b/>
          <w:noProof/>
          <w:u w:color="000000"/>
          <w:bdr w:val="nil"/>
        </w:rPr>
      </w:pPr>
      <w:r>
        <w:rPr>
          <w:b/>
          <w:noProof/>
          <w:u w:color="000000"/>
          <w:bdr w:val="nil"/>
        </w:rPr>
        <w:t>Обяснителни документи (за директивите)</w:t>
      </w:r>
    </w:p>
    <w:p>
      <w:pPr>
        <w:pBdr>
          <w:top w:val="nil"/>
          <w:left w:val="nil"/>
          <w:bottom w:val="nil"/>
          <w:right w:val="nil"/>
          <w:between w:val="nil"/>
          <w:bar w:val="nil"/>
        </w:pBdr>
        <w:spacing w:before="0" w:after="240"/>
        <w:rPr>
          <w:noProof/>
        </w:rPr>
      </w:pPr>
      <w:r>
        <w:rPr>
          <w:noProof/>
        </w:rPr>
        <w:t>Не се прилага.</w:t>
      </w:r>
    </w:p>
    <w:p>
      <w:pPr>
        <w:pStyle w:val="Bullet0"/>
        <w:numPr>
          <w:ilvl w:val="0"/>
          <w:numId w:val="10"/>
        </w:numPr>
        <w:rPr>
          <w:rFonts w:eastAsia="Arial Unicode MS"/>
          <w:b/>
          <w:noProof/>
          <w:u w:color="000000"/>
          <w:bdr w:val="nil"/>
        </w:rPr>
      </w:pPr>
      <w:r>
        <w:rPr>
          <w:b/>
          <w:noProof/>
          <w:u w:color="000000"/>
          <w:bdr w:val="nil"/>
        </w:rPr>
        <w:t>Подробно разяснение на конкретни разпоредби на предложението</w:t>
      </w:r>
    </w:p>
    <w:p>
      <w:pPr>
        <w:pBdr>
          <w:top w:val="nil"/>
          <w:left w:val="nil"/>
          <w:bottom w:val="nil"/>
          <w:right w:val="nil"/>
          <w:between w:val="nil"/>
          <w:bar w:val="nil"/>
        </w:pBdr>
        <w:spacing w:before="0" w:after="240"/>
        <w:rPr>
          <w:noProof/>
          <w:color w:val="000000"/>
          <w:szCs w:val="20"/>
        </w:rPr>
      </w:pPr>
      <w:r>
        <w:rPr>
          <w:noProof/>
          <w:color w:val="000000"/>
        </w:rPr>
        <w:t xml:space="preserve">В СИП с ИАО се съдържат разпоредби относно търговията със стоки, митниците и улесняването на търговията, техническите пречки пред търговията, санитарните и фитосанитарните мерки, селското стопанство и рибарството. </w:t>
      </w:r>
    </w:p>
    <w:p>
      <w:pPr>
        <w:pBdr>
          <w:top w:val="nil"/>
          <w:left w:val="nil"/>
          <w:bottom w:val="nil"/>
          <w:right w:val="nil"/>
          <w:between w:val="nil"/>
          <w:bar w:val="nil"/>
        </w:pBdr>
        <w:spacing w:before="0" w:after="240"/>
        <w:rPr>
          <w:noProof/>
          <w:color w:val="000000"/>
          <w:szCs w:val="20"/>
        </w:rPr>
      </w:pPr>
      <w:r>
        <w:rPr>
          <w:noProof/>
          <w:color w:val="000000"/>
        </w:rPr>
        <w:t xml:space="preserve">Освен това в разпоредбите относно сътрудничеството, свързано с различните аспекти на развитието, са посочени приоритетните области на действие по прилагането на СИП с ИАО, които са предвидени в регионалната индикативна програма за 2014 — 2020 г. </w:t>
      </w:r>
    </w:p>
    <w:p>
      <w:pPr>
        <w:pBdr>
          <w:top w:val="nil"/>
          <w:left w:val="nil"/>
          <w:bottom w:val="nil"/>
          <w:right w:val="nil"/>
          <w:between w:val="nil"/>
          <w:bar w:val="nil"/>
        </w:pBdr>
        <w:spacing w:before="0" w:after="240"/>
        <w:rPr>
          <w:noProof/>
          <w:color w:val="000000"/>
          <w:szCs w:val="20"/>
        </w:rPr>
      </w:pPr>
      <w:r>
        <w:rPr>
          <w:noProof/>
          <w:color w:val="000000"/>
        </w:rPr>
        <w:t xml:space="preserve">В СИП с ИАО са предвидени ангажименти относно регионалната интеграция, които ще подпомагат изграждането на Източноафриканския митнически съюз. </w:t>
      </w:r>
    </w:p>
    <w:p>
      <w:pPr>
        <w:pBdr>
          <w:top w:val="nil"/>
          <w:left w:val="nil"/>
          <w:bottom w:val="nil"/>
          <w:right w:val="nil"/>
          <w:between w:val="nil"/>
          <w:bar w:val="nil"/>
        </w:pBdr>
        <w:spacing w:before="0" w:after="240"/>
        <w:rPr>
          <w:noProof/>
          <w:color w:val="000000"/>
          <w:szCs w:val="20"/>
        </w:rPr>
      </w:pPr>
      <w:r>
        <w:rPr>
          <w:noProof/>
          <w:color w:val="000000"/>
        </w:rPr>
        <w:t>В СИП с ИАО също така се предвижда преговорите относно услугите, политиката в областта на конкуренцията, инвестициите и развитието на частния сектор, околната среда и устойчивото развитие, правата върху интелектуалната собственост и прозрачността в обществените поръчки да продължат на регионално равнище.</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2016/0038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Споразумението за икономическо партньорство между държавите партньори от Източноафриканската общност, от една страна, и Европейския съюз и неговите държави членки, от друга страна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параграфи 3 и 4, и член 209, параграф 2, във връзка с член 218, параграф 6, буква а) от него,</w:t>
      </w:r>
    </w:p>
    <w:p>
      <w:pPr>
        <w:rPr>
          <w:noProof/>
        </w:rPr>
      </w:pPr>
      <w:r>
        <w:rPr>
          <w:noProof/>
        </w:rPr>
        <w:t>като взе предвид предложението на Европейската комисия</w:t>
      </w:r>
      <w:r>
        <w:rPr>
          <w:rStyle w:val="FootnoteReference"/>
          <w:noProof/>
        </w:rPr>
        <w:footnoteReference w:id="2"/>
      </w:r>
      <w:r>
        <w:rPr>
          <w:noProof/>
        </w:rPr>
        <w:t>,</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rPr>
          <w:noProof/>
        </w:rPr>
        <w:t>(1)</w:t>
      </w:r>
      <w:r>
        <w:rPr>
          <w:noProof/>
        </w:rPr>
        <w:tab/>
        <w:t>На 12 юни 2002 г. Съветът упълномощи Комисията да започне преговори за споразумения за икономическо партньорство с групата държави от Африка, Карибите и Тихоокеанския басейн.</w:t>
      </w:r>
    </w:p>
    <w:p>
      <w:pPr>
        <w:pStyle w:val="ManualConsidrant"/>
        <w:rPr>
          <w:noProof/>
        </w:rPr>
      </w:pPr>
      <w:r>
        <w:rPr>
          <w:noProof/>
        </w:rPr>
        <w:t>(2)</w:t>
      </w:r>
      <w:r>
        <w:rPr>
          <w:noProof/>
        </w:rPr>
        <w:tab/>
        <w:t xml:space="preserve">Преговорите приключиха и Споразумението за икономическо партньорство между държавите партньори от Източноафриканската общност (Република Бурунди, Република Кения, Република Руанда, Обединена република Танзания и Република Уганда), от една страна, и Европейския съюз и неговите държави членки, от друга страна (наричано по-долу „споразумението“), бе парафирано на 16 октомври 2014 г. </w:t>
      </w:r>
    </w:p>
    <w:p>
      <w:pPr>
        <w:pStyle w:val="ManualConsidrant"/>
        <w:rPr>
          <w:noProof/>
        </w:rPr>
      </w:pPr>
      <w:r>
        <w:rPr>
          <w:noProof/>
        </w:rPr>
        <w:t>(3)</w:t>
      </w:r>
      <w:r>
        <w:rPr>
          <w:noProof/>
        </w:rPr>
        <w:tab/>
        <w:t>В съответствие с Решение [...] на Съвета от [...] г.</w:t>
      </w:r>
      <w:r>
        <w:rPr>
          <w:rStyle w:val="FootnoteReference"/>
          <w:noProof/>
        </w:rPr>
        <w:footnoteReference w:id="3"/>
      </w:r>
      <w:r>
        <w:rPr>
          <w:noProof/>
        </w:rPr>
        <w:t xml:space="preserve"> споразумението бе подписано на [...] г., при условие че то бъде сключено на по-късна дата.</w:t>
      </w:r>
    </w:p>
    <w:p>
      <w:pPr>
        <w:pStyle w:val="ManualConsidrant"/>
        <w:rPr>
          <w:noProof/>
        </w:rPr>
      </w:pPr>
      <w:r>
        <w:rPr>
          <w:noProof/>
        </w:rPr>
        <w:t>(4)</w:t>
      </w:r>
      <w:r>
        <w:rPr>
          <w:noProof/>
        </w:rPr>
        <w:tab/>
        <w:t>Споразумението се прилага временно от [...] г. до неговото влизане в сила.</w:t>
      </w:r>
    </w:p>
    <w:p>
      <w:pPr>
        <w:pStyle w:val="ManualConsidrant"/>
        <w:rPr>
          <w:noProof/>
        </w:rPr>
      </w:pPr>
      <w:r>
        <w:rPr>
          <w:noProof/>
        </w:rPr>
        <w:t>(5)</w:t>
      </w:r>
      <w:r>
        <w:rPr>
          <w:noProof/>
        </w:rPr>
        <w:tab/>
        <w:t>В Споразумението за партньорство между членовете на групата държави от Африка, Карибите и Тихоокеанския басейн, от една страна, и Европейската общност и нейните държави членки, от друга страна</w:t>
      </w:r>
      <w:r>
        <w:rPr>
          <w:rStyle w:val="FootnoteReference"/>
          <w:noProof/>
        </w:rPr>
        <w:footnoteReference w:id="4"/>
      </w:r>
      <w:r>
        <w:rPr>
          <w:noProof/>
        </w:rPr>
        <w:t>, се призовава за сключването на съвместими с текстовете на СТО споразумения за икономическо партньорство.</w:t>
      </w:r>
    </w:p>
    <w:p>
      <w:pPr>
        <w:pStyle w:val="ManualConsidrant"/>
        <w:rPr>
          <w:noProof/>
        </w:rPr>
      </w:pPr>
      <w:r>
        <w:rPr>
          <w:noProof/>
        </w:rPr>
        <w:t>(6)</w:t>
      </w:r>
      <w:r>
        <w:rPr>
          <w:noProof/>
        </w:rPr>
        <w:tab/>
        <w:t>Споразумението следва да бъде сключено от името на Европейския съюз,</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autoSpaceDE w:val="0"/>
        <w:autoSpaceDN w:val="0"/>
        <w:adjustRightInd w:val="0"/>
        <w:rPr>
          <w:noProof/>
        </w:rPr>
      </w:pPr>
      <w:r>
        <w:rPr>
          <w:noProof/>
        </w:rPr>
        <w:t>С настоящото Споразумението за икономическо партньорство между държавите партньори от Източноафриканската общност, от една страна, и Европейския съюз и неговите държави членки, от друга страна, се сключва.</w:t>
      </w:r>
    </w:p>
    <w:p>
      <w:pPr>
        <w:rPr>
          <w:noProof/>
        </w:rPr>
      </w:pPr>
      <w:r>
        <w:rPr>
          <w:noProof/>
        </w:rPr>
        <w:t>Текстът на споразумението е приложен към настоящото решение.</w:t>
      </w:r>
    </w:p>
    <w:p>
      <w:pPr>
        <w:pStyle w:val="Titrearticle"/>
        <w:rPr>
          <w:i w:val="0"/>
          <w:noProof/>
        </w:rPr>
      </w:pPr>
      <w:r>
        <w:rPr>
          <w:noProof/>
        </w:rPr>
        <w:t>Член 2</w:t>
      </w:r>
    </w:p>
    <w:p>
      <w:pPr>
        <w:rPr>
          <w:noProof/>
        </w:rPr>
      </w:pPr>
      <w:r>
        <w:rPr>
          <w:noProof/>
        </w:rPr>
        <w:t>Председателят на Съвета посочва лицето, упълномощено да извърши от името на Съюза нотифицирането, предвидено в член 139 от споразумението, за да се изрази съгласието на Европейския съюз да бъде обвързан със споразумението</w:t>
      </w:r>
      <w:r>
        <w:rPr>
          <w:rStyle w:val="FootnoteReference"/>
          <w:noProof/>
        </w:rPr>
        <w:footnoteReference w:id="5"/>
      </w:r>
      <w:r>
        <w:rPr>
          <w:noProof/>
        </w:rPr>
        <w:t>.</w:t>
      </w:r>
    </w:p>
    <w:p>
      <w:pPr>
        <w:pStyle w:val="Titrearticle"/>
        <w:rPr>
          <w:noProof/>
        </w:rPr>
      </w:pPr>
      <w:r>
        <w:rPr>
          <w:noProof/>
        </w:rPr>
        <w:t>Член 3</w:t>
      </w:r>
    </w:p>
    <w:p>
      <w:pPr>
        <w:pStyle w:val="Titrearticle"/>
        <w:spacing w:before="0" w:after="0"/>
        <w:jc w:val="left"/>
        <w:outlineLvl w:val="0"/>
        <w:rPr>
          <w:i w:val="0"/>
          <w:noProof/>
        </w:rPr>
      </w:pPr>
      <w:r>
        <w:rPr>
          <w:i w:val="0"/>
          <w:noProof/>
        </w:rPr>
        <w:t>Споразумението не може да се тълкува като предоставящо права или налагащо задължения, на които може да бъде направено пряко позоваване в съдилищата на Съюза или на дадена държава членка.</w:t>
      </w:r>
    </w:p>
    <w:p>
      <w:pPr>
        <w:pStyle w:val="Titrearticle"/>
        <w:rPr>
          <w:i w:val="0"/>
          <w:noProof/>
        </w:rPr>
      </w:pPr>
      <w:r>
        <w:rPr>
          <w:noProof/>
        </w:rPr>
        <w:t>Член 4</w:t>
      </w:r>
    </w:p>
    <w:p>
      <w:pPr>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 ЗА ПРЕДЛОЖЕНИЯ С ОТРАЖЕНИЕ ВЪРХУ БЮДЖЕТА, СТРОГО ОГРАНИЧЕНО ДО ПРИХОДНАТА ЧАСТ</w:t>
      </w:r>
    </w:p>
    <w:p>
      <w:pPr>
        <w:pStyle w:val="ManualHeading1"/>
        <w:rPr>
          <w:noProof/>
        </w:rPr>
      </w:pPr>
      <w:r>
        <w:rPr>
          <w:noProof/>
        </w:rPr>
        <w:t>1.</w:t>
      </w:r>
      <w:r>
        <w:rPr>
          <w:noProof/>
        </w:rPr>
        <w:tab/>
        <w:t>НАИМЕНОВАНИЕ НА ПРЕДЛОЖЕНИЕТО:</w:t>
      </w:r>
    </w:p>
    <w:p>
      <w:pPr>
        <w:pStyle w:val="Text1"/>
        <w:rPr>
          <w:noProof/>
        </w:rPr>
      </w:pPr>
      <w:r>
        <w:rPr>
          <w:noProof/>
        </w:rPr>
        <w:t>РЕШЕНИЕ НА СЪВЕТА за сключване на Споразумението за икономическо партньорство между държавите партньори от Източноафриканската общност, от една страна, и Европейския съюз и неговите държави членки, от друга страна.</w:t>
      </w:r>
    </w:p>
    <w:p>
      <w:pPr>
        <w:pStyle w:val="ManualHeading1"/>
        <w:rPr>
          <w:noProof/>
        </w:rPr>
      </w:pPr>
      <w:r>
        <w:rPr>
          <w:noProof/>
        </w:rPr>
        <w:t>2.</w:t>
      </w:r>
      <w:r>
        <w:rPr>
          <w:noProof/>
        </w:rPr>
        <w:tab/>
        <w:t>БЮДЖЕТНИ РЕДОВЕ</w:t>
      </w:r>
    </w:p>
    <w:p>
      <w:pPr>
        <w:pStyle w:val="Text1"/>
        <w:rPr>
          <w:noProof/>
        </w:rPr>
      </w:pPr>
      <w:r>
        <w:rPr>
          <w:noProof/>
        </w:rPr>
        <w:t>Глава и статия: глава 12, статия 120</w:t>
      </w:r>
    </w:p>
    <w:p>
      <w:pPr>
        <w:pStyle w:val="Text1"/>
        <w:rPr>
          <w:noProof/>
        </w:rPr>
      </w:pPr>
      <w:r>
        <w:rPr>
          <w:noProof/>
        </w:rPr>
        <w:t>Сума, предвидена в бюджета за 2014 г.: 16 185 600 000 EUR</w:t>
      </w:r>
    </w:p>
    <w:p>
      <w:pPr>
        <w:pStyle w:val="ManualHeading1"/>
        <w:rPr>
          <w:noProof/>
        </w:rPr>
      </w:pPr>
      <w:r>
        <w:rPr>
          <w:noProof/>
        </w:rPr>
        <w:t>3.</w:t>
      </w:r>
      <w:r>
        <w:rPr>
          <w:noProof/>
        </w:rPr>
        <w:tab/>
        <w:t>ФИНАНСОВО ОТРАЖЕНИЕ</w:t>
      </w:r>
    </w:p>
    <w:p>
      <w:pPr>
        <w:pStyle w:val="Point1"/>
        <w:rPr>
          <w:noProof/>
        </w:rPr>
      </w:pPr>
      <w:r>
        <w:rPr>
          <w:noProof/>
        </w:rPr>
        <w:sym w:font="Wingdings" w:char="F078"/>
      </w:r>
      <w:r>
        <w:rPr>
          <w:noProof/>
        </w:rPr>
        <w:tab/>
        <w:t xml:space="preserve">Предложението няма финансово отражение </w:t>
      </w:r>
    </w:p>
    <w:p>
      <w:pPr>
        <w:pStyle w:val="ManualHeading1"/>
        <w:rPr>
          <w:noProof/>
        </w:rPr>
      </w:pPr>
      <w:r>
        <w:rPr>
          <w:noProof/>
        </w:rPr>
        <w:t>4.</w:t>
      </w:r>
      <w:r>
        <w:rPr>
          <w:noProof/>
        </w:rPr>
        <w:tab/>
        <w:t>МЕРКИ ЗА БОРБА С ИЗМАМИТЕ</w:t>
      </w:r>
    </w:p>
    <w:p>
      <w:pPr>
        <w:rPr>
          <w:noProof/>
        </w:rPr>
      </w:pPr>
      <w:r>
        <w:rPr>
          <w:noProof/>
        </w:rPr>
        <w:t>С цел защита на собствените ресурси на Европейския съюз в споразумението се съдържат разпоредби за гарантиране на правилното прилагане от държавите партньори на определените условия за прилагане на търговските отстъпки в съответствие с параграф 3 „Финансово отражение“, по-специално в член 16 „Специални разпоредби относно административното сътрудничество“ (така наречената „клауза на OLAF“) и в протокол 1 относно правилата за произход и протокол 2 относно административната взаимопомощ по митнически въпроси. Посочените разпоредби допълват приложимото за всички внасяни стоки митническо законодателство на Европейския съюз (по-специално Митническия кодекс на Европейския съюз и разпоредбите за прилагането му), както и разпоредбите относно отговорностите на държавите членки по отношение на контрола на собствените ресурси (по-специално Регламент (ЕО) № 1150/2000 на Съвета).</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8"/>
        </w:rPr>
        <w:t>OВ L 317, 15.12.2000 г., стp. 3. Споразумение, изменено със споразумението, подписано в Люксембург на 25 юни 2005 г. (OВ L 209, 11.8.2005 г., стp. 27), и със споразумението, подписано в Уагадугу на 22 юни 2010 г. (OВ L 287, 4.11.2010 г., стp. 3).</w:t>
      </w:r>
    </w:p>
  </w:footnote>
  <w:footnote w:id="2">
    <w:p>
      <w:pPr>
        <w:pStyle w:val="FootnoteText"/>
        <w:rPr>
          <w:szCs w:val="24"/>
        </w:rPr>
      </w:pPr>
      <w:r>
        <w:rPr>
          <w:rStyle w:val="FootnoteReference"/>
        </w:rPr>
        <w:footnoteRef/>
      </w:r>
      <w:r>
        <w:tab/>
        <w:t>ОВ C […], […] г., стр. […].</w:t>
      </w:r>
    </w:p>
  </w:footnote>
  <w:footnote w:id="3">
    <w:p>
      <w:pPr>
        <w:pStyle w:val="FootnoteText"/>
      </w:pPr>
      <w:r>
        <w:rPr>
          <w:rStyle w:val="FootnoteReference"/>
        </w:rPr>
        <w:footnoteRef/>
      </w:r>
      <w:r>
        <w:tab/>
        <w:t xml:space="preserve">ОВ </w:t>
      </w:r>
      <w:r>
        <w:rPr>
          <w:lang w:val="en-US"/>
        </w:rPr>
        <w:t>L</w:t>
      </w:r>
    </w:p>
  </w:footnote>
  <w:footnote w:id="4">
    <w:p>
      <w:pPr>
        <w:pStyle w:val="FootnoteText"/>
      </w:pPr>
      <w:r>
        <w:rPr>
          <w:rStyle w:val="FootnoteReference"/>
        </w:rPr>
        <w:footnoteRef/>
      </w:r>
      <w:r>
        <w:tab/>
      </w:r>
      <w:r>
        <w:rPr>
          <w:sz w:val="18"/>
        </w:rPr>
        <w:t>OВ L 317, 15.12.2000 г., стp. 3. Споразумение, изменено със споразумението, подписано в Люксембург на 25 юни 2005 г. (OВ L 209, 11.8.2005 г., стp. 27), и със споразумението, подписано в Уагадугу на 22 юни 2010 г. (OВ L 287, 4.11.2010 г., стp. 3).</w:t>
      </w:r>
    </w:p>
  </w:footnote>
  <w:footnote w:id="5">
    <w:p>
      <w:pPr>
        <w:pStyle w:val="FootnoteText"/>
      </w:pPr>
      <w:r>
        <w:rPr>
          <w:rStyle w:val="FootnoteReference"/>
        </w:rPr>
        <w:footnoteRef/>
      </w:r>
      <w:r>
        <w:tab/>
        <w:t xml:space="preserve">Датата на влизане в сила на споразумението ще бъде публикувана в </w:t>
      </w:r>
      <w:r>
        <w:rPr>
          <w:i/>
        </w:rPr>
        <w:t>Официален вестник на Европейския съюз</w:t>
      </w:r>
      <w:r>
        <w:t xml:space="preserve"> от генералния секретариат на Съвета.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B165B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D6CD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16C7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BA4A7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3E0C8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0C14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C064F4"/>
    <w:lvl w:ilvl="0">
      <w:start w:val="1"/>
      <w:numFmt w:val="decimal"/>
      <w:pStyle w:val="ListNumber"/>
      <w:lvlText w:val="%1."/>
      <w:lvlJc w:val="left"/>
      <w:pPr>
        <w:tabs>
          <w:tab w:val="num" w:pos="360"/>
        </w:tabs>
        <w:ind w:left="360" w:hanging="360"/>
      </w:pPr>
    </w:lvl>
  </w:abstractNum>
  <w:abstractNum w:abstractNumId="7">
    <w:nsid w:val="FFFFFF89"/>
    <w:multiLevelType w:val="singleLevel"/>
    <w:tmpl w:val="A5D0A2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14"/>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14"/>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10: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A9DDD5BFC5D4524BDCA2F1E7426969B"/>
    <w:docVar w:name="LW_CROSSREFERENCE" w:val="&lt;UNUSED&gt;"/>
    <w:docVar w:name="LW_DocType" w:val="COM"/>
    <w:docVar w:name="LW_EMISSION" w:val="11.2.2016"/>
    <w:docVar w:name="LW_EMISSION_ISODATE" w:val="2016-02-1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38"/>
    <w:docVar w:name="LW_REF.II.NEW.CP_YEAR" w:val="2016"/>
    <w:docVar w:name="LW_REF.INST.NEW" w:val="COM"/>
    <w:docVar w:name="LW_REF.INST.NEW_ADOPTED" w:val="final"/>
    <w:docVar w:name="LW_REF.INST.NEW_TEXT" w:val="(2016) 64"/>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76?\u1098?\u1088?\u1078?\u1072?\u1074?\u1080?\u1090?\u1077? \u1087?\u1072?\u1088?\u1090?\u1085?\u1100?\u1086?\u1088?\u1080? \u1086?\u1090? \u1048?\u1079?\u1090?\u1086?\u1095?\u1085?\u1086?\u1072?\u1092?\u1088?\u1080?\u1082?\u1072?\u1085?\u1089?\u1082?\u1072?\u1090?\u1072? \u1086?\u1073?\u1097?\u1085?\u1086?\u1089?\u1090?,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9B1FD-9E65-4413-B081-C138941B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1546</Words>
  <Characters>9187</Characters>
  <Application>Microsoft Office Word</Application>
  <DocSecurity>0</DocSecurity>
  <Lines>187</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2015-11-17T13:31:00Z</cp:lastPrinted>
  <dcterms:created xsi:type="dcterms:W3CDTF">2016-01-28T16:04:00Z</dcterms:created>
  <dcterms:modified xsi:type="dcterms:W3CDTF">2016-02-11T10:10:00Z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