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F2205A06DCC45DF8CC38094FF5EE781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t>ПРИЛОЖЕНИЕ I</w:t>
      </w:r>
    </w:p>
    <w:p>
      <w:pPr>
        <w:spacing w:after="240"/>
        <w:jc w:val="center"/>
        <w:rPr>
          <w:b/>
          <w:noProof/>
        </w:rPr>
      </w:pPr>
      <w:bookmarkStart w:id="1" w:name="_Toc401595124"/>
      <w:r>
        <w:rPr>
          <w:b/>
          <w:noProof/>
        </w:rPr>
        <w:t>МИТА ЗА ПРОДУКТИ</w:t>
      </w:r>
      <w:bookmarkStart w:id="2" w:name="_Toc401595125"/>
      <w:bookmarkEnd w:id="1"/>
      <w:r>
        <w:rPr>
          <w:b/>
          <w:noProof/>
        </w:rPr>
        <w:t xml:space="preserve"> С ПРОИЗХОД ОТ ДЪРЖАВИТЕ ПАРТНЬОРИ ОТ ИАО</w:t>
      </w:r>
      <w:bookmarkEnd w:id="2"/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Без да се засяга параграф 4, на датата на влизане в сила на настоящото споразумение митата на ЕС (наричани по-долу „мита на ЕС“) се премахват напълно за всички продукти от глави 1 — 97 от Хармонизираната система (с изключение на продуктите от глава 93 от нея), които са с произход от държава партньор от ИАО. По отношение на продуктите от глава 93 ЕС продължава да налага прилаганата митническа ставка за най-облагодетелствана нация (наричана по-долу „митническа ставка за НОН“).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По отношение на вноса на продукти от тарифна позиция 1701 с произход от която и да e държава партньор от ИАО, призната от ООН като спадаща към най-слаборазвитите държави, продължават да се прилагат разпоредбите на член 51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 оглед прилагането на разпоредбите на член 50, от 1 октомври 2015 г. може да се счита, че на пазарите на продукти от тарифна позиция 1701 са възникнали смущения, когато в продължение на два последователни месеца пазарната цена на бялата захар в ЕС e под 80 % от преобладаващата пазарна цена на бялата захар в ЕС по време на предходната пазарна година.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Параграф 1 не се прилага по отношение на продукти от тарифни позиции 1701 и 0803 0019, които са с произход от държавите партньори от ИАО и са допуснати за свободно обращение във френските отвъдморски департаменти. Настоящата разпоредба се прилага за период от десет (10) години, считано от датата на влизане в сила на настоящото споразумение. Посоченият период се удължава с допълнителен период от десет (10) години, освен ако страните не се споразумеят за друго.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За тази цел и чрез дерогация от член 50 е възможно прилагането на защитни мерки по отношение на отделна държава, призната от ООН като спадаща към най-слаборазвитите държави.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12:2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6F2205A06DCC45DF8CC38094FF5EE781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6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268</Words>
  <Characters>1340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2016-02-03T11:04:00Z</dcterms:created>
  <dcterms:modified xsi:type="dcterms:W3CDTF">2016-02-11T10:12:00Z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