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E3075EB9ED04CF1A71480208631980A" style="width:450.8pt;height:397.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t>ANNEX II</w:t>
      </w:r>
      <w:bookmarkEnd w:id="0"/>
      <w:r>
        <w:rPr>
          <w:noProof/>
        </w:rPr>
        <w:t xml:space="preserve"> – PART 6</w:t>
      </w:r>
    </w:p>
    <w:p>
      <w:pPr>
        <w:jc w:val="center"/>
        <w:rPr>
          <w:b/>
          <w:noProof/>
        </w:rPr>
      </w:pPr>
      <w:r>
        <w:rPr>
          <w:b/>
          <w:noProof/>
        </w:rPr>
        <w:t>SUMMARY TABLE EAC MARKET ACCESS OFFER</w:t>
      </w:r>
    </w:p>
    <w:tbl>
      <w:tblPr>
        <w:tblW w:w="14100" w:type="dxa"/>
        <w:tblInd w:w="93" w:type="dxa"/>
        <w:tblLook w:val="04A0" w:firstRow="1" w:lastRow="0" w:firstColumn="1" w:lastColumn="0" w:noHBand="0" w:noVBand="1"/>
      </w:tblPr>
      <w:tblGrid>
        <w:gridCol w:w="1300"/>
        <w:gridCol w:w="2020"/>
        <w:gridCol w:w="3220"/>
        <w:gridCol w:w="1480"/>
        <w:gridCol w:w="1200"/>
        <w:gridCol w:w="1400"/>
        <w:gridCol w:w="1400"/>
        <w:gridCol w:w="2080"/>
      </w:tblGrid>
      <w:tr>
        <w:trPr>
          <w:trHeight w:val="720"/>
        </w:trPr>
        <w:tc>
          <w:tcPr>
            <w:tcW w:w="1300" w:type="dxa"/>
            <w:tcBorders>
              <w:top w:val="single" w:sz="4" w:space="0" w:color="auto"/>
              <w:left w:val="single" w:sz="4" w:space="0" w:color="auto"/>
              <w:bottom w:val="single" w:sz="4" w:space="0" w:color="auto"/>
              <w:right w:val="single" w:sz="4" w:space="0" w:color="auto"/>
            </w:tcBorders>
            <w:shd w:val="clear" w:color="000000" w:fill="CCFFFF"/>
            <w:vAlign w:val="center"/>
            <w:hideMark/>
          </w:tcPr>
          <w:p>
            <w:pPr>
              <w:spacing w:after="0"/>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Year</w:t>
            </w:r>
          </w:p>
        </w:tc>
        <w:tc>
          <w:tcPr>
            <w:tcW w:w="2020" w:type="dxa"/>
            <w:tcBorders>
              <w:top w:val="single" w:sz="4" w:space="0" w:color="auto"/>
              <w:left w:val="nil"/>
              <w:bottom w:val="single" w:sz="4" w:space="0" w:color="auto"/>
              <w:right w:val="single" w:sz="4" w:space="0" w:color="auto"/>
            </w:tcBorders>
            <w:shd w:val="clear" w:color="000000" w:fill="CCFFFF"/>
            <w:vAlign w:val="center"/>
            <w:hideMark/>
          </w:tcPr>
          <w:p>
            <w:pPr>
              <w:spacing w:after="0"/>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Value, USD, liberalized</w:t>
            </w:r>
          </w:p>
        </w:tc>
        <w:tc>
          <w:tcPr>
            <w:tcW w:w="3220" w:type="dxa"/>
            <w:tcBorders>
              <w:top w:val="single" w:sz="4" w:space="0" w:color="auto"/>
              <w:left w:val="nil"/>
              <w:bottom w:val="single" w:sz="4" w:space="0" w:color="auto"/>
              <w:right w:val="single" w:sz="4" w:space="0" w:color="auto"/>
            </w:tcBorders>
            <w:shd w:val="clear" w:color="000000" w:fill="CCFFFF"/>
            <w:vAlign w:val="center"/>
            <w:hideMark/>
          </w:tcPr>
          <w:p>
            <w:pPr>
              <w:spacing w:after="0"/>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 xml:space="preserve">% of trade liberalized </w:t>
            </w:r>
          </w:p>
        </w:tc>
        <w:tc>
          <w:tcPr>
            <w:tcW w:w="1480" w:type="dxa"/>
            <w:tcBorders>
              <w:top w:val="single" w:sz="4" w:space="0" w:color="auto"/>
              <w:left w:val="nil"/>
              <w:bottom w:val="single" w:sz="4" w:space="0" w:color="auto"/>
              <w:right w:val="single" w:sz="4" w:space="0" w:color="auto"/>
            </w:tcBorders>
            <w:shd w:val="clear" w:color="000000" w:fill="CCFFFF"/>
            <w:vAlign w:val="center"/>
            <w:hideMark/>
          </w:tcPr>
          <w:p>
            <w:pPr>
              <w:spacing w:after="0"/>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Value, USD, excluded by EAC</w:t>
            </w:r>
          </w:p>
        </w:tc>
        <w:tc>
          <w:tcPr>
            <w:tcW w:w="1200" w:type="dxa"/>
            <w:tcBorders>
              <w:top w:val="single" w:sz="4" w:space="0" w:color="auto"/>
              <w:left w:val="nil"/>
              <w:bottom w:val="single" w:sz="4" w:space="0" w:color="auto"/>
              <w:right w:val="single" w:sz="4" w:space="0" w:color="auto"/>
            </w:tcBorders>
            <w:shd w:val="clear" w:color="000000" w:fill="CCFFFF"/>
            <w:vAlign w:val="center"/>
            <w:hideMark/>
          </w:tcPr>
          <w:p>
            <w:pPr>
              <w:spacing w:after="0"/>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EAC Exclusion</w:t>
            </w:r>
          </w:p>
        </w:tc>
        <w:tc>
          <w:tcPr>
            <w:tcW w:w="1400" w:type="dxa"/>
            <w:tcBorders>
              <w:top w:val="single" w:sz="4" w:space="0" w:color="auto"/>
              <w:left w:val="nil"/>
              <w:bottom w:val="single" w:sz="4" w:space="0" w:color="auto"/>
              <w:right w:val="single" w:sz="4" w:space="0" w:color="auto"/>
            </w:tcBorders>
            <w:shd w:val="clear" w:color="000000" w:fill="CCFFFF"/>
            <w:vAlign w:val="center"/>
            <w:hideMark/>
          </w:tcPr>
          <w:p>
            <w:pPr>
              <w:spacing w:after="0"/>
              <w:jc w:val="center"/>
              <w:rPr>
                <w:rFonts w:ascii="Arial" w:eastAsia="Times New Roman" w:hAnsi="Arial" w:cs="Arial"/>
                <w:b/>
                <w:bCs/>
                <w:noProof/>
                <w:sz w:val="16"/>
                <w:szCs w:val="16"/>
                <w:lang w:eastAsia="en-GB"/>
              </w:rPr>
            </w:pPr>
            <w:r>
              <w:rPr>
                <w:rFonts w:ascii="Arial" w:eastAsia="Times New Roman" w:hAnsi="Arial" w:cs="Arial"/>
                <w:b/>
                <w:bCs/>
                <w:noProof/>
                <w:sz w:val="16"/>
                <w:szCs w:val="16"/>
                <w:lang w:eastAsia="en-GB"/>
              </w:rPr>
              <w:t>EU LiberaIization</w:t>
            </w:r>
          </w:p>
        </w:tc>
        <w:tc>
          <w:tcPr>
            <w:tcW w:w="1400" w:type="dxa"/>
            <w:tcBorders>
              <w:top w:val="single" w:sz="4" w:space="0" w:color="auto"/>
              <w:left w:val="nil"/>
              <w:bottom w:val="single" w:sz="4" w:space="0" w:color="auto"/>
              <w:right w:val="single" w:sz="4" w:space="0" w:color="auto"/>
            </w:tcBorders>
            <w:shd w:val="clear" w:color="000000" w:fill="CCFFFF"/>
            <w:vAlign w:val="center"/>
            <w:hideMark/>
          </w:tcPr>
          <w:p>
            <w:pPr>
              <w:spacing w:after="0"/>
              <w:jc w:val="center"/>
              <w:rPr>
                <w:rFonts w:ascii="Arial" w:eastAsia="Times New Roman" w:hAnsi="Arial" w:cs="Arial"/>
                <w:b/>
                <w:bCs/>
                <w:noProof/>
                <w:sz w:val="16"/>
                <w:szCs w:val="16"/>
                <w:lang w:eastAsia="en-GB"/>
              </w:rPr>
            </w:pPr>
            <w:r>
              <w:rPr>
                <w:rFonts w:ascii="Arial" w:eastAsia="Times New Roman" w:hAnsi="Arial" w:cs="Arial"/>
                <w:b/>
                <w:bCs/>
                <w:noProof/>
                <w:sz w:val="16"/>
                <w:szCs w:val="16"/>
                <w:lang w:eastAsia="en-GB"/>
              </w:rPr>
              <w:t>Trade Liberalization Coverage</w:t>
            </w:r>
          </w:p>
        </w:tc>
        <w:tc>
          <w:tcPr>
            <w:tcW w:w="2080" w:type="dxa"/>
            <w:tcBorders>
              <w:top w:val="single" w:sz="4" w:space="0" w:color="auto"/>
              <w:left w:val="nil"/>
              <w:bottom w:val="single" w:sz="4" w:space="0" w:color="auto"/>
              <w:right w:val="single" w:sz="4" w:space="0" w:color="auto"/>
            </w:tcBorders>
            <w:shd w:val="clear" w:color="000000" w:fill="CCFFFF"/>
            <w:vAlign w:val="center"/>
            <w:hideMark/>
          </w:tcPr>
          <w:p>
            <w:pPr>
              <w:spacing w:after="0"/>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Number of Tariff Lines</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ascii="Arial" w:eastAsia="Times New Roman" w:hAnsi="Arial" w:cs="Arial"/>
                <w:noProof/>
                <w:sz w:val="20"/>
                <w:szCs w:val="20"/>
                <w:lang w:eastAsia="en-GB"/>
              </w:rPr>
            </w:pPr>
            <w:r>
              <w:rPr>
                <w:rFonts w:ascii="Arial" w:eastAsia="Times New Roman" w:hAnsi="Arial" w:cs="Arial"/>
                <w:noProof/>
                <w:sz w:val="20"/>
                <w:szCs w:val="20"/>
                <w:lang w:eastAsia="en-GB"/>
              </w:rPr>
              <w:t>T0</w:t>
            </w:r>
          </w:p>
        </w:tc>
        <w:tc>
          <w:tcPr>
            <w:tcW w:w="2020" w:type="dxa"/>
            <w:tcBorders>
              <w:top w:val="nil"/>
              <w:left w:val="nil"/>
              <w:bottom w:val="nil"/>
              <w:right w:val="nil"/>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1.590.623.926</w:t>
            </w:r>
          </w:p>
        </w:tc>
        <w:tc>
          <w:tcPr>
            <w:tcW w:w="3220" w:type="dxa"/>
            <w:tcBorders>
              <w:top w:val="nil"/>
              <w:left w:val="single" w:sz="4" w:space="0" w:color="auto"/>
              <w:bottom w:val="nil"/>
              <w:right w:val="single" w:sz="4" w:space="0" w:color="auto"/>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64,4%</w:t>
            </w:r>
          </w:p>
        </w:tc>
        <w:tc>
          <w:tcPr>
            <w:tcW w:w="1480" w:type="dxa"/>
            <w:tcBorders>
              <w:top w:val="nil"/>
              <w:left w:val="nil"/>
              <w:bottom w:val="single" w:sz="4" w:space="0" w:color="auto"/>
              <w:right w:val="single" w:sz="4" w:space="0" w:color="auto"/>
            </w:tcBorders>
            <w:shd w:val="clear" w:color="auto" w:fill="auto"/>
            <w:noWrap/>
            <w:vAlign w:val="bottom"/>
            <w:hideMark/>
          </w:tcPr>
          <w:p>
            <w:pPr>
              <w:spacing w:after="0"/>
              <w:rPr>
                <w:rFonts w:ascii="Arial" w:eastAsia="Times New Roman" w:hAnsi="Arial" w:cs="Arial"/>
                <w:noProof/>
                <w:color w:val="000000"/>
                <w:sz w:val="20"/>
                <w:szCs w:val="20"/>
                <w:lang w:eastAsia="en-GB"/>
              </w:rPr>
            </w:pPr>
            <w:r>
              <w:rPr>
                <w:rFonts w:ascii="Arial" w:eastAsia="Times New Roman" w:hAnsi="Arial" w:cs="Arial"/>
                <w:noProof/>
                <w:color w:val="000000"/>
                <w:sz w:val="20"/>
                <w:szCs w:val="20"/>
                <w:lang w:eastAsia="en-GB"/>
              </w:rPr>
              <w:t xml:space="preserve">430.094.737 </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17,4%</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100%</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2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1934</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ascii="Arial" w:eastAsia="Times New Roman" w:hAnsi="Arial" w:cs="Arial"/>
                <w:noProof/>
                <w:sz w:val="20"/>
                <w:szCs w:val="20"/>
                <w:lang w:eastAsia="en-GB"/>
              </w:rPr>
            </w:pPr>
            <w:r>
              <w:rPr>
                <w:rFonts w:ascii="Arial" w:eastAsia="Times New Roman" w:hAnsi="Arial" w:cs="Arial"/>
                <w:noProof/>
                <w:sz w:val="20"/>
                <w:szCs w:val="20"/>
                <w:lang w:eastAsia="en-GB"/>
              </w:rPr>
              <w:t>T+15</w:t>
            </w:r>
          </w:p>
        </w:tc>
        <w:tc>
          <w:tcPr>
            <w:tcW w:w="2020" w:type="dxa"/>
            <w:tcBorders>
              <w:top w:val="nil"/>
              <w:left w:val="nil"/>
              <w:bottom w:val="nil"/>
              <w:right w:val="nil"/>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377.967.173</w:t>
            </w:r>
          </w:p>
        </w:tc>
        <w:tc>
          <w:tcPr>
            <w:tcW w:w="3220" w:type="dxa"/>
            <w:tcBorders>
              <w:top w:val="nil"/>
              <w:left w:val="single" w:sz="4" w:space="0" w:color="auto"/>
              <w:bottom w:val="nil"/>
              <w:right w:val="single" w:sz="4" w:space="0" w:color="auto"/>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15,3%</w:t>
            </w:r>
          </w:p>
        </w:tc>
        <w:tc>
          <w:tcPr>
            <w:tcW w:w="148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2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1082</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ascii="Arial" w:eastAsia="Times New Roman" w:hAnsi="Arial" w:cs="Arial"/>
                <w:noProof/>
                <w:sz w:val="20"/>
                <w:szCs w:val="20"/>
                <w:lang w:eastAsia="en-GB"/>
              </w:rPr>
            </w:pPr>
            <w:r>
              <w:rPr>
                <w:rFonts w:ascii="Arial" w:eastAsia="Times New Roman" w:hAnsi="Arial" w:cs="Arial"/>
                <w:noProof/>
                <w:sz w:val="20"/>
                <w:szCs w:val="20"/>
                <w:lang w:eastAsia="en-GB"/>
              </w:rPr>
              <w:t>T+25</w:t>
            </w:r>
          </w:p>
        </w:tc>
        <w:tc>
          <w:tcPr>
            <w:tcW w:w="2020" w:type="dxa"/>
            <w:tcBorders>
              <w:top w:val="nil"/>
              <w:left w:val="nil"/>
              <w:bottom w:val="nil"/>
              <w:right w:val="nil"/>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71.339.692</w:t>
            </w:r>
          </w:p>
        </w:tc>
        <w:tc>
          <w:tcPr>
            <w:tcW w:w="3220" w:type="dxa"/>
            <w:tcBorders>
              <w:top w:val="nil"/>
              <w:left w:val="single" w:sz="4" w:space="0" w:color="auto"/>
              <w:bottom w:val="nil"/>
              <w:right w:val="single" w:sz="4" w:space="0" w:color="auto"/>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2,9%</w:t>
            </w:r>
          </w:p>
        </w:tc>
        <w:tc>
          <w:tcPr>
            <w:tcW w:w="148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2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990</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ascii="Arial" w:eastAsia="Times New Roman" w:hAnsi="Arial" w:cs="Arial"/>
                <w:noProof/>
                <w:sz w:val="20"/>
                <w:szCs w:val="20"/>
                <w:lang w:eastAsia="en-GB"/>
              </w:rPr>
            </w:pPr>
            <w:r>
              <w:rPr>
                <w:rFonts w:ascii="Arial" w:eastAsia="Times New Roman" w:hAnsi="Arial" w:cs="Arial"/>
                <w:noProof/>
                <w:sz w:val="20"/>
                <w:szCs w:val="20"/>
                <w:lang w:eastAsia="en-GB"/>
              </w:rPr>
              <w:t>Exclusion</w:t>
            </w:r>
          </w:p>
        </w:tc>
        <w:tc>
          <w:tcPr>
            <w:tcW w:w="2020" w:type="dxa"/>
            <w:tcBorders>
              <w:top w:val="nil"/>
              <w:left w:val="nil"/>
              <w:bottom w:val="nil"/>
              <w:right w:val="nil"/>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430.094.737</w:t>
            </w: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2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1432</w:t>
            </w:r>
          </w:p>
        </w:tc>
      </w:tr>
      <w:tr>
        <w:trPr>
          <w:trHeight w:val="765"/>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ascii="Arial" w:eastAsia="Times New Roman" w:hAnsi="Arial" w:cs="Arial"/>
                <w:noProof/>
                <w:sz w:val="20"/>
                <w:szCs w:val="20"/>
                <w:lang w:eastAsia="en-GB"/>
              </w:rPr>
            </w:pPr>
            <w:r>
              <w:rPr>
                <w:rFonts w:ascii="Arial" w:eastAsia="Times New Roman" w:hAnsi="Arial" w:cs="Arial"/>
                <w:noProof/>
                <w:sz w:val="20"/>
                <w:szCs w:val="20"/>
                <w:lang w:eastAsia="en-GB"/>
              </w:rPr>
              <w:t>Total trade liberalized EAC</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pPr>
              <w:spacing w:after="0"/>
              <w:rPr>
                <w:rFonts w:ascii="Arial" w:eastAsia="Times New Roman" w:hAnsi="Arial" w:cs="Arial"/>
                <w:noProof/>
                <w:sz w:val="20"/>
                <w:szCs w:val="20"/>
                <w:lang w:eastAsia="en-GB"/>
              </w:rPr>
            </w:pPr>
            <w:r>
              <w:rPr>
                <w:rFonts w:ascii="Arial" w:eastAsia="Times New Roman" w:hAnsi="Arial" w:cs="Arial"/>
                <w:noProof/>
                <w:sz w:val="20"/>
                <w:szCs w:val="20"/>
                <w:lang w:eastAsia="en-GB"/>
              </w:rPr>
              <w:t xml:space="preserve">2.039.930.791 </w:t>
            </w:r>
          </w:p>
        </w:tc>
        <w:tc>
          <w:tcPr>
            <w:tcW w:w="32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82,6%</w:t>
            </w:r>
          </w:p>
        </w:tc>
        <w:tc>
          <w:tcPr>
            <w:tcW w:w="148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91,3%</w:t>
            </w:r>
          </w:p>
        </w:tc>
        <w:tc>
          <w:tcPr>
            <w:tcW w:w="208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r>
      <w:tr>
        <w:trPr>
          <w:trHeight w:val="765"/>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Total EAC Imports from EU</w:t>
            </w:r>
          </w:p>
        </w:tc>
        <w:tc>
          <w:tcPr>
            <w:tcW w:w="2020" w:type="dxa"/>
            <w:tcBorders>
              <w:top w:val="nil"/>
              <w:left w:val="nil"/>
              <w:bottom w:val="single" w:sz="4" w:space="0" w:color="auto"/>
              <w:right w:val="single" w:sz="4" w:space="0" w:color="auto"/>
            </w:tcBorders>
            <w:shd w:val="clear" w:color="auto" w:fill="auto"/>
            <w:noWrap/>
            <w:vAlign w:val="bottom"/>
            <w:hideMark/>
          </w:tcPr>
          <w:p>
            <w:pPr>
              <w:spacing w:after="0"/>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 xml:space="preserve">2.470.025.527 </w:t>
            </w:r>
          </w:p>
        </w:tc>
        <w:tc>
          <w:tcPr>
            <w:tcW w:w="322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208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r>
      <w:tr>
        <w:trPr>
          <w:trHeight w:val="300"/>
        </w:trPr>
        <w:tc>
          <w:tcPr>
            <w:tcW w:w="3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rPr>
                <w:rFonts w:ascii="Arial" w:eastAsia="Times New Roman" w:hAnsi="Arial" w:cs="Arial"/>
                <w:b/>
                <w:bCs/>
                <w:i/>
                <w:iCs/>
                <w:noProof/>
                <w:sz w:val="20"/>
                <w:szCs w:val="20"/>
                <w:lang w:eastAsia="en-GB"/>
              </w:rPr>
            </w:pPr>
            <w:r>
              <w:rPr>
                <w:rFonts w:ascii="Arial" w:eastAsia="Times New Roman" w:hAnsi="Arial" w:cs="Arial"/>
                <w:b/>
                <w:bCs/>
                <w:i/>
                <w:iCs/>
                <w:noProof/>
                <w:sz w:val="20"/>
                <w:szCs w:val="20"/>
                <w:lang w:eastAsia="en-GB"/>
              </w:rPr>
              <w:t>Total Tariff Lines</w:t>
            </w:r>
          </w:p>
        </w:tc>
        <w:tc>
          <w:tcPr>
            <w:tcW w:w="322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2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5438</w:t>
            </w:r>
          </w:p>
        </w:tc>
      </w:tr>
    </w:tbl>
    <w:p>
      <w:pPr>
        <w:jc w:val="center"/>
        <w:rPr>
          <w:noProof/>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fullPage" w:percent="80"/>
  <w:displayBackgroundShape/>
  <w:hideSpellingErrors/>
  <w:hideGrammaticalErrors/>
  <w:attachedTemplate r:id="rId1"/>
  <w:revisionView w:markup="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13: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3"/>
    <w:docVar w:name="LW_ANNEX_NBR_LAST" w:val="3"/>
    <w:docVar w:name="LW_CONFIDENCE" w:val=" "/>
    <w:docVar w:name="LW_CONST_RESTREINT_UE" w:val="RESTREINT UE"/>
    <w:docVar w:name="LW_CORRIGENDUM" w:val="&lt;UNUSED&gt;"/>
    <w:docVar w:name="LW_COVERPAGE_GUID" w:val="7E3075EB9ED04CF1A71480208631980A"/>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EPA) between the East African Community (EAC) Partner States, of the one part, and the European Union and its Member States, of the other part"/>
    <w:docVar w:name="LW_OBJETACTEPRINCIPAL.CP" w:val="on the conclusion of the Economic Partnership Agreement (EPA) between the East African Community (EAC) Partner States, of the one part, and the European Union and its Member States, of the other part"/>
    <w:docVar w:name="LW_PART_NBR" w:val="6"/>
    <w:docVar w:name="LW_PART_NBR_TOTAL" w:val="6"/>
    <w:docVar w:name="LW_REF.INST.NEW" w:val="COM"/>
    <w:docVar w:name="LW_REF.INST.NEW_ADOPTED" w:val="final"/>
    <w:docVar w:name="LW_REF.INST.NEW_TEXT" w:val="(2016) 64"/>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80</Words>
  <Characters>464</Characters>
  <Application>Microsoft Office Word</Application>
  <DocSecurity>0</DocSecurity>
  <Lines>92</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2016-01-27T16:54:00Z</dcterms:created>
  <dcterms:modified xsi:type="dcterms:W3CDTF">2016-02-11T10:13:00Z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6</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