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F284669A43846F1854AA5E3FAA6BB86" style="width:450.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ПРИЛОЖЕНИЯ III</w:t>
      </w:r>
      <w:bookmarkEnd w:id="0"/>
      <w:r>
        <w:rPr>
          <w:noProof/>
        </w:rPr>
        <w:t xml:space="preserve"> и IV към споразумението</w:t>
      </w:r>
    </w:p>
    <w:p>
      <w:pPr>
        <w:spacing w:before="0" w:after="240"/>
        <w:jc w:val="center"/>
        <w:rPr>
          <w:rFonts w:eastAsia="Times New Roman"/>
          <w:b/>
          <w:noProof/>
          <w:szCs w:val="24"/>
        </w:rPr>
      </w:pPr>
      <w:r>
        <w:rPr>
          <w:b/>
          <w:noProof/>
        </w:rPr>
        <w:t>ПРИЛОЖЕНИЕ IIIа</w:t>
      </w:r>
    </w:p>
    <w:tbl>
      <w:tblPr>
        <w:tblW w:w="154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05"/>
        <w:gridCol w:w="1225"/>
        <w:gridCol w:w="900"/>
        <w:gridCol w:w="1052"/>
        <w:gridCol w:w="1701"/>
        <w:gridCol w:w="850"/>
        <w:gridCol w:w="851"/>
        <w:gridCol w:w="850"/>
        <w:gridCol w:w="709"/>
        <w:gridCol w:w="955"/>
        <w:gridCol w:w="1030"/>
        <w:gridCol w:w="992"/>
        <w:gridCol w:w="1134"/>
        <w:gridCol w:w="2116"/>
      </w:tblGrid>
      <w:tr>
        <w:trPr>
          <w:trHeight w:val="435"/>
        </w:trPr>
        <w:tc>
          <w:tcPr>
            <w:tcW w:w="15470" w:type="dxa"/>
            <w:gridSpan w:val="14"/>
            <w:shd w:val="clear" w:color="auto" w:fill="auto"/>
            <w:tcMar>
              <w:left w:w="29" w:type="dxa"/>
              <w:right w:w="29" w:type="dxa"/>
            </w:tcMar>
            <w:vAlign w:val="center"/>
          </w:tcPr>
          <w:p>
            <w:pPr>
              <w:spacing w:before="0" w:after="0"/>
              <w:jc w:val="center"/>
              <w:rPr>
                <w:rFonts w:eastAsia="Times New Roman"/>
                <w:b/>
                <w:bCs/>
                <w:noProof/>
                <w:sz w:val="20"/>
                <w:szCs w:val="20"/>
              </w:rPr>
            </w:pPr>
            <w:r>
              <w:rPr>
                <w:b/>
                <w:noProof/>
                <w:sz w:val="20"/>
              </w:rPr>
              <w:t>МОДЕЛ ЗА РАЗВИТИЕ ПО СИП, 11 СЕПТЕМВРИ 2015 г.</w:t>
            </w:r>
          </w:p>
        </w:tc>
      </w:tr>
      <w:tr>
        <w:trPr>
          <w:trHeight w:val="435"/>
        </w:trPr>
        <w:tc>
          <w:tcPr>
            <w:tcW w:w="1105" w:type="dxa"/>
            <w:vMerge w:val="restart"/>
            <w:shd w:val="clear" w:color="auto" w:fill="auto"/>
            <w:tcMar>
              <w:left w:w="29" w:type="dxa"/>
              <w:right w:w="29" w:type="dxa"/>
            </w:tcMar>
            <w:hideMark/>
          </w:tcPr>
          <w:p>
            <w:pPr>
              <w:spacing w:before="0" w:after="0"/>
              <w:jc w:val="center"/>
              <w:rPr>
                <w:rFonts w:eastAsia="Times New Roman"/>
                <w:noProof/>
                <w:sz w:val="20"/>
                <w:szCs w:val="20"/>
              </w:rPr>
            </w:pPr>
          </w:p>
        </w:tc>
        <w:tc>
          <w:tcPr>
            <w:tcW w:w="1225"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Подкомпонент на проекта</w:t>
            </w:r>
          </w:p>
        </w:tc>
        <w:tc>
          <w:tcPr>
            <w:tcW w:w="900"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Местоположение</w:t>
            </w:r>
          </w:p>
        </w:tc>
        <w:tc>
          <w:tcPr>
            <w:tcW w:w="1052"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Географски обхват</w:t>
            </w:r>
          </w:p>
        </w:tc>
        <w:tc>
          <w:tcPr>
            <w:tcW w:w="1701"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Текущо състояние</w:t>
            </w:r>
          </w:p>
        </w:tc>
        <w:tc>
          <w:tcPr>
            <w:tcW w:w="850"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Общ размер на очакваните разходи (в милиони щатски долари)</w:t>
            </w:r>
          </w:p>
        </w:tc>
        <w:tc>
          <w:tcPr>
            <w:tcW w:w="851"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ЕС</w:t>
            </w:r>
          </w:p>
        </w:tc>
        <w:tc>
          <w:tcPr>
            <w:tcW w:w="850"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Държави — членки на ЕС</w:t>
            </w:r>
          </w:p>
        </w:tc>
        <w:tc>
          <w:tcPr>
            <w:tcW w:w="709"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Други донори</w:t>
            </w:r>
          </w:p>
        </w:tc>
        <w:tc>
          <w:tcPr>
            <w:tcW w:w="955"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Държави партньори от ИАО</w:t>
            </w:r>
          </w:p>
        </w:tc>
        <w:tc>
          <w:tcPr>
            <w:tcW w:w="1030"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Разлика, която трябва да се финансира (в милиони щатски долари)</w:t>
            </w:r>
          </w:p>
        </w:tc>
        <w:tc>
          <w:tcPr>
            <w:tcW w:w="992"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Равностойност в евро (1 USD = 0,78 EUR)</w:t>
            </w:r>
          </w:p>
        </w:tc>
        <w:tc>
          <w:tcPr>
            <w:tcW w:w="1134"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Период на реализация</w:t>
            </w:r>
          </w:p>
        </w:tc>
        <w:tc>
          <w:tcPr>
            <w:tcW w:w="2116"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Бележки</w:t>
            </w:r>
          </w:p>
        </w:tc>
      </w:tr>
      <w:tr>
        <w:trPr>
          <w:trHeight w:val="435"/>
        </w:trPr>
        <w:tc>
          <w:tcPr>
            <w:tcW w:w="1105" w:type="dxa"/>
            <w:vMerge/>
            <w:shd w:val="clear" w:color="auto" w:fill="auto"/>
            <w:tcMar>
              <w:left w:w="29" w:type="dxa"/>
              <w:right w:w="29" w:type="dxa"/>
            </w:tcMar>
          </w:tcPr>
          <w:p>
            <w:pPr>
              <w:spacing w:before="0" w:after="0"/>
              <w:jc w:val="left"/>
              <w:rPr>
                <w:rFonts w:eastAsia="Times New Roman"/>
                <w:noProof/>
                <w:sz w:val="20"/>
                <w:szCs w:val="20"/>
              </w:rPr>
            </w:pPr>
          </w:p>
        </w:tc>
        <w:tc>
          <w:tcPr>
            <w:tcW w:w="1225" w:type="dxa"/>
            <w:vMerge/>
            <w:shd w:val="clear" w:color="auto" w:fill="auto"/>
            <w:tcMar>
              <w:left w:w="29" w:type="dxa"/>
              <w:right w:w="29" w:type="dxa"/>
            </w:tcMar>
          </w:tcPr>
          <w:p>
            <w:pPr>
              <w:spacing w:before="0" w:after="0"/>
              <w:jc w:val="left"/>
              <w:rPr>
                <w:rFonts w:eastAsia="Times New Roman"/>
                <w:b/>
                <w:bCs/>
                <w:noProof/>
                <w:sz w:val="20"/>
                <w:szCs w:val="20"/>
              </w:rPr>
            </w:pPr>
          </w:p>
        </w:tc>
        <w:tc>
          <w:tcPr>
            <w:tcW w:w="900" w:type="dxa"/>
            <w:vMerge/>
            <w:shd w:val="clear" w:color="auto" w:fill="auto"/>
            <w:tcMar>
              <w:left w:w="29" w:type="dxa"/>
              <w:right w:w="29" w:type="dxa"/>
            </w:tcMar>
          </w:tcPr>
          <w:p>
            <w:pPr>
              <w:spacing w:before="0" w:after="0"/>
              <w:jc w:val="left"/>
              <w:rPr>
                <w:rFonts w:eastAsia="Times New Roman"/>
                <w:b/>
                <w:bCs/>
                <w:noProof/>
                <w:sz w:val="20"/>
                <w:szCs w:val="20"/>
              </w:rPr>
            </w:pPr>
          </w:p>
        </w:tc>
        <w:tc>
          <w:tcPr>
            <w:tcW w:w="1052" w:type="dxa"/>
            <w:vMerge/>
            <w:shd w:val="clear" w:color="auto" w:fill="auto"/>
            <w:tcMar>
              <w:left w:w="29" w:type="dxa"/>
              <w:right w:w="29" w:type="dxa"/>
            </w:tcMar>
          </w:tcPr>
          <w:p>
            <w:pPr>
              <w:spacing w:before="0" w:after="0"/>
              <w:jc w:val="left"/>
              <w:rPr>
                <w:rFonts w:eastAsia="Times New Roman"/>
                <w:b/>
                <w:bCs/>
                <w:noProof/>
                <w:sz w:val="20"/>
                <w:szCs w:val="20"/>
              </w:rPr>
            </w:pPr>
          </w:p>
        </w:tc>
        <w:tc>
          <w:tcPr>
            <w:tcW w:w="1701" w:type="dxa"/>
            <w:vMerge/>
            <w:shd w:val="clear" w:color="auto" w:fill="auto"/>
            <w:tcMar>
              <w:left w:w="29" w:type="dxa"/>
              <w:right w:w="29" w:type="dxa"/>
            </w:tcMar>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tcPr>
          <w:p>
            <w:pPr>
              <w:spacing w:before="0" w:after="0"/>
              <w:jc w:val="right"/>
              <w:rPr>
                <w:rFonts w:eastAsia="Times New Roman"/>
                <w:b/>
                <w:bCs/>
                <w:noProof/>
                <w:sz w:val="20"/>
                <w:szCs w:val="20"/>
              </w:rPr>
            </w:pPr>
          </w:p>
        </w:tc>
        <w:tc>
          <w:tcPr>
            <w:tcW w:w="851" w:type="dxa"/>
            <w:vMerge/>
            <w:shd w:val="clear" w:color="auto" w:fill="auto"/>
            <w:tcMar>
              <w:left w:w="29" w:type="dxa"/>
              <w:right w:w="29" w:type="dxa"/>
            </w:tcMar>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tcPr>
          <w:p>
            <w:pPr>
              <w:spacing w:before="0" w:after="0"/>
              <w:jc w:val="center"/>
              <w:rPr>
                <w:rFonts w:eastAsia="Times New Roman"/>
                <w:b/>
                <w:bCs/>
                <w:noProof/>
                <w:sz w:val="20"/>
                <w:szCs w:val="20"/>
              </w:rPr>
            </w:pPr>
          </w:p>
        </w:tc>
        <w:tc>
          <w:tcPr>
            <w:tcW w:w="709" w:type="dxa"/>
            <w:vMerge/>
            <w:shd w:val="clear" w:color="auto" w:fill="auto"/>
            <w:tcMar>
              <w:left w:w="29" w:type="dxa"/>
              <w:right w:w="29" w:type="dxa"/>
            </w:tcMar>
          </w:tcPr>
          <w:p>
            <w:pPr>
              <w:spacing w:before="0" w:after="0"/>
              <w:jc w:val="center"/>
              <w:rPr>
                <w:rFonts w:eastAsia="Times New Roman"/>
                <w:b/>
                <w:bCs/>
                <w:noProof/>
                <w:sz w:val="20"/>
                <w:szCs w:val="20"/>
              </w:rPr>
            </w:pPr>
          </w:p>
        </w:tc>
        <w:tc>
          <w:tcPr>
            <w:tcW w:w="955" w:type="dxa"/>
            <w:vMerge/>
            <w:shd w:val="clear" w:color="auto" w:fill="auto"/>
            <w:tcMar>
              <w:left w:w="29" w:type="dxa"/>
              <w:right w:w="29" w:type="dxa"/>
            </w:tcMar>
          </w:tcPr>
          <w:p>
            <w:pPr>
              <w:spacing w:before="0" w:after="0"/>
              <w:jc w:val="left"/>
              <w:rPr>
                <w:rFonts w:eastAsia="Times New Roman"/>
                <w:b/>
                <w:bCs/>
                <w:noProof/>
                <w:sz w:val="20"/>
                <w:szCs w:val="20"/>
              </w:rPr>
            </w:pPr>
          </w:p>
        </w:tc>
        <w:tc>
          <w:tcPr>
            <w:tcW w:w="1030" w:type="dxa"/>
            <w:vMerge/>
            <w:shd w:val="clear" w:color="auto" w:fill="auto"/>
            <w:tcMar>
              <w:left w:w="29" w:type="dxa"/>
              <w:right w:w="29" w:type="dxa"/>
            </w:tcMar>
          </w:tcPr>
          <w:p>
            <w:pPr>
              <w:spacing w:before="0" w:after="0"/>
              <w:jc w:val="left"/>
              <w:rPr>
                <w:rFonts w:eastAsia="Times New Roman"/>
                <w:b/>
                <w:bCs/>
                <w:noProof/>
                <w:sz w:val="20"/>
                <w:szCs w:val="20"/>
              </w:rPr>
            </w:pPr>
          </w:p>
        </w:tc>
        <w:tc>
          <w:tcPr>
            <w:tcW w:w="992" w:type="dxa"/>
            <w:vMerge/>
            <w:shd w:val="clear" w:color="auto" w:fill="auto"/>
            <w:tcMar>
              <w:left w:w="29" w:type="dxa"/>
              <w:right w:w="29" w:type="dxa"/>
            </w:tcMar>
          </w:tcPr>
          <w:p>
            <w:pPr>
              <w:spacing w:before="0" w:after="0"/>
              <w:jc w:val="left"/>
              <w:rPr>
                <w:rFonts w:eastAsia="Times New Roman"/>
                <w:b/>
                <w:bCs/>
                <w:noProof/>
                <w:sz w:val="20"/>
                <w:szCs w:val="20"/>
              </w:rPr>
            </w:pPr>
          </w:p>
        </w:tc>
        <w:tc>
          <w:tcPr>
            <w:tcW w:w="1134" w:type="dxa"/>
            <w:vMerge/>
            <w:shd w:val="clear" w:color="auto" w:fill="auto"/>
            <w:tcMar>
              <w:left w:w="29" w:type="dxa"/>
              <w:right w:w="29" w:type="dxa"/>
            </w:tcMar>
          </w:tcPr>
          <w:p>
            <w:pPr>
              <w:spacing w:before="0" w:after="0"/>
              <w:jc w:val="left"/>
              <w:rPr>
                <w:rFonts w:eastAsia="Times New Roman"/>
                <w:b/>
                <w:bCs/>
                <w:noProof/>
                <w:sz w:val="20"/>
                <w:szCs w:val="20"/>
              </w:rPr>
            </w:pPr>
          </w:p>
        </w:tc>
        <w:tc>
          <w:tcPr>
            <w:tcW w:w="2116" w:type="dxa"/>
            <w:vMerge/>
            <w:shd w:val="clear" w:color="auto" w:fill="auto"/>
            <w:tcMar>
              <w:left w:w="29" w:type="dxa"/>
              <w:right w:w="29" w:type="dxa"/>
            </w:tcMar>
          </w:tcPr>
          <w:p>
            <w:pPr>
              <w:spacing w:before="0" w:after="0"/>
              <w:jc w:val="left"/>
              <w:rPr>
                <w:rFonts w:eastAsia="Times New Roman"/>
                <w:b/>
                <w:bCs/>
                <w:noProof/>
                <w:sz w:val="20"/>
                <w:szCs w:val="20"/>
              </w:rPr>
            </w:pPr>
          </w:p>
        </w:tc>
      </w:tr>
      <w:tr>
        <w:trPr>
          <w:trHeight w:val="264"/>
        </w:trPr>
        <w:tc>
          <w:tcPr>
            <w:tcW w:w="1105" w:type="dxa"/>
            <w:vMerge/>
            <w:shd w:val="clear" w:color="auto" w:fill="auto"/>
            <w:tcMar>
              <w:left w:w="29" w:type="dxa"/>
              <w:right w:w="29" w:type="dxa"/>
            </w:tcMar>
            <w:vAlign w:val="center"/>
            <w:hideMark/>
          </w:tcPr>
          <w:p>
            <w:pPr>
              <w:spacing w:before="0" w:after="0"/>
              <w:jc w:val="left"/>
              <w:rPr>
                <w:rFonts w:eastAsia="Times New Roman"/>
                <w:noProof/>
                <w:sz w:val="20"/>
                <w:szCs w:val="20"/>
              </w:rPr>
            </w:pPr>
          </w:p>
        </w:tc>
        <w:tc>
          <w:tcPr>
            <w:tcW w:w="1225"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0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05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701"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1"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709"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55"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03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9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134"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2116"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r>
      <w:tr>
        <w:trPr>
          <w:trHeight w:val="264"/>
        </w:trPr>
        <w:tc>
          <w:tcPr>
            <w:tcW w:w="1105" w:type="dxa"/>
            <w:vMerge/>
            <w:shd w:val="clear" w:color="auto" w:fill="auto"/>
            <w:tcMar>
              <w:left w:w="29" w:type="dxa"/>
              <w:right w:w="29" w:type="dxa"/>
            </w:tcMar>
            <w:vAlign w:val="center"/>
            <w:hideMark/>
          </w:tcPr>
          <w:p>
            <w:pPr>
              <w:spacing w:before="0" w:after="0"/>
              <w:jc w:val="left"/>
              <w:rPr>
                <w:rFonts w:eastAsia="Times New Roman"/>
                <w:noProof/>
                <w:sz w:val="20"/>
                <w:szCs w:val="20"/>
              </w:rPr>
            </w:pPr>
          </w:p>
        </w:tc>
        <w:tc>
          <w:tcPr>
            <w:tcW w:w="1225"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0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05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701"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1"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709"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55"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03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9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134"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2116"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r>
      <w:tr>
        <w:trPr>
          <w:trHeight w:val="138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Северен коридор № 1 (Момбаса — Малаба — Катуна)</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Развитие на пристанището в Момбаса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Уганда, Руанда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Проучванията за осъществимост и подробните проекти са приключени, етап 1 е в ход, а финансирането по етап 2 е на разположение.</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1375,00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885,00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690,00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Модернизиране на инфраструктурата на пристанището, за да се позволи акостирането на по-големи кораби и да се подобри търговският обмен. Това включва изграждането на нова котвена стоянка с контейнерен терминал (№ 23), на стойност 300 милиона щатски долара. Преобразуване на обикновените </w:t>
            </w:r>
            <w:r>
              <w:rPr>
                <w:noProof/>
                <w:sz w:val="20"/>
              </w:rPr>
              <w:lastRenderedPageBreak/>
              <w:t>котвени стоянки за товари 11 — 14 в контейнерни котвени стоянки, на стойност 73 милиона щатски долара. Преместване на нефтения терминал Кипеву, на стойност 152 милиона щатски долара. Изграждане на пристанището Dongo Kundu Free Port, на стойност 300 милиона щатски долара. Прокопаване на канала, на стойност 60 милиона щатски долара.</w:t>
            </w:r>
          </w:p>
        </w:tc>
      </w:tr>
      <w:tr>
        <w:trPr>
          <w:trHeight w:val="1056"/>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lastRenderedPageBreak/>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сухо пристанище в град Вой (Voi Dry port)</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Уганда, Руанда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е приключено.</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104,00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81,12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 години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Намаляване на натоварването на пристанището в Момбаса и на регионалните транзитни пунктове. Предоставени са 97 акра земя.</w:t>
            </w:r>
          </w:p>
        </w:tc>
      </w:tr>
      <w:tr>
        <w:trPr>
          <w:trHeight w:val="54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център за контейнеровози</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Танзания/Занзибар</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Уганда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Проучвателният етап на проекта вече е приключен.</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212,00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Улесняване на трансбордирането и подобряване на връзките по бреговете на ИАО и вътрешните пристанища за контейнери.</w:t>
            </w:r>
          </w:p>
        </w:tc>
      </w:tr>
      <w:tr>
        <w:trPr>
          <w:trHeight w:val="115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lastRenderedPageBreak/>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пристанище в Кисуму и на други пристанища на езерото Виктория</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27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нов транспортен коридор от Ламу до Етиопия и Южен Судан</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Руанда, Уганда, Танзания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Изграждането на коридора е започнало.</w:t>
            </w:r>
          </w:p>
        </w:tc>
        <w:tc>
          <w:tcPr>
            <w:tcW w:w="850" w:type="dxa"/>
            <w:shd w:val="clear" w:color="auto" w:fill="auto"/>
            <w:tcMar>
              <w:left w:w="29" w:type="dxa"/>
              <w:right w:w="29" w:type="dxa"/>
            </w:tcMar>
            <w:hideMark/>
          </w:tcPr>
          <w:p>
            <w:pPr>
              <w:spacing w:before="0" w:after="0"/>
              <w:jc w:val="right"/>
              <w:rPr>
                <w:rFonts w:eastAsia="Times New Roman"/>
                <w:noProof/>
                <w:sz w:val="18"/>
                <w:szCs w:val="18"/>
              </w:rPr>
            </w:pPr>
            <w:r>
              <w:rPr>
                <w:noProof/>
                <w:sz w:val="18"/>
              </w:rPr>
              <w:t xml:space="preserve">22 000,00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30,00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21 170,00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пристанището в Ламу, пътна мрежа и 3 международни летища, петролна рафинерия, тръбопровод и 3 туристически комплекса с цел подобряване на ефективността на железопътния транспорт, свързващ пристанището в Ламу с Южен Судан и Етиопия. </w:t>
            </w:r>
          </w:p>
        </w:tc>
      </w:tr>
      <w:tr>
        <w:trPr>
          <w:trHeight w:val="123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Разширяване на пристанищния басейн и изграждане на терминал за контейнери на пристанищет</w:t>
            </w:r>
            <w:r>
              <w:rPr>
                <w:noProof/>
                <w:sz w:val="20"/>
              </w:rPr>
              <w:lastRenderedPageBreak/>
              <w:t xml:space="preserve">о в Бужумбура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lastRenderedPageBreak/>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Танзания и Руанда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Проучванията за осъществимост са приключени.</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14,82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Този проект ще позволи изграждането на вълнолом на пристанището в Бужумбура и обновяването на нефтения терминал.</w:t>
            </w:r>
          </w:p>
        </w:tc>
      </w:tr>
      <w:tr>
        <w:trPr>
          <w:trHeight w:val="99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lastRenderedPageBreak/>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Строителство на корабостроителница на пристанището в Бужумбура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Танзания, Уганда, Руанда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 момента се провеждат проучвания за осъществимост (в рамките на генералния план за пристанищата).</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5,46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Подобряване на пристанищните съоръжения, построяване на склад, разширяване на доковете, строителство на нова сграда за пристанищните власти. Разходите предстои да бъдат определени. Обновяване на флота, строеж на нови кораби, подобряване на безопасността на корабоплаването. </w:t>
            </w:r>
          </w:p>
        </w:tc>
      </w:tr>
      <w:tr>
        <w:trPr>
          <w:trHeight w:val="135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пристанището в Букаса и строеж на кораби, които ще свързват пристанището с това в Мванза, Танзания</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Уганда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Уганда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Предстои провеждане на проучване за осъществимост.</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234,00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Ще се създаде възможност за подобряване на достъпа и връзките с Танзания.</w:t>
            </w:r>
          </w:p>
        </w:tc>
      </w:tr>
      <w:tr>
        <w:trPr>
          <w:trHeight w:val="216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депа за контейнери извън доковете в Момбаса и Дар ес Салам</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Руанда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Руанда, Бурунди, Кения, Уганда и Танзания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Проучванията за осъществимост са приключени както за Момбаса, така и за Дар ес Салам. Закупуването на терена в Момбаса е на последния етап от процедурата, докато в Дар ес Салам тя още не е започнала.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34,00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Световната банка и организацията „Trade and Markets East Africa“ (TradeMark East Africa, TMEA)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34,00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26,52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7 години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Изпълнител на проекта е правителството на Руанда в рамките на интегрирания проект за логистична инфраструктура, който има за цел да преобрази логистичната верига между пристанищата и вътрешността на страната, да понижи разходите и да подобри операциите.</w:t>
            </w:r>
          </w:p>
        </w:tc>
      </w:tr>
      <w:tr>
        <w:trPr>
          <w:trHeight w:val="240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ново пристанище в залива Мвамбани в Танга и на железопътната линия до Мусома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Уганда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Проучването за осъществимост бе приключено през ноември 2012 г. След неуспешното приключване на международна конкурентна тръжна процедура за възлагане на обществена поръчка за проектиране, строителство и финансиране, на 27 януари 2015 г. бе решено, че проектът ще протече на два етапа, като се започне с разработването на подробни проекти независимо от строителните работи. Мандатът за изготвяне на техническата спецификация на проекта се очаква да бъде публикуван през август 2015 г.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390,00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Железопътният проект е част от </w:t>
            </w:r>
            <w:r>
              <w:rPr>
                <w:b/>
                <w:i/>
                <w:noProof/>
                <w:sz w:val="20"/>
              </w:rPr>
              <w:t>новия проект за железопътна и морска инфраструктура</w:t>
            </w:r>
            <w:r>
              <w:rPr>
                <w:noProof/>
                <w:sz w:val="20"/>
              </w:rPr>
              <w:t xml:space="preserve"> </w:t>
            </w:r>
            <w:r>
              <w:rPr>
                <w:b/>
                <w:i/>
                <w:noProof/>
                <w:sz w:val="20"/>
              </w:rPr>
              <w:t>Танга (Мвамбани) — Аруша — Мусома — Кампала</w:t>
            </w:r>
            <w:r>
              <w:rPr>
                <w:noProof/>
                <w:sz w:val="20"/>
              </w:rPr>
              <w:t>, който има и морски компонент, чиято цел е изграждането на нови пристанища с голям капацитет в Мвамбани (Танга), Мусома и Кампала. Линията ще отвори коридора за развитие на Танга за международните търговски маршрути и ще насърчи трансграничната търговия със съседните държави. Железопътната линия ще бъде използвана за транспортирането на продукти на селското и горското стопанство, калцинирана сода, фосфати и други минерални продукти до пазарните центрове. Проектът също така ще стимулира експлоатацията на значителни залежи на никел, открити наскоро в Дутва, на около 100 км източно от Мванза, и значителни залежи на калцинирана сода на/в близост до езерото Натрон.</w:t>
            </w:r>
          </w:p>
        </w:tc>
      </w:tr>
      <w:tr>
        <w:trPr>
          <w:trHeight w:val="90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нефтопровод от Кигали до Бужумбура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Не е започнат</w:t>
            </w:r>
            <w:r>
              <w:rPr>
                <w:noProof/>
                <w:sz w:val="20"/>
                <w:lang w:val="fr-BE"/>
              </w:rPr>
              <w:t>o</w:t>
            </w:r>
            <w:r>
              <w:rPr>
                <w:noProof/>
                <w:sz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Проучванията за осъществимост и строителните работи все още не са започнали. Разходите ще бъдат определени по време на проучването. Африканската банка за развитие (АБР) одобри финансовата подкрепа (579 368 USD) в рамките на ИАО.</w:t>
            </w:r>
          </w:p>
        </w:tc>
      </w:tr>
      <w:tr>
        <w:trPr>
          <w:trHeight w:val="168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успореден тръбопровод от Найроби до Елдорет за увеличаване на дебита на изпомпване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Уганда, Руанда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Проучването за осъществимост е приключено.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194,74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194,74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151,90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нефтопровод с диаметър 14 инча от Найроби до Елдорет. </w:t>
            </w:r>
          </w:p>
        </w:tc>
      </w:tr>
      <w:tr>
        <w:trPr>
          <w:trHeight w:val="13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Разширяване на нефтопровода Кения — Уганда (KUPPE)</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Кения и Уганда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Проектирането / процедурата по възлагане на обществена поръчка са започнати.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144,94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144,94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113,05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нефтопровод Елдорет — Малаба — Кампала, който да гарантира безопасността и доставката на нефтопродукти в Уганда, изграждане от двете държави на нефтопровод с диаметър 10 инча за реверсивен пренос. </w:t>
            </w:r>
          </w:p>
        </w:tc>
      </w:tr>
      <w:tr>
        <w:trPr>
          <w:trHeight w:val="3696"/>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Централен коридор № 2 (Дар ес Салам — Додома — Исака — Мутукула — Масака)</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товарна гара Кизараве.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Уганда, Руанда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Пристанищните власти на Танзания са в процес на закупуване на 1760 акра земя за реализиране на проекта. Договорът за провеждане на проучване за осъществимост бе подписан на 17 септември 2014 г.; в момента консултантската фирма е на междинния етап от проучването и очаква да го приключи до края на септември 2015 г.</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93,60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Проектът ще увеличи капацитета на пристанището в Дар ес Салам да поеме трафика за Танзания и съседните държави, а именно Бурунди, Руанда и Уганда.</w:t>
            </w:r>
          </w:p>
        </w:tc>
      </w:tr>
      <w:tr>
        <w:trPr>
          <w:trHeight w:val="8192"/>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железопътна линия със стандартно междурелсие Дар ес Салам — Исака — Кигали/Кеза — Гитега — Мусонгати (1670 км)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Бурунди и 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Бурунди и Руанда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Проучването за осъществимост за изграждането на железопътна линия със стандартно междурелсие Исака — Кигали/Кеза — Гитега — Мусонгати бе осъществено с финансиране от страна на АБР (2,80 милиона щатски долара). Проучването за осъществимост за модернизация на железопътната линия със стандартно междурелсие Дар ес Салам — Исака бе осъществено от Американското дружество за товарен железопътен транспорт (BNSF) със съвместното финансиране на Американската агенция за търговия и развитие (USTDA) и BNSF (0,9 милиона щатски долара). Подробното инженерно проучване по отношение на цялата железопътна линия (Дар ес Салам — Исака — Кигали/Кеза — Гитега — Мусонгати) приключи през ноември 2014 г. с финансиране от страна на АБР (8,9 милиона щатски долара). Проектът е координиран от секретариат, председателстван от Танзания, а домакин на секретариата на проекта е Руанда. </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 xml:space="preserve">Ангажиран бе консултант по трансакциите Й (CPSC — Canadian Pacific Consulting Services), който да преобразува проекта в ПЧП и да окаже съдействие при преговорите за финансиране. През юли 2015 г. бе публикувана покана за изразяване на интерес.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5580,00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5580,00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4352,40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8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95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Асфалтиране на отсечката Мутукула — Киака — Бугене — Касуло (277 км) </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 Бурунди, Руанда и Уганда</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124,00 </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124,00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96,72 </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Търси се финансиране само за 124-километрова отсечка.</w:t>
            </w:r>
          </w:p>
        </w:tc>
      </w:tr>
      <w:tr>
        <w:trPr>
          <w:trHeight w:val="196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240"/>
              <w:jc w:val="left"/>
              <w:rPr>
                <w:rFonts w:eastAsia="Times New Roman"/>
                <w:noProof/>
                <w:sz w:val="20"/>
                <w:szCs w:val="20"/>
              </w:rPr>
            </w:pPr>
            <w:r>
              <w:rPr>
                <w:noProof/>
                <w:sz w:val="20"/>
              </w:rPr>
              <w:t xml:space="preserve">Изграждане на котвени стоянки № 13 и 14 на пристанището в Дар ес Салам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Руанда и Уганда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Ангажиран бе консултант по трансакциите (CPSC — Canadian Pacific Consulting Services), който да преобразува проекта в ПЧП и да окаже съдействие при преговорите за финансиране. През юли 2015 г. бе публикувана покана за изразяване на интерес.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312,00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Очакваните разходи са за строителни работи и доставка на оборудване.</w:t>
            </w:r>
          </w:p>
        </w:tc>
      </w:tr>
      <w:tr>
        <w:trPr>
          <w:trHeight w:val="264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Модернизиране на пристанище Мванза Юг и пристанищата на Кигома и Касанга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Кения, Уганда, Руанда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за модернизиране на пристанището в Мванза, започна през август 2014 г.; то се провежда от консултантската фирма Royal Haskoning и ще приключи през март 2015 г. Работите по модернизиране на пристанищата трябва да започнат след приключване на проучванията.</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312,00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3308"/>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Подобряване на състоянието на пътната отсечка Мпанда — Увинза — Каниани (252 км). </w:t>
            </w:r>
            <w:r>
              <w:rPr>
                <w:rFonts w:eastAsia="Times New Roman"/>
                <w:noProof/>
                <w:sz w:val="20"/>
                <w:szCs w:val="20"/>
              </w:rPr>
              <w:br/>
            </w:r>
            <w:r>
              <w:rPr>
                <w:noProof/>
                <w:sz w:val="20"/>
              </w:rPr>
              <w:t>Тя е част от Западния коридор, а именно: Тундума — Сумбаванга — Мпанда — Кигома — Няканази (1286 км). Икономическите дейности по протежението на този коридор включват селско стопанство, туризъм, минно дело, дървообработващи дейности, риболов и обработка на злато. Това е отсечка на най-големия западен коридор на Танзания, която предоставя достъп до западна и централна Танзания и свързва регионите на ИАО и Общия пазар на Източна и Южна Африка (COMESA). Тя е важна връзка с железопътната линия TANZAM в Тундума и с централните коридори в Няканази</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ИАО — Южноафриканската общност за развитие — COMESA</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50-километровата отсечка от Мпанда до Мишамо (отсечка Мпанда — Усиумбили (35 км)) е предмет на обществена поръчка за строителни работи, финансирани от правителството на Танзания. Липсващата отсечка, която се нуждае от финансиране е Усиумбили — Мишамо — Увинза — Каниани (267 км). Проучването за осъществимост и проектирането са извършени от правителството на Танзания.</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203,46</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1,46</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202</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80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Южна дъга на околовръстния високоскоростен път на Дар ес Салам (85,5 км) — връзка между пристанището на Дар ес Салам и сухото пристанище (в проект) в Кизараве и Мландизи </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 ИАО, COMESA</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Проучването за осъществимост и проектирането са в ход с финансиране от страна на правителството на Танзания.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200</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200</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1134"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Високоскоростният път ще намали натоварването на централния транспортен коридор и ще подобри ефективността по отношение на трафика към и от Дар ес Салам.</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44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Асфалтиране на пътя Хандени — Кибераши — Сингида (460 км) </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 Руанда и Бурунди</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Проучването за осъществимост и проектирането са в ход с финансиране от страна на правителството на Танзания.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460,00 </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460,00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358,80 </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w:t>
            </w:r>
          </w:p>
        </w:tc>
      </w:tr>
      <w:tr>
        <w:trPr>
          <w:trHeight w:val="1056"/>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Южна дъга на околовръстния високоскоростен път на Дар ес Салам (85,5 km)</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 Бурунди и Руанда</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и проектирането са в ход с финансиране от страна на правителството на Танзания.</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200,00 </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200,00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156,00 </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Високоскоростният път ще намали натоварването на централния транспортен коридор и ще подобри ефективността по отношение на трафика към и от Дар ес Салам.</w:t>
            </w:r>
          </w:p>
        </w:tc>
      </w:tr>
      <w:tr>
        <w:trPr>
          <w:trHeight w:val="111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пристанище в Румонге (проучвания за осъществимост и строителни работи)</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Бурунди, Танзания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Не е започнато. Извършени са проучвания за осъществимост.</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4,68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2011/2012 г. — 2014/2016 г.</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056"/>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Обновяване на пътя Кайонза — Русумо (92 км)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Правителството на Руанда мобилизира средства от Японската агенция за международно сътрудничество (JICA) и АБР.</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75,45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0,45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75,00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58,50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Оценката на проекта от страна на JICA приключи през юли 2015 г.</w:t>
            </w:r>
          </w:p>
        </w:tc>
      </w:tr>
      <w:tr>
        <w:trPr>
          <w:trHeight w:val="105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Обновяване на пътя Мусанзе — Сианика (24 км)</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и Уганда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Подробното проучване започна през март 2015 г. Очаква се то да приключи през ноември 2015 г.</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26,20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0,20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26,00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20,28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Все още не е осигурено финансиране на строителните работи.</w:t>
            </w:r>
          </w:p>
        </w:tc>
      </w:tr>
      <w:tr>
        <w:trPr>
          <w:trHeight w:val="114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Обновяване на пътя Нгома — Рамиро — Нианза (130 км в 2 лота). Връзка с централния коридор</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Подробното проучване бе приключено през януари 2015 г.</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170,00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0,50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169,50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132,21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4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Все още не е осигурено финансиране на строителните работи.</w:t>
            </w:r>
          </w:p>
        </w:tc>
      </w:tr>
      <w:tr>
        <w:trPr>
          <w:trHeight w:val="93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ферибот на езерото Танганайка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Не е започнато.</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9,36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2012 — 2016 г.</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Все още не е осигурено финансиране на строителните работи.</w:t>
            </w:r>
          </w:p>
        </w:tc>
      </w:tr>
      <w:tr>
        <w:trPr>
          <w:trHeight w:val="84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Обновяване на национален път № 6, Муйинга — Коберо</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104,00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104,00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81,12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29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Обновяване и разширяване на национален път № 12, Гитега — Карузи — Муйинга — Танзания</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Подробният проект е изготвен.</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89,60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89,60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69,89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96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Обновяване на национален път № 18, Някараро — Муаро — Гитега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Подробният проект е изготвен.</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44,80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44,80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34,94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Все още не е осигурено финансиране на строителните работи за отсечката Муаро — Гитега.</w:t>
            </w:r>
          </w:p>
        </w:tc>
      </w:tr>
      <w:tr>
        <w:trPr>
          <w:trHeight w:val="103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Обновяване на национален път № 7, Бужумбура — Някараро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Подробният проект е изготвен.</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46,80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29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Обновяване и разширяване на национален път № 1, Бужумбура — Каянза — Каняру О (Kanyaru Haut)</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Руанда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Подробният проект е изготвен.</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138,00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138,00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107,64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90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Строителни работи по междуселищен път № 101</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49,20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49,20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38,38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90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Разширяване на национален път № 6 в посока Каянза</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Руанда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Подробен проект е изготвен за участъка от Коберо до Муйинга.</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156,00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156,00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121,68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73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Обновяване на национален път № 2, Бужумбура — Гитега</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52,00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52,00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40,56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35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Възстановителни и строителни работи по национални пътища № 16 и 17, Гитега — Бурури — Макамба (127 км)</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145,20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145,20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113,26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3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 за осъществимост и изграждане на отсечката Руйиги — Гисуру — Гахумо (Бурунди — Танзания), 80 км</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Не е започнато.</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54,60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Разходите ще бъдат определени в рамките на проучването.</w:t>
            </w:r>
          </w:p>
        </w:tc>
      </w:tr>
      <w:tr>
        <w:trPr>
          <w:trHeight w:val="8192"/>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железопътна линия със стандартно междурелсие Дар ес Салам — Исака — Кигали/Кеза — Гитега — Мусонгати (1670 км)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Бурунди и 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Бурунди и Руанда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Проучването за осъществимост за изграждането на железопътна линия със стандартно междурелсие Исака — Кигали/Кеза — Гитега — Мусонгати бе осъществено с финансиране от страна на АБР (2,80 милиона щатски долара). Проучването за осъществимост за модернизация на железопътната линия със стандартно междурелсие Дар ес Салам — Исака бе извършено от BNSF със съвместното финансиране на USTDA и BNSF (0,9 милиона щатски долара). Подробното инженерно проучване по отношение на цялата железопътна линия (Дар ес Салам — Исака — Кигали/Кеза — Гитега — Мусонгати) приключи през февруари 2013 г. с финансиране от страна на АБР (8,9 милиона щатски долара). Проектът е координиран от секретариат, председателстван от Танзания, а домакин на секретариата на проекта е Руанда. </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Проучванията за осъществимост, извършени от международния клон на немските железници (DBI), Германия, и BNSF, САЩ, са приключени.</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 xml:space="preserve">В момента е в ход подробно инженерно проучване, финансирано от АБР в размер на 8,9 милиона щатски долара, с цел преобразуване на проекта в ПЧП и предприемане на извършването на прединвестиционно проучване/проучване за осъществимост по приоритетните интервенции. </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Проектът на доклад се очаква да бъде готов през декември 2012 г., а окончателният доклад — през февруари 2013 г.</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5580,00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5580,00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4352,40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8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600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Проект за железопътна линия със стандартно междурелсие Момбаса — Кампала — Кигали</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Уганда, Кения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Изграждането на отсечката Момбаса — Найроби започна през ноември 2013 г. Тази отсечка е основно финансирана от китайската Exim Bank, а строителните работи се извършват от China Road and Bridge Corporation (CRBC);</w:t>
            </w:r>
            <w:r>
              <w:rPr>
                <w:rFonts w:eastAsia="Times New Roman"/>
                <w:noProof/>
                <w:sz w:val="20"/>
                <w:szCs w:val="20"/>
              </w:rPr>
              <w:br/>
            </w:r>
            <w:r>
              <w:rPr>
                <w:noProof/>
                <w:sz w:val="20"/>
              </w:rPr>
              <w:t>- проучването за осъществимост на отсечката Найроби — Малаба се извършва от China Communications Construction Company (CCCC), което трябва да приключи през септември 2015 г.; Подготвителният инженерен план за отсечката Малаба — Кампала бе завършен през август 2014 г. През март 2015 г. правителството на Уганда и China Harbour Engineering Company (CHEC) подписаха споразумение за изграждането на тази отсечка, в това число и на северния път до Гулу и Нимуле;</w:t>
            </w:r>
            <w:r>
              <w:rPr>
                <w:rFonts w:eastAsia="Times New Roman"/>
                <w:noProof/>
                <w:sz w:val="20"/>
                <w:szCs w:val="20"/>
              </w:rPr>
              <w:br/>
            </w:r>
            <w:r>
              <w:rPr>
                <w:noProof/>
                <w:sz w:val="20"/>
              </w:rPr>
              <w:t>- Уганда и Южен Судан започнаха съвместното изпълнение на подготвителния инженерен план за отсечката Тороро — Нимуле — Жуба.</w:t>
            </w:r>
            <w:r>
              <w:rPr>
                <w:rFonts w:eastAsia="Times New Roman"/>
                <w:noProof/>
                <w:sz w:val="20"/>
                <w:szCs w:val="20"/>
              </w:rPr>
              <w:br/>
            </w:r>
            <w:r>
              <w:rPr>
                <w:noProof/>
                <w:sz w:val="20"/>
              </w:rPr>
              <w:t>- Уганда и Руанда започнаха съвместното изпълнение на подготвителния инженерен план за отсечката Кампала — Кигали и нейните разклонения, което се очаква да приключи през октомври 2015 г.</w:t>
            </w:r>
            <w:r>
              <w:rPr>
                <w:rFonts w:eastAsia="Times New Roman"/>
                <w:noProof/>
                <w:sz w:val="20"/>
                <w:szCs w:val="20"/>
              </w:rPr>
              <w:br/>
            </w:r>
            <w:r>
              <w:rPr>
                <w:noProof/>
                <w:sz w:val="20"/>
              </w:rPr>
              <w:t>Процедура по мобилизиране на средства бе започната в 3 държави.</w:t>
            </w:r>
          </w:p>
        </w:tc>
        <w:tc>
          <w:tcPr>
            <w:tcW w:w="850" w:type="dxa"/>
            <w:shd w:val="clear" w:color="auto" w:fill="auto"/>
            <w:tcMar>
              <w:left w:w="29" w:type="dxa"/>
              <w:right w:w="29" w:type="dxa"/>
            </w:tcMar>
            <w:hideMark/>
          </w:tcPr>
          <w:p>
            <w:pPr>
              <w:spacing w:before="0" w:after="0"/>
              <w:jc w:val="right"/>
              <w:rPr>
                <w:rFonts w:eastAsia="Times New Roman"/>
                <w:noProof/>
                <w:sz w:val="18"/>
                <w:szCs w:val="18"/>
              </w:rPr>
            </w:pPr>
            <w:r>
              <w:rPr>
                <w:noProof/>
                <w:sz w:val="18"/>
              </w:rPr>
              <w:t xml:space="preserve">13 800,00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7300,00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5694,00 </w:t>
            </w:r>
          </w:p>
        </w:tc>
        <w:tc>
          <w:tcPr>
            <w:tcW w:w="1134"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2014 — 2019 г. (институционална рамка, финансиране и проектиране: 2 години; строителни работи: 3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321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Обновяване на пътя Нянгуге — Магу Мусома (184,2 км)</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и Кения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Обновяването на 85,5-километровата отсечка от границата между Симию и Мара до Мусома е приключено. Остава да се осигури финансиране за изграждането на отсечката между Нянгуге и границата между Симию и Мара (80 км). Проучването за осъществимост приключи през юни 2008 г., а подробният инженерен план бе завършен през 2009 г. с финансиране от ЕС.</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0,67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114,33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89,18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Проектът би могъл да бъде финансиран със средства по линия на 10-ия ЕФР (регионална индикативна програма).</w:t>
            </w:r>
          </w:p>
        </w:tc>
      </w:tr>
      <w:tr>
        <w:trPr>
          <w:trHeight w:val="660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Път Кидахве — Кибондо — Няканази (310 км)</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 Бурунди и Руанда</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Общо 100 км (50 км от Няканази до Касулу и 50 км от Кидахве до Касулу) са в процес на асфалтиране с финансиране от правителството на Танзания. Отсечката, за чието изграждане не е осигурено финансиране, е с дължина 250 км. Обществената поръчка за избирането на консултантска фирма, която да актуализира проучването за осъществимост и подробния проект за отсечката Касулу — Няканази (210 км) и проучването за осъществимост за отсечката Касулу — Мугина (45 км) (границата между Танзания и Бурунди) е в ход с финансиране от страна на инструмента за изготвяне на инфраструктурни проекти в рамките на NEPAD (Ново партньорство за развитие на Африка).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255,00 </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255,00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198,90 </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21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пътя Малинди — Лунгалунга — Багамойо. (503 км)</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5 %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Проучванията за осъществимост и подробните инженерни планове са завършени.</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571,00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571,00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445,38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Проучванията за осъществимост и подробните инженерни планове са изцяло финансирани от АБР. Като приоритет този път свързва коридор № 1 и коридора LAPSSET (Lamu Port Southern Sudan-Ethiopia Transport Corridor).</w:t>
            </w:r>
          </w:p>
        </w:tc>
      </w:tr>
      <w:tr>
        <w:trPr>
          <w:trHeight w:val="85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Железопътна линия Танга — Моши — Аруша — Мусома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Уганда и Кения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е в ход (на стойност 2 милиарда танзанийски шилинга).</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1903,00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1903,00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1484,34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2012 — 2017 г.</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Проектът се състои в укрепване, модернизиране и изграждане на железопътна линия от Танга до Мусома с разклонение до езерото Натрон при Мто уа Мбу. Железопътната линия ще свърже Уганда и пристанището в Танга. </w:t>
            </w:r>
          </w:p>
        </w:tc>
      </w:tr>
      <w:tr>
        <w:trPr>
          <w:trHeight w:val="85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Модернизиране на съществуващата 110-километрова железопътна линия Вой — Тавета</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Проучването за осъществимост е извършено.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18,00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94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Модернизиране на летищните съоръжения на летище Каруме в Пемба</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Танзания/Занзибар</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Танзания, Уганда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е изготвено.</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12,12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96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Производство на енергия</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 и строителни работи на водноелектрическата централа Rusizi IV (285 MW)</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Предварителното проучване за осъществимост е приключено. </w:t>
            </w:r>
            <w:r>
              <w:rPr>
                <w:rFonts w:eastAsia="Times New Roman"/>
                <w:noProof/>
                <w:sz w:val="20"/>
                <w:szCs w:val="20"/>
              </w:rPr>
              <w:br/>
            </w:r>
            <w:r>
              <w:rPr>
                <w:noProof/>
                <w:sz w:val="20"/>
              </w:rPr>
              <w:t xml:space="preserve">Предстои провеждане на проучвания за осъществимост.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390,00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Преговорите с проектантите на Rusizi III са в ход. </w:t>
            </w:r>
          </w:p>
        </w:tc>
      </w:tr>
      <w:tr>
        <w:trPr>
          <w:trHeight w:val="111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Строителство на електроцентралата Rusizi III с мощност 145 MW</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Всички проучвания вече са приключени. В момента са в ход преговорите с частния проектант.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2,82 </w:t>
            </w:r>
          </w:p>
        </w:tc>
        <w:tc>
          <w:tcPr>
            <w:tcW w:w="850"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 </w:t>
            </w:r>
          </w:p>
        </w:tc>
        <w:tc>
          <w:tcPr>
            <w:tcW w:w="709"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402,18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313,70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2015 — 2019 г.</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Предстои да бъде разработено в рамките на ПЧП. </w:t>
            </w:r>
          </w:p>
        </w:tc>
      </w:tr>
      <w:tr>
        <w:trPr>
          <w:trHeight w:val="322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Съвместна централа за втечнен природен газ (100 MW)</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Руанда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и Кения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b/>
                <w:noProof/>
                <w:sz w:val="20"/>
                <w:szCs w:val="20"/>
              </w:rPr>
              <w:t>Кения обяви тръжна процедура за изграждането на електроцентрала с мощност 700 MW, в това число плаваща инсталация за съхранение и регазификация, която ще е разположена в окръг Момбаса (предстоят консултации с Руанда)</w:t>
            </w:r>
            <w:r>
              <w:rPr>
                <w:noProof/>
                <w:sz w:val="20"/>
                <w:szCs w:val="20"/>
              </w:rPr>
              <w:t>. Правителството на Руанда, с помощта на министерството на инфраструктурата, изготви концептуална разработка за проект на централа с мощност 1000 MW, и проведе последващи обсъждания с Кения.</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bookmarkStart w:id="2" w:name="RANGE!F53"/>
            <w:r>
              <w:rPr>
                <w:noProof/>
                <w:sz w:val="20"/>
              </w:rPr>
              <w:t xml:space="preserve">900,00 </w:t>
            </w:r>
            <w:bookmarkEnd w:id="2"/>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900,00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702,00 </w:t>
            </w:r>
          </w:p>
        </w:tc>
        <w:tc>
          <w:tcPr>
            <w:tcW w:w="1134"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Като се има предвид сложността на проекта, и по-специално на плаващата инсталация за съхранение и регазификация на ВПГ, времето за изграждането е 2 — 3 години (без да се вземе предвид времето, необходимо за мобилизиране на средства и за провеждане на обществени поръчки).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Пълна оценка на техническата осъществимост на всички аспекти на проекта от пристанището до електроцентралата и преносната мрежа. Пълна оценка на финансовата осъществимост на проекта въз основа на капиталовите разходи и прогнози за търсенето и цените на ВПГ. Преценка на това дали проектът следва да се осъществи като публичен проект, при което всяка от държавите отпуска финансиране, или като частен проект, при което всяка от държавите гарантира заплащането на част от цената, поискана от частния оператор.</w:t>
            </w:r>
          </w:p>
        </w:tc>
      </w:tr>
      <w:tr>
        <w:trPr>
          <w:trHeight w:val="213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Изграждането на преносен електропровод от Уганда до Кения с цел увеличаване на енергийните доставки към междусистемния електропровод Лесос — Тороро на кенийската национална електропреносна мрежа (127 км, 220 kV)</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Уганда, Кения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е приключено, подготвителните работи, проектирането и тръжните документи са подготвени.</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56,00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56,00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43,68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Проектът е с регионален характер и ще подобри доставките на енергия в региона. Прогнозен капацитет 200 MW.</w:t>
            </w:r>
          </w:p>
        </w:tc>
      </w:tr>
      <w:tr>
        <w:trPr>
          <w:trHeight w:val="268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преносен електропровод от Танзания до Кения с цел увеличаване на енергийните доставки към двуверижния електропровод Исиня — Наманга на кенийската национална електропреносна мрежа (100 км, 400 kV)</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е приключено. Подготвителните работи са извършени, проектирането и тръжните документи са подготвени.</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42,90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Прогнозен капацитет 1300 MW.</w:t>
            </w:r>
          </w:p>
        </w:tc>
      </w:tr>
      <w:tr>
        <w:trPr>
          <w:trHeight w:val="4488"/>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Проект за междусистемна електрическа връзка Танзания — Замбия — Кения (TZK). Разширяване на 292-километровата отсечка Иринга — Мбея, 670-километровата отсечка Иринга — Шинянга и 414,4-километровата отсечка Сингида — Аруша на преносния електропровод с напрежение 400 kV от Замбия за Танзания и Кения</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 и Кения</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Проучванията за осъществимост са приключени (Мбея — Иринга, Иринга — Шинянга и Сингида — Аруша); за отсечката Иринга — Шинянга изпълнението е в ход.</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911,23 </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470,00 </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441,29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344,21 </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4 години</w:t>
            </w:r>
          </w:p>
        </w:tc>
        <w:tc>
          <w:tcPr>
            <w:tcW w:w="2116"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Партньорите в областта на развитието — Световната банка, Японската агенция за международно сътрудничество, Европейската инвестиционна банка и Фондът за сътрудничество в икономическото развитие, са готови да финансират отсечката Иринга — Шинянга (470 милиона щатски долара); Консорциум от кредитори (Световната банка/Международната асоциация за развитие, АБР, JICA и Френската агенция за развитие) са проявили интерес към финансиране на отсечката Сингида — Аруша (242,09 милиона щатски долара), а за отсечката Мбея — Иринга (199,2 милиона щатски долара) все още се търси финансиране.</w:t>
            </w:r>
          </w:p>
        </w:tc>
      </w:tr>
      <w:tr>
        <w:trPr>
          <w:trHeight w:val="104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Преносни електропроводи:</w:t>
            </w:r>
            <w:r>
              <w:rPr>
                <w:rFonts w:eastAsia="Times New Roman"/>
                <w:noProof/>
                <w:sz w:val="20"/>
                <w:szCs w:val="20"/>
              </w:rPr>
              <w:br/>
            </w:r>
            <w:r>
              <w:rPr>
                <w:noProof/>
                <w:sz w:val="20"/>
              </w:rPr>
              <w:t xml:space="preserve">1) Електропровод Олвийо — Нимуле — Жуба с напрежение 400 kV (190 км) </w:t>
            </w:r>
            <w:r>
              <w:rPr>
                <w:rFonts w:eastAsia="Times New Roman"/>
                <w:noProof/>
                <w:sz w:val="20"/>
                <w:szCs w:val="20"/>
              </w:rPr>
              <w:br/>
            </w:r>
            <w:r>
              <w:rPr>
                <w:noProof/>
                <w:sz w:val="20"/>
              </w:rPr>
              <w:t xml:space="preserve">2) Електропровод Нкенда — Мпондве — Бени с напрежение 200 kV (70 км) </w:t>
            </w:r>
            <w:r>
              <w:rPr>
                <w:rFonts w:eastAsia="Times New Roman"/>
                <w:noProof/>
                <w:sz w:val="20"/>
                <w:szCs w:val="20"/>
              </w:rPr>
              <w:br/>
            </w:r>
            <w:r>
              <w:rPr>
                <w:noProof/>
                <w:sz w:val="20"/>
              </w:rPr>
              <w:t xml:space="preserve">3) Електропровод Масака — Мванза с напрежение 200 kV (85 км)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Уганда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Уганда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Предстои провеждане на проучване за осъществимост.</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162,00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162,00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126,36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4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80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ИКТ и ТЕЛЕКОМУНИКАЦИИ</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Трансгранична свързаност (свързване с подводния източноафрикански кабел) (проучвания за осъществимост и изграждане)</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Уганда, Руанда, Бурунди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b/>
                <w:noProof/>
                <w:sz w:val="20"/>
                <w:szCs w:val="20"/>
                <w:u w:val="single"/>
              </w:rPr>
              <w:t>Актуализирана информация към септември 2014 г.</w:t>
            </w:r>
            <w:r>
              <w:rPr>
                <w:noProof/>
                <w:sz w:val="20"/>
              </w:rPr>
              <w:t xml:space="preserve"> Подписан бе дългосрочен договор за осигуряване на дебит от 2,4 Gbps за Руанда. Този капацитет е недостатъчен предвид потребностите на Руанда.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32,00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32,00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24,96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Налице е спешна необходимост от създаване на специален оптичен пръстен от тъмни влакна, който да свързва 5-те столици в региона на ИАО, което ще доведе до намаляване на разходите за пренос на данни и ще подобри дебита в отделните държави.</w:t>
            </w:r>
          </w:p>
        </w:tc>
      </w:tr>
      <w:tr>
        <w:trPr>
          <w:trHeight w:val="5016"/>
        </w:trPr>
        <w:tc>
          <w:tcPr>
            <w:tcW w:w="1105" w:type="dxa"/>
            <w:vMerge w:val="restart"/>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vMerge w:val="restart"/>
            <w:shd w:val="clear" w:color="auto" w:fill="auto"/>
            <w:tcMar>
              <w:left w:w="29" w:type="dxa"/>
              <w:right w:w="29" w:type="dxa"/>
            </w:tcMar>
            <w:hideMark/>
          </w:tcPr>
          <w:p>
            <w:pPr>
              <w:spacing w:before="0" w:after="0"/>
              <w:jc w:val="left"/>
              <w:rPr>
                <w:rFonts w:eastAsia="Times New Roman"/>
                <w:noProof/>
                <w:sz w:val="20"/>
                <w:szCs w:val="20"/>
              </w:rPr>
            </w:pPr>
            <w:r>
              <w:rPr>
                <w:noProof/>
                <w:sz w:val="20"/>
              </w:rPr>
              <w:t>Създаване на ИКТ паркове в Кения и Руанда (Rwanda Technopol)</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и Руанда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5000 акра земя е закупена и оградена за изграждането на ИКТ парк; генералният план за изграждането на бизнеспарк Konza Technology City е одобрен; обществената поръчка за избор на главен разработчик на първия етап от проекта е приключена; обектът е електроснабден; строителството на язовира Туейк е в ход; пробиването на 10 сондажни отвора е приключено; строителството на търговска сграда е в ход; обособяването на 10-километрова буферна зона е приключено; изграждането на път за достъп до обекта е в ход и изкопните работи са приключени.</w:t>
            </w:r>
          </w:p>
        </w:tc>
        <w:tc>
          <w:tcPr>
            <w:tcW w:w="850" w:type="dxa"/>
            <w:shd w:val="clear" w:color="auto" w:fill="auto"/>
            <w:tcMar>
              <w:left w:w="29" w:type="dxa"/>
              <w:right w:w="29" w:type="dxa"/>
            </w:tcMar>
            <w:hideMark/>
          </w:tcPr>
          <w:p>
            <w:pPr>
              <w:spacing w:before="0" w:after="0"/>
              <w:jc w:val="right"/>
              <w:rPr>
                <w:rFonts w:eastAsia="Times New Roman"/>
                <w:noProof/>
                <w:sz w:val="18"/>
                <w:szCs w:val="18"/>
              </w:rPr>
            </w:pPr>
            <w:r>
              <w:rPr>
                <w:noProof/>
                <w:sz w:val="18"/>
              </w:rPr>
              <w:t xml:space="preserve">11 765,00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11 765,00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9176,70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12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Проведена е международна конференция на инвеститорите, на церемонията по първата копка са присъствали представители на 14 международни дружества в областта на ИКТ, които ще вземат участие в първоначалния етап от изграждането на обекта, като например IBM, Microsoft, Google, Safaricom, и местни банки; правителството планира да изпълни проекта чрез споразумение за ПЧП.</w:t>
            </w:r>
          </w:p>
        </w:tc>
      </w:tr>
      <w:tr>
        <w:trPr>
          <w:trHeight w:val="5280"/>
        </w:trPr>
        <w:tc>
          <w:tcPr>
            <w:tcW w:w="1105" w:type="dxa"/>
            <w:vMerge/>
            <w:tcMar>
              <w:left w:w="29" w:type="dxa"/>
              <w:right w:w="29" w:type="dxa"/>
            </w:tcMar>
            <w:hideMark/>
          </w:tcPr>
          <w:p>
            <w:pPr>
              <w:spacing w:before="0" w:after="0"/>
              <w:jc w:val="left"/>
              <w:rPr>
                <w:rFonts w:eastAsia="Times New Roman"/>
                <w:noProof/>
                <w:sz w:val="20"/>
                <w:szCs w:val="20"/>
              </w:rPr>
            </w:pPr>
          </w:p>
        </w:tc>
        <w:tc>
          <w:tcPr>
            <w:tcW w:w="1225" w:type="dxa"/>
            <w:vMerge/>
            <w:tcMar>
              <w:left w:w="29" w:type="dxa"/>
              <w:right w:w="29" w:type="dxa"/>
            </w:tcMar>
            <w:hideMark/>
          </w:tcPr>
          <w:p>
            <w:pPr>
              <w:spacing w:before="0" w:after="0"/>
              <w:jc w:val="left"/>
              <w:rPr>
                <w:rFonts w:eastAsia="Times New Roman"/>
                <w:noProof/>
                <w:sz w:val="20"/>
                <w:szCs w:val="20"/>
              </w:rPr>
            </w:pP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и 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ИАО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b/>
                <w:noProof/>
                <w:sz w:val="20"/>
                <w:szCs w:val="20"/>
                <w:u w:val="single"/>
              </w:rPr>
              <w:t>Актуализирана информация към септември 2014 г.</w:t>
            </w:r>
            <w:r>
              <w:rPr>
                <w:noProof/>
                <w:sz w:val="20"/>
                <w:szCs w:val="20"/>
              </w:rPr>
              <w:t xml:space="preserve"> За изграждането на технологичен парк с площ 61,3 ха вече са изготвени генерален план, бизнесплан и висококачествен архитектурен проект. </w:t>
            </w:r>
            <w:r>
              <w:rPr>
                <w:b/>
                <w:noProof/>
                <w:sz w:val="20"/>
                <w:szCs w:val="20"/>
              </w:rPr>
              <w:t>Следващи етапи:</w:t>
            </w:r>
            <w:r>
              <w:rPr>
                <w:noProof/>
                <w:sz w:val="20"/>
                <w:szCs w:val="20"/>
              </w:rPr>
              <w:t xml:space="preserve"> 1) разработване на подробни архитектурни планове; 2) изграждане на физическата инфраструктура на технологичния парк; 3) строителство на регионален център за високи научни постижения, което трябва да започне преди края на тази година (за период от 22 месеца).</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230,00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230,00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179,40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20014 — 2019 г.</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Поради високата цена на технологичния парк за правителството на Руанда, бяхме принудени да обмислим прилагането на поетапен подход, като за неговото осъществяване ще са необходими повече от 10 години. Ако бъдат намерени средства, ще бъдем в състояние да завършим технологичния парк за два пъти по-кратко време (отразено в графиците за реализиране).</w:t>
            </w:r>
          </w:p>
        </w:tc>
      </w:tr>
      <w:tr>
        <w:trPr>
          <w:trHeight w:val="13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Създаване на регионални възли за обмен на интернет трафик</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Бурунди, Кения, Уганда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Предварителен (начален) етап.</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11,70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2013 — 2015 г.</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НОВО. Проектът ще осигури инфраструктурата и услугите, необходими да се прекъсне регионалната зависимост от международните оператори, които контролират регионалния трафик в региона.</w:t>
            </w:r>
          </w:p>
        </w:tc>
      </w:tr>
      <w:tr>
        <w:trPr>
          <w:trHeight w:val="85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Проект за създаване на регионална мрежа за образователна и изследователска дейност (REduNet)</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Руанда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Пилотен проект, започнат в Руанда и Танзания.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15,60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2013 — 2015 г.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 региона научноизследователската и развойна дейност е ограничена и липсва институционален капацитет за иновации. Проектът ще създаде специална икономически ефективна и висококачествена мрежа от данни, която свързва сектора за научноизследователска дейност с висшите учебни заведения, като по този начин достига до повече хора и осигурява достъп до световните научноизследователски и образователни ресурси чрез UbuntuNet и интернет.</w:t>
            </w:r>
          </w:p>
        </w:tc>
      </w:tr>
      <w:tr>
        <w:trPr>
          <w:trHeight w:val="105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завод за комбинирани торове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Бурунди, Кения, Уганда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Предприето е проучване за осъществимост.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3,20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Улесняване на достъпа до качествени торове на приемливи цени.</w:t>
            </w:r>
          </w:p>
        </w:tc>
      </w:tr>
      <w:tr>
        <w:trPr>
          <w:trHeight w:val="210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 xml:space="preserve">ИЗГРАЖДАНЕ НА КАПАЦИТЕТ И ИНСТИТУЦИОНАЛНА РАМКА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Подобряване на капацитета и на технологичния трансфер в областта на санитарните и фитосанитарните въпроси в държавите партньори от ИАО с цел привеждане в съответствие с международните стандарти</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Средствата ще бъдат използвани за обучение на служители, работещи в областта на стандартите, и на служители, отговорни за гарантиране на качеството, участие в работата на Codex, OIE и IPPC (трите организации „сестри“) и въвеждане на регионални и международни стандарти за санитарни и фитосанитарни мерки, в това число създаване на акредитирани лаборатории и свободни от болести зони</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ИАО</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ИАО</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Предварителното проучване е приключено.</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60,25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0,25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46,80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Проект за биологична сигурност на ФАО в рамките на съвместна програма на ООН, по която са осигурени 247 256 USD.</w:t>
            </w:r>
          </w:p>
        </w:tc>
      </w:tr>
      <w:tr>
        <w:trPr>
          <w:trHeight w:val="1584"/>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пътища около езерото Виктория, водещи до рибни стопанства и пазари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Кения, Уганда и Танзания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 процес на изпълнение.</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7,10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7,10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5,54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35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240"/>
              <w:jc w:val="left"/>
              <w:rPr>
                <w:rFonts w:eastAsia="Times New Roman"/>
                <w:noProof/>
                <w:sz w:val="20"/>
                <w:szCs w:val="20"/>
              </w:rPr>
            </w:pPr>
            <w:r>
              <w:rPr>
                <w:noProof/>
                <w:sz w:val="20"/>
              </w:rPr>
              <w:t>Установяване на стандарти и на гранични пунктове за контрол на качеството (Наманга, Сирари, Холили и Тундума)</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и Кения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 процес на изпълнение.</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13,00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13,00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10,14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4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Този проект ще спомогне за премахването или за значителното намаляване на последиците от незаконните риболовни практики и за подобряването на биологичното разнообразие, за увеличаването на рибния улов и на доставките на риба и по този начин ще увеличи държавните приходи от риболовните дейности. </w:t>
            </w:r>
          </w:p>
        </w:tc>
      </w:tr>
      <w:tr>
        <w:trPr>
          <w:trHeight w:val="1584"/>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 xml:space="preserve">Проекти, свързани с езерото Виктория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Обновяване и разширяване на пристанището Port Bell и пускане на фериботи за Кисуму и Мванза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Уганда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Уганда, Танзания и Кения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все още не е проведено.</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157,89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157,89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123,15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4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Сумите, внесени от други донори, трябва да бъдат потвърдени. АБР прояви интерес. </w:t>
            </w:r>
          </w:p>
        </w:tc>
      </w:tr>
      <w:tr>
        <w:trPr>
          <w:trHeight w:val="819"/>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инфраструктура за търговия в сектора на рибарството</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Руанда, Уганда, Танзания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 процес на изпълнение.</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46,60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Увеличаване на износа; намаляване на загубите в периода след събирането на реколтата и увеличаване на количеството риба, получено от улов и отглеждане.</w:t>
            </w:r>
          </w:p>
        </w:tc>
      </w:tr>
      <w:tr>
        <w:trPr>
          <w:trHeight w:val="120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Борба с нелегалния и нерегулиран риболов</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Руанда, Уганда, Танзания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 процес на изпълнение.</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46,60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Укрепване на системите за мониторинг, контрол и надзор.</w:t>
            </w:r>
          </w:p>
        </w:tc>
      </w:tr>
      <w:tr>
        <w:trPr>
          <w:trHeight w:val="120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Подобряване на водния транспорт в езерото Виктория</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Уганда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Уганда, Танзания и Кения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е в ход.</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78,00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Проектът включва закупуване на помощни навигационни средства, които трябва да заменят остарялото оборудване.</w:t>
            </w:r>
          </w:p>
        </w:tc>
      </w:tr>
      <w:tr>
        <w:trPr>
          <w:trHeight w:val="1320"/>
        </w:trPr>
        <w:tc>
          <w:tcPr>
            <w:tcW w:w="1105" w:type="dxa"/>
            <w:shd w:val="clear" w:color="auto" w:fill="auto"/>
            <w:tcMar>
              <w:left w:w="29" w:type="dxa"/>
              <w:right w:w="29" w:type="dxa"/>
            </w:tcMar>
            <w:hideMark/>
          </w:tcPr>
          <w:p>
            <w:pPr>
              <w:spacing w:before="0" w:after="0"/>
              <w:jc w:val="left"/>
              <w:rPr>
                <w:rFonts w:eastAsia="Times New Roman"/>
                <w:b/>
                <w:noProof/>
                <w:sz w:val="20"/>
                <w:szCs w:val="20"/>
              </w:rPr>
            </w:pPr>
            <w:r>
              <w:rPr>
                <w:b/>
                <w:noProof/>
                <w:sz w:val="20"/>
              </w:rPr>
              <w:t>СЕЛСКО СТОПАНСТВО И ЖИВОТНОВЪДСТВО</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Обособяване на свободни от болести зони</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Руанда, Уганда, Танзания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4,10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Целта е да се улесни достъпът на животински продукти до местните, регионалните и външните пазари при спазване на международните стандарти.</w:t>
            </w:r>
          </w:p>
        </w:tc>
      </w:tr>
      <w:tr>
        <w:trPr>
          <w:trHeight w:val="300"/>
        </w:trPr>
        <w:tc>
          <w:tcPr>
            <w:tcW w:w="1105" w:type="dxa"/>
            <w:shd w:val="clear" w:color="auto" w:fill="auto"/>
            <w:tcMar>
              <w:left w:w="29" w:type="dxa"/>
              <w:right w:w="29" w:type="dxa"/>
            </w:tcMar>
            <w:hideMark/>
          </w:tcPr>
          <w:p>
            <w:pPr>
              <w:spacing w:before="0" w:after="0"/>
              <w:jc w:val="left"/>
              <w:rPr>
                <w:rFonts w:eastAsia="Times New Roman"/>
                <w:b/>
                <w:noProof/>
                <w:sz w:val="20"/>
                <w:szCs w:val="20"/>
              </w:rPr>
            </w:pPr>
          </w:p>
        </w:tc>
        <w:tc>
          <w:tcPr>
            <w:tcW w:w="1225" w:type="dxa"/>
            <w:shd w:val="clear" w:color="auto" w:fill="auto"/>
            <w:tcMar>
              <w:left w:w="29" w:type="dxa"/>
              <w:right w:w="29" w:type="dxa"/>
            </w:tcMar>
            <w:hideMark/>
          </w:tcPr>
          <w:p>
            <w:pPr>
              <w:spacing w:before="0" w:after="0"/>
              <w:jc w:val="left"/>
              <w:rPr>
                <w:rFonts w:eastAsia="Times New Roman"/>
                <w:b/>
                <w:noProof/>
                <w:sz w:val="20"/>
                <w:szCs w:val="20"/>
              </w:rPr>
            </w:pPr>
          </w:p>
        </w:tc>
        <w:tc>
          <w:tcPr>
            <w:tcW w:w="900" w:type="dxa"/>
            <w:shd w:val="clear" w:color="auto" w:fill="auto"/>
            <w:tcMar>
              <w:left w:w="29" w:type="dxa"/>
              <w:right w:w="29" w:type="dxa"/>
            </w:tcMar>
            <w:hideMark/>
          </w:tcPr>
          <w:p>
            <w:pPr>
              <w:spacing w:before="0" w:after="0"/>
              <w:jc w:val="left"/>
              <w:rPr>
                <w:rFonts w:eastAsia="Times New Roman"/>
                <w:b/>
                <w:noProof/>
                <w:sz w:val="20"/>
                <w:szCs w:val="20"/>
              </w:rPr>
            </w:pPr>
          </w:p>
        </w:tc>
        <w:tc>
          <w:tcPr>
            <w:tcW w:w="1052" w:type="dxa"/>
            <w:shd w:val="clear" w:color="auto" w:fill="auto"/>
            <w:tcMar>
              <w:left w:w="29" w:type="dxa"/>
              <w:right w:w="29" w:type="dxa"/>
            </w:tcMar>
            <w:hideMark/>
          </w:tcPr>
          <w:p>
            <w:pPr>
              <w:spacing w:before="0" w:after="0"/>
              <w:jc w:val="left"/>
              <w:rPr>
                <w:rFonts w:eastAsia="Times New Roman"/>
                <w:b/>
                <w:noProof/>
                <w:sz w:val="20"/>
                <w:szCs w:val="20"/>
              </w:rPr>
            </w:pPr>
          </w:p>
        </w:tc>
        <w:tc>
          <w:tcPr>
            <w:tcW w:w="1701"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Общо</w:t>
            </w:r>
          </w:p>
        </w:tc>
        <w:tc>
          <w:tcPr>
            <w:tcW w:w="850" w:type="dxa"/>
            <w:shd w:val="clear" w:color="auto" w:fill="auto"/>
            <w:tcMar>
              <w:left w:w="29" w:type="dxa"/>
              <w:right w:w="29" w:type="dxa"/>
            </w:tcMar>
            <w:hideMark/>
          </w:tcPr>
          <w:p>
            <w:pPr>
              <w:spacing w:before="0" w:after="0"/>
              <w:jc w:val="right"/>
              <w:rPr>
                <w:rFonts w:eastAsia="Times New Roman"/>
                <w:b/>
                <w:bCs/>
                <w:noProof/>
                <w:sz w:val="18"/>
                <w:szCs w:val="18"/>
              </w:rPr>
            </w:pPr>
            <w:r>
              <w:rPr>
                <w:b/>
                <w:noProof/>
                <w:sz w:val="18"/>
              </w:rPr>
              <w:t>71 520,68</w:t>
            </w:r>
          </w:p>
        </w:tc>
        <w:tc>
          <w:tcPr>
            <w:tcW w:w="851"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3,49</w:t>
            </w:r>
          </w:p>
        </w:tc>
        <w:tc>
          <w:tcPr>
            <w:tcW w:w="850"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w:t>
            </w:r>
          </w:p>
        </w:tc>
        <w:tc>
          <w:tcPr>
            <w:tcW w:w="709"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471,40</w:t>
            </w:r>
          </w:p>
        </w:tc>
        <w:tc>
          <w:tcPr>
            <w:tcW w:w="955"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6531,46</w:t>
            </w:r>
          </w:p>
        </w:tc>
        <w:tc>
          <w:tcPr>
            <w:tcW w:w="1030"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62 777,77</w:t>
            </w:r>
          </w:p>
        </w:tc>
        <w:tc>
          <w:tcPr>
            <w:tcW w:w="992"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32 221,32</w:t>
            </w:r>
          </w:p>
        </w:tc>
        <w:tc>
          <w:tcPr>
            <w:tcW w:w="1134" w:type="dxa"/>
            <w:shd w:val="clear" w:color="auto" w:fill="auto"/>
            <w:tcMar>
              <w:left w:w="29" w:type="dxa"/>
              <w:right w:w="29" w:type="dxa"/>
            </w:tcMar>
            <w:hideMark/>
          </w:tcPr>
          <w:p>
            <w:pPr>
              <w:spacing w:before="0" w:after="0"/>
              <w:jc w:val="right"/>
              <w:rPr>
                <w:rFonts w:eastAsia="Times New Roman"/>
                <w:b/>
                <w:bCs/>
                <w:noProof/>
                <w:sz w:val="20"/>
                <w:szCs w:val="20"/>
              </w:rPr>
            </w:pPr>
          </w:p>
        </w:tc>
        <w:tc>
          <w:tcPr>
            <w:tcW w:w="2116" w:type="dxa"/>
            <w:shd w:val="clear" w:color="auto" w:fill="auto"/>
            <w:tcMar>
              <w:left w:w="29" w:type="dxa"/>
              <w:right w:w="29" w:type="dxa"/>
            </w:tcMar>
            <w:hideMark/>
          </w:tcPr>
          <w:p>
            <w:pPr>
              <w:spacing w:before="0" w:after="0"/>
              <w:jc w:val="left"/>
              <w:rPr>
                <w:rFonts w:eastAsia="Times New Roman"/>
                <w:b/>
                <w:bCs/>
                <w:noProof/>
                <w:sz w:val="20"/>
                <w:szCs w:val="20"/>
              </w:rPr>
            </w:pPr>
          </w:p>
        </w:tc>
      </w:tr>
    </w:tbl>
    <w:p>
      <w:pPr>
        <w:spacing w:before="0" w:after="0"/>
        <w:jc w:val="left"/>
        <w:rPr>
          <w:rFonts w:eastAsia="Times New Roman"/>
          <w:noProof/>
          <w:szCs w:val="24"/>
          <w:u w:val="single"/>
        </w:rPr>
        <w:sectPr>
          <w:headerReference w:type="default" r:id="rId16"/>
          <w:footerReference w:type="default" r:id="rId17"/>
          <w:headerReference w:type="first" r:id="rId18"/>
          <w:footerReference w:type="first" r:id="rId19"/>
          <w:footnotePr>
            <w:numRestart w:val="eachPage"/>
          </w:footnotePr>
          <w:endnotePr>
            <w:numFmt w:val="decimal"/>
          </w:endnotePr>
          <w:pgSz w:w="16840" w:h="11907" w:orient="landscape" w:code="9"/>
          <w:pgMar w:top="1134" w:right="1134" w:bottom="1134" w:left="1134" w:header="1134" w:footer="1134" w:gutter="0"/>
          <w:cols w:space="720"/>
          <w:docGrid w:linePitch="326"/>
        </w:sectPr>
      </w:pPr>
    </w:p>
    <w:p>
      <w:pPr>
        <w:spacing w:before="0" w:after="0"/>
        <w:jc w:val="left"/>
        <w:rPr>
          <w:rFonts w:eastAsia="Times New Roman"/>
          <w:noProof/>
          <w:szCs w:val="24"/>
          <w:u w:val="single"/>
        </w:rPr>
      </w:pPr>
    </w:p>
    <w:p>
      <w:pPr>
        <w:spacing w:before="0" w:after="240"/>
        <w:jc w:val="center"/>
        <w:rPr>
          <w:rFonts w:eastAsia="Times New Roman"/>
          <w:b/>
          <w:noProof/>
          <w:szCs w:val="24"/>
        </w:rPr>
      </w:pPr>
      <w:r>
        <w:rPr>
          <w:b/>
          <w:noProof/>
        </w:rPr>
        <w:t>ПРИЛОЖЕНИЕ IIIб</w:t>
      </w:r>
    </w:p>
    <w:p>
      <w:pPr>
        <w:spacing w:before="0" w:after="240"/>
        <w:jc w:val="center"/>
        <w:rPr>
          <w:rFonts w:eastAsia="Times New Roman"/>
          <w:b/>
          <w:noProof/>
          <w:szCs w:val="24"/>
        </w:rPr>
      </w:pPr>
      <w:r>
        <w:rPr>
          <w:b/>
          <w:noProof/>
        </w:rPr>
        <w:t>КРИТЕРИИ, ЦЕЛИ И ПОКАЗАТЕЛИ ЗА РАЗВИТИЕ</w:t>
      </w:r>
    </w:p>
    <w:tbl>
      <w:tblPr>
        <w:tblW w:w="1570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126"/>
        <w:gridCol w:w="2268"/>
        <w:gridCol w:w="2126"/>
        <w:gridCol w:w="2182"/>
        <w:gridCol w:w="2183"/>
        <w:gridCol w:w="2551"/>
      </w:tblGrid>
      <w:tr>
        <w:trPr>
          <w:tblHeader/>
        </w:trPr>
        <w:tc>
          <w:tcPr>
            <w:tcW w:w="2269" w:type="dxa"/>
            <w:vMerge w:val="restart"/>
            <w:tcBorders>
              <w:top w:val="single" w:sz="24" w:space="0" w:color="000000"/>
              <w:left w:val="single" w:sz="24" w:space="0" w:color="000000"/>
            </w:tcBorders>
            <w:shd w:val="clear" w:color="auto" w:fill="auto"/>
            <w:vAlign w:val="center"/>
          </w:tcPr>
          <w:p>
            <w:pPr>
              <w:jc w:val="center"/>
              <w:rPr>
                <w:rFonts w:eastAsia="MS Mincho"/>
                <w:b/>
                <w:noProof/>
                <w:sz w:val="20"/>
                <w:szCs w:val="20"/>
              </w:rPr>
            </w:pPr>
            <w:r>
              <w:rPr>
                <w:b/>
                <w:noProof/>
                <w:sz w:val="20"/>
              </w:rPr>
              <w:t>Област на сътрудничество</w:t>
            </w:r>
          </w:p>
        </w:tc>
        <w:tc>
          <w:tcPr>
            <w:tcW w:w="2126" w:type="dxa"/>
            <w:vMerge w:val="restart"/>
            <w:tcBorders>
              <w:top w:val="single" w:sz="24" w:space="0" w:color="000000"/>
            </w:tcBorders>
            <w:shd w:val="clear" w:color="auto" w:fill="auto"/>
            <w:vAlign w:val="center"/>
          </w:tcPr>
          <w:p>
            <w:pPr>
              <w:jc w:val="center"/>
              <w:rPr>
                <w:rFonts w:eastAsia="MS Mincho"/>
                <w:b/>
                <w:noProof/>
                <w:sz w:val="20"/>
                <w:szCs w:val="20"/>
              </w:rPr>
            </w:pPr>
            <w:r>
              <w:rPr>
                <w:b/>
                <w:noProof/>
                <w:sz w:val="20"/>
              </w:rPr>
              <w:t>Общи цели</w:t>
            </w:r>
          </w:p>
        </w:tc>
        <w:tc>
          <w:tcPr>
            <w:tcW w:w="2268" w:type="dxa"/>
            <w:vMerge w:val="restart"/>
            <w:tcBorders>
              <w:top w:val="single" w:sz="24" w:space="0" w:color="000000"/>
            </w:tcBorders>
            <w:shd w:val="clear" w:color="auto" w:fill="auto"/>
            <w:vAlign w:val="center"/>
          </w:tcPr>
          <w:p>
            <w:pPr>
              <w:jc w:val="center"/>
              <w:rPr>
                <w:rFonts w:eastAsia="MS Mincho"/>
                <w:b/>
                <w:noProof/>
                <w:sz w:val="20"/>
                <w:szCs w:val="20"/>
              </w:rPr>
            </w:pPr>
            <w:r>
              <w:rPr>
                <w:b/>
                <w:noProof/>
                <w:sz w:val="20"/>
              </w:rPr>
              <w:t>Изходно състояние (2013 г.)</w:t>
            </w:r>
          </w:p>
        </w:tc>
        <w:tc>
          <w:tcPr>
            <w:tcW w:w="6491" w:type="dxa"/>
            <w:gridSpan w:val="3"/>
            <w:tcBorders>
              <w:top w:val="single" w:sz="24" w:space="0" w:color="000000"/>
            </w:tcBorders>
            <w:shd w:val="clear" w:color="auto" w:fill="auto"/>
            <w:vAlign w:val="center"/>
          </w:tcPr>
          <w:p>
            <w:pPr>
              <w:jc w:val="center"/>
              <w:rPr>
                <w:rFonts w:eastAsia="MS Mincho"/>
                <w:b/>
                <w:noProof/>
                <w:sz w:val="20"/>
                <w:szCs w:val="20"/>
              </w:rPr>
            </w:pPr>
            <w:r>
              <w:rPr>
                <w:b/>
                <w:noProof/>
                <w:sz w:val="20"/>
              </w:rPr>
              <w:t>Конкретни цели</w:t>
            </w:r>
          </w:p>
        </w:tc>
        <w:tc>
          <w:tcPr>
            <w:tcW w:w="2551" w:type="dxa"/>
            <w:vMerge w:val="restart"/>
            <w:tcBorders>
              <w:top w:val="single" w:sz="24" w:space="0" w:color="000000"/>
              <w:right w:val="single" w:sz="24" w:space="0" w:color="000000"/>
            </w:tcBorders>
            <w:shd w:val="clear" w:color="auto" w:fill="auto"/>
            <w:vAlign w:val="center"/>
          </w:tcPr>
          <w:p>
            <w:pPr>
              <w:spacing w:before="40" w:after="40"/>
              <w:jc w:val="center"/>
              <w:rPr>
                <w:rFonts w:eastAsia="MS Mincho"/>
                <w:b/>
                <w:noProof/>
                <w:sz w:val="20"/>
                <w:szCs w:val="20"/>
              </w:rPr>
            </w:pPr>
            <w:r>
              <w:rPr>
                <w:b/>
                <w:noProof/>
                <w:sz w:val="20"/>
              </w:rPr>
              <w:t>Показатели за изпълнение</w:t>
            </w:r>
          </w:p>
        </w:tc>
      </w:tr>
      <w:tr>
        <w:trPr>
          <w:trHeight w:val="592"/>
          <w:tblHeader/>
        </w:trPr>
        <w:tc>
          <w:tcPr>
            <w:tcW w:w="2269" w:type="dxa"/>
            <w:vMerge/>
            <w:tcBorders>
              <w:left w:val="single" w:sz="24" w:space="0" w:color="000000"/>
              <w:bottom w:val="single" w:sz="24" w:space="0" w:color="000000"/>
            </w:tcBorders>
          </w:tcPr>
          <w:p>
            <w:pPr>
              <w:jc w:val="left"/>
              <w:rPr>
                <w:rFonts w:eastAsia="Times New Roman"/>
                <w:noProof/>
                <w:sz w:val="20"/>
                <w:szCs w:val="20"/>
              </w:rPr>
            </w:pPr>
          </w:p>
        </w:tc>
        <w:tc>
          <w:tcPr>
            <w:tcW w:w="2126" w:type="dxa"/>
            <w:vMerge/>
            <w:tcBorders>
              <w:bottom w:val="single" w:sz="24" w:space="0" w:color="000000"/>
            </w:tcBorders>
          </w:tcPr>
          <w:p>
            <w:pPr>
              <w:jc w:val="left"/>
              <w:rPr>
                <w:rFonts w:eastAsia="Times New Roman"/>
                <w:noProof/>
                <w:sz w:val="20"/>
                <w:szCs w:val="20"/>
              </w:rPr>
            </w:pPr>
          </w:p>
        </w:tc>
        <w:tc>
          <w:tcPr>
            <w:tcW w:w="2268" w:type="dxa"/>
            <w:vMerge/>
            <w:tcBorders>
              <w:bottom w:val="single" w:sz="24" w:space="0" w:color="000000"/>
            </w:tcBorders>
          </w:tcPr>
          <w:p>
            <w:pPr>
              <w:jc w:val="left"/>
              <w:rPr>
                <w:rFonts w:eastAsia="Times New Roman"/>
                <w:noProof/>
                <w:sz w:val="20"/>
                <w:szCs w:val="20"/>
              </w:rPr>
            </w:pPr>
          </w:p>
        </w:tc>
        <w:tc>
          <w:tcPr>
            <w:tcW w:w="2126" w:type="dxa"/>
            <w:tcBorders>
              <w:bottom w:val="single" w:sz="24" w:space="0" w:color="000000"/>
            </w:tcBorders>
            <w:shd w:val="clear" w:color="auto" w:fill="auto"/>
          </w:tcPr>
          <w:p>
            <w:pPr>
              <w:jc w:val="center"/>
              <w:rPr>
                <w:rFonts w:eastAsia="Times New Roman"/>
                <w:b/>
                <w:noProof/>
                <w:sz w:val="18"/>
                <w:szCs w:val="18"/>
              </w:rPr>
            </w:pPr>
            <w:r>
              <w:rPr>
                <w:b/>
                <w:noProof/>
                <w:sz w:val="18"/>
              </w:rPr>
              <w:t>Краткосрочни (3 години)</w:t>
            </w:r>
          </w:p>
        </w:tc>
        <w:tc>
          <w:tcPr>
            <w:tcW w:w="2182" w:type="dxa"/>
            <w:tcBorders>
              <w:bottom w:val="single" w:sz="24" w:space="0" w:color="000000"/>
            </w:tcBorders>
            <w:shd w:val="clear" w:color="auto" w:fill="auto"/>
          </w:tcPr>
          <w:p>
            <w:pPr>
              <w:jc w:val="center"/>
              <w:rPr>
                <w:rFonts w:eastAsia="Times New Roman"/>
                <w:b/>
                <w:noProof/>
                <w:sz w:val="18"/>
                <w:szCs w:val="18"/>
              </w:rPr>
            </w:pPr>
            <w:r>
              <w:rPr>
                <w:b/>
                <w:noProof/>
                <w:sz w:val="18"/>
              </w:rPr>
              <w:t>Средносрочни (5 години)</w:t>
            </w:r>
          </w:p>
        </w:tc>
        <w:tc>
          <w:tcPr>
            <w:tcW w:w="2183" w:type="dxa"/>
            <w:tcBorders>
              <w:bottom w:val="single" w:sz="24" w:space="0" w:color="000000"/>
            </w:tcBorders>
            <w:shd w:val="clear" w:color="auto" w:fill="auto"/>
          </w:tcPr>
          <w:p>
            <w:pPr>
              <w:jc w:val="center"/>
              <w:rPr>
                <w:rFonts w:eastAsia="Times New Roman"/>
                <w:b/>
                <w:noProof/>
                <w:sz w:val="18"/>
                <w:szCs w:val="18"/>
              </w:rPr>
            </w:pPr>
            <w:r>
              <w:rPr>
                <w:b/>
                <w:noProof/>
                <w:sz w:val="18"/>
              </w:rPr>
              <w:t>Дългосрочни (2033 г.)</w:t>
            </w:r>
          </w:p>
        </w:tc>
        <w:tc>
          <w:tcPr>
            <w:tcW w:w="2551" w:type="dxa"/>
            <w:vMerge/>
            <w:tcBorders>
              <w:bottom w:val="single" w:sz="24" w:space="0" w:color="000000"/>
              <w:right w:val="single" w:sz="24" w:space="0" w:color="000000"/>
            </w:tcBorders>
          </w:tcPr>
          <w:p>
            <w:pPr>
              <w:spacing w:before="40" w:after="40"/>
              <w:jc w:val="left"/>
              <w:rPr>
                <w:rFonts w:eastAsia="Times New Roman"/>
                <w:noProof/>
                <w:sz w:val="20"/>
                <w:szCs w:val="20"/>
              </w:rPr>
            </w:pPr>
          </w:p>
        </w:tc>
      </w:tr>
      <w:tr>
        <w:trPr>
          <w:trHeight w:val="403"/>
        </w:trP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bCs/>
                <w:noProof/>
                <w:sz w:val="20"/>
                <w:szCs w:val="20"/>
                <w:u w:val="single"/>
              </w:rPr>
            </w:pPr>
            <w:r>
              <w:rPr>
                <w:b/>
                <w:noProof/>
                <w:sz w:val="20"/>
                <w:u w:val="single"/>
              </w:rPr>
              <w:t>Инфраструктура</w:t>
            </w:r>
          </w:p>
        </w:tc>
      </w:tr>
      <w:tr>
        <w:trPr>
          <w:trHeight w:val="2474"/>
        </w:trPr>
        <w:tc>
          <w:tcPr>
            <w:tcW w:w="2269" w:type="dxa"/>
            <w:tcBorders>
              <w:top w:val="nil"/>
              <w:left w:val="single" w:sz="24" w:space="0" w:color="000000"/>
              <w:bottom w:val="nil"/>
              <w:right w:val="single" w:sz="4" w:space="0" w:color="auto"/>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Енергетика</w:t>
            </w:r>
          </w:p>
        </w:tc>
        <w:tc>
          <w:tcPr>
            <w:tcW w:w="2126" w:type="dxa"/>
            <w:vMerge w:val="restart"/>
            <w:tcBorders>
              <w:top w:val="nil"/>
              <w:left w:val="single" w:sz="4" w:space="0" w:color="auto"/>
              <w:right w:val="single" w:sz="4" w:space="0" w:color="auto"/>
            </w:tcBorders>
          </w:tcPr>
          <w:p>
            <w:pPr>
              <w:spacing w:before="40" w:after="40"/>
              <w:jc w:val="left"/>
              <w:rPr>
                <w:rFonts w:eastAsia="Times New Roman"/>
                <w:noProof/>
                <w:color w:val="FF0000"/>
                <w:sz w:val="20"/>
                <w:szCs w:val="20"/>
              </w:rPr>
            </w:pPr>
            <w:r>
              <w:rPr>
                <w:noProof/>
                <w:sz w:val="20"/>
              </w:rPr>
              <w:t>Подобряване на достъпа на държавите партньори от ИАО до модерни, надеждни, разнообразни и възобновяеми източници на енергия на конкурентни цени, с цел да се улесни както вътрешнорегионалната, така и междурегионалната търговия</w:t>
            </w:r>
          </w:p>
        </w:tc>
        <w:tc>
          <w:tcPr>
            <w:tcW w:w="2268"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color w:val="FF0000"/>
                <w:sz w:val="20"/>
                <w:szCs w:val="20"/>
              </w:rPr>
            </w:pPr>
            <w:r>
              <w:rPr>
                <w:noProof/>
                <w:sz w:val="20"/>
              </w:rPr>
              <w:t xml:space="preserve">Съществуващата в момента инсталирана мощност за получаване на енергия (водна енергия, енергия от отпадъци (багаса), топлинна и геотермална енергия и енергия от природен газ) възлиза на около 3597 MW, но прогнозният капацитет е 18 744 MW през 2030 г. и 21 173 MW през 2033 г. </w:t>
            </w:r>
          </w:p>
        </w:tc>
        <w:tc>
          <w:tcPr>
            <w:tcW w:w="2126"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rPr>
            </w:pPr>
            <w:r>
              <w:rPr>
                <w:noProof/>
                <w:sz w:val="20"/>
              </w:rPr>
              <w:t>Увеличаване на производството с 1613 MW (40 % от общото очаквано производство)</w:t>
            </w:r>
          </w:p>
        </w:tc>
        <w:tc>
          <w:tcPr>
            <w:tcW w:w="2182"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rPr>
            </w:pPr>
            <w:r>
              <w:rPr>
                <w:noProof/>
                <w:sz w:val="20"/>
              </w:rPr>
              <w:t>Увеличаване на производството с 3225 MW (40 % от общото очаквано производство)</w:t>
            </w:r>
          </w:p>
        </w:tc>
        <w:tc>
          <w:tcPr>
            <w:tcW w:w="2183"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rPr>
            </w:pPr>
            <w:r>
              <w:rPr>
                <w:noProof/>
                <w:sz w:val="20"/>
              </w:rPr>
              <w:t>Увеличаване на производството с 6773 MW (40 % от общото очаквано производство: 21 173 MW)</w:t>
            </w:r>
          </w:p>
        </w:tc>
        <w:tc>
          <w:tcPr>
            <w:tcW w:w="2551" w:type="dxa"/>
            <w:tcBorders>
              <w:top w:val="nil"/>
              <w:left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изменение на количеството произведена електроенергия, в мегавати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Намаляване на разходите за електроенергия</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Намаляване на зависимостта от енергия от изкопаеми горива</w:t>
            </w:r>
          </w:p>
        </w:tc>
      </w:tr>
      <w:tr>
        <w:trPr>
          <w:trHeight w:val="2881"/>
        </w:trPr>
        <w:tc>
          <w:tcPr>
            <w:tcW w:w="2269" w:type="dxa"/>
            <w:tcBorders>
              <w:top w:val="nil"/>
              <w:left w:val="single" w:sz="24" w:space="0" w:color="000000"/>
              <w:bottom w:val="nil"/>
              <w:right w:val="single" w:sz="4" w:space="0" w:color="auto"/>
            </w:tcBorders>
            <w:shd w:val="clear" w:color="auto" w:fill="auto"/>
          </w:tcPr>
          <w:p>
            <w:pPr>
              <w:spacing w:before="40" w:after="40"/>
              <w:jc w:val="left"/>
              <w:rPr>
                <w:rFonts w:eastAsia="Times New Roman"/>
                <w:noProof/>
                <w:sz w:val="20"/>
                <w:szCs w:val="20"/>
              </w:rPr>
            </w:pPr>
          </w:p>
        </w:tc>
        <w:tc>
          <w:tcPr>
            <w:tcW w:w="2126" w:type="dxa"/>
            <w:vMerge/>
            <w:tcBorders>
              <w:left w:val="single" w:sz="4" w:space="0" w:color="auto"/>
              <w:bottom w:val="nil"/>
              <w:right w:val="single" w:sz="4" w:space="0" w:color="auto"/>
            </w:tcBorders>
          </w:tcPr>
          <w:p>
            <w:pPr>
              <w:spacing w:before="40" w:after="40"/>
              <w:jc w:val="left"/>
              <w:rPr>
                <w:rFonts w:eastAsia="Times New Roman"/>
                <w:noProof/>
                <w:sz w:val="20"/>
                <w:szCs w:val="20"/>
              </w:rPr>
            </w:pPr>
          </w:p>
        </w:tc>
        <w:tc>
          <w:tcPr>
            <w:tcW w:w="2268" w:type="dxa"/>
            <w:tcBorders>
              <w:left w:val="single" w:sz="4" w:space="0" w:color="auto"/>
              <w:bottom w:val="nil"/>
            </w:tcBorders>
          </w:tcPr>
          <w:p>
            <w:pPr>
              <w:autoSpaceDE w:val="0"/>
              <w:autoSpaceDN w:val="0"/>
              <w:adjustRightInd w:val="0"/>
              <w:spacing w:before="40" w:after="40"/>
              <w:jc w:val="left"/>
              <w:rPr>
                <w:rFonts w:eastAsia="Times New Roman"/>
                <w:noProof/>
                <w:sz w:val="20"/>
                <w:szCs w:val="20"/>
              </w:rPr>
            </w:pPr>
            <w:r>
              <w:rPr>
                <w:noProof/>
                <w:sz w:val="20"/>
              </w:rPr>
              <w:t>Липса на регионална мрежа, свързваща всички държави партньори от ИАО.</w:t>
            </w:r>
          </w:p>
        </w:tc>
        <w:tc>
          <w:tcPr>
            <w:tcW w:w="2126" w:type="dxa"/>
            <w:tcBorders>
              <w:bottom w:val="nil"/>
            </w:tcBorders>
          </w:tcPr>
          <w:p>
            <w:pPr>
              <w:autoSpaceDE w:val="0"/>
              <w:autoSpaceDN w:val="0"/>
              <w:adjustRightInd w:val="0"/>
              <w:spacing w:before="40" w:after="40"/>
              <w:jc w:val="left"/>
              <w:rPr>
                <w:rFonts w:eastAsia="Times New Roman"/>
                <w:noProof/>
                <w:sz w:val="20"/>
                <w:szCs w:val="20"/>
              </w:rPr>
            </w:pPr>
            <w:r>
              <w:rPr>
                <w:noProof/>
                <w:sz w:val="20"/>
              </w:rPr>
              <w:t xml:space="preserve">Изграждане и пускане в действие на два междусистемни електропровода с високо напрежение в региона на ИАО </w:t>
            </w:r>
          </w:p>
          <w:p>
            <w:pPr>
              <w:autoSpaceDE w:val="0"/>
              <w:autoSpaceDN w:val="0"/>
              <w:adjustRightInd w:val="0"/>
              <w:spacing w:before="40" w:after="40"/>
              <w:jc w:val="left"/>
              <w:rPr>
                <w:rFonts w:eastAsia="Times New Roman"/>
                <w:noProof/>
                <w:sz w:val="20"/>
                <w:szCs w:val="20"/>
              </w:rPr>
            </w:pPr>
          </w:p>
        </w:tc>
        <w:tc>
          <w:tcPr>
            <w:tcW w:w="2182" w:type="dxa"/>
            <w:tcBorders>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Изграждане и пускане в действие на четири междусистемни електропровода с високо напрежение в региона на ИАО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Осъвременяване на съществуващия инфраструктурен капацитет</w:t>
            </w:r>
          </w:p>
        </w:tc>
        <w:tc>
          <w:tcPr>
            <w:tcW w:w="2183" w:type="dxa"/>
            <w:tcBorders>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Осъществяване на връзка между всички национални електроенергийни мрежи на държавите партньори от ИАО </w:t>
            </w:r>
          </w:p>
          <w:p>
            <w:pPr>
              <w:autoSpaceDE w:val="0"/>
              <w:autoSpaceDN w:val="0"/>
              <w:adjustRightInd w:val="0"/>
              <w:spacing w:before="40" w:after="40"/>
              <w:ind w:left="196"/>
              <w:jc w:val="left"/>
              <w:rPr>
                <w:rFonts w:eastAsia="Times New Roman"/>
                <w:noProof/>
                <w:sz w:val="20"/>
                <w:szCs w:val="20"/>
              </w:rPr>
            </w:pPr>
          </w:p>
        </w:tc>
        <w:tc>
          <w:tcPr>
            <w:tcW w:w="2551" w:type="dxa"/>
            <w:tcBorders>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новите трансгранични междусистемни връзки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Напълно действаща регионална мрежа</w:t>
            </w:r>
          </w:p>
          <w:p>
            <w:pPr>
              <w:autoSpaceDE w:val="0"/>
              <w:autoSpaceDN w:val="0"/>
              <w:adjustRightInd w:val="0"/>
              <w:spacing w:before="40" w:after="40"/>
              <w:jc w:val="left"/>
              <w:rPr>
                <w:rFonts w:eastAsia="Times New Roman"/>
                <w:noProof/>
                <w:sz w:val="20"/>
                <w:szCs w:val="20"/>
              </w:rPr>
            </w:pPr>
          </w:p>
        </w:tc>
      </w:tr>
      <w:tr>
        <w:trPr>
          <w:trHeight w:val="258"/>
        </w:trPr>
        <w:tc>
          <w:tcPr>
            <w:tcW w:w="2269" w:type="dxa"/>
            <w:tcBorders>
              <w:top w:val="nil"/>
              <w:left w:val="single" w:sz="24" w:space="0" w:color="000000"/>
              <w:bottom w:val="single" w:sz="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4" w:space="0" w:color="000000"/>
            </w:tcBorders>
          </w:tcPr>
          <w:p>
            <w:pPr>
              <w:spacing w:before="40" w:after="40"/>
              <w:jc w:val="left"/>
              <w:rPr>
                <w:rFonts w:eastAsia="Times New Roman"/>
                <w:noProof/>
                <w:sz w:val="20"/>
                <w:szCs w:val="20"/>
              </w:rPr>
            </w:pPr>
          </w:p>
        </w:tc>
        <w:tc>
          <w:tcPr>
            <w:tcW w:w="2268"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По-добър достъп до частни инсталации (най-малко 75 %)</w:t>
            </w: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По-добър достъп до частни инсталации (до 100 %)</w:t>
            </w: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новите връзки с частни инсталации</w:t>
            </w:r>
          </w:p>
        </w:tc>
      </w:tr>
      <w:tr>
        <w:trPr>
          <w:trHeight w:val="1084"/>
        </w:trPr>
        <w:tc>
          <w:tcPr>
            <w:tcW w:w="2269" w:type="dxa"/>
            <w:tcBorders>
              <w:top w:val="single" w:sz="4" w:space="0" w:color="000000"/>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000000"/>
              <w:bottom w:val="nil"/>
            </w:tcBorders>
          </w:tcPr>
          <w:p>
            <w:pPr>
              <w:spacing w:before="40" w:after="40"/>
              <w:jc w:val="left"/>
              <w:rPr>
                <w:rFonts w:eastAsia="Times New Roman"/>
                <w:noProof/>
                <w:sz w:val="20"/>
                <w:szCs w:val="20"/>
              </w:rPr>
            </w:pPr>
          </w:p>
        </w:tc>
        <w:tc>
          <w:tcPr>
            <w:tcW w:w="2268" w:type="dxa"/>
            <w:tcBorders>
              <w:top w:val="single" w:sz="4" w:space="0" w:color="000000"/>
              <w:bottom w:val="single" w:sz="4" w:space="0" w:color="auto"/>
            </w:tcBorders>
          </w:tcPr>
          <w:p>
            <w:pPr>
              <w:autoSpaceDE w:val="0"/>
              <w:autoSpaceDN w:val="0"/>
              <w:adjustRightInd w:val="0"/>
              <w:spacing w:before="40" w:after="40"/>
              <w:jc w:val="left"/>
              <w:rPr>
                <w:rFonts w:eastAsia="Times New Roman"/>
                <w:noProof/>
                <w:sz w:val="20"/>
                <w:szCs w:val="20"/>
              </w:rPr>
            </w:pPr>
          </w:p>
        </w:tc>
        <w:tc>
          <w:tcPr>
            <w:tcW w:w="2126" w:type="dxa"/>
            <w:tcBorders>
              <w:top w:val="single" w:sz="4" w:space="0" w:color="000000"/>
              <w:bottom w:val="single" w:sz="4" w:space="0" w:color="auto"/>
            </w:tcBorders>
          </w:tcPr>
          <w:p>
            <w:pPr>
              <w:autoSpaceDE w:val="0"/>
              <w:autoSpaceDN w:val="0"/>
              <w:adjustRightInd w:val="0"/>
              <w:spacing w:before="40" w:after="40"/>
              <w:jc w:val="left"/>
              <w:rPr>
                <w:rFonts w:eastAsia="Times New Roman"/>
                <w:noProof/>
                <w:sz w:val="20"/>
                <w:szCs w:val="20"/>
              </w:rPr>
            </w:pPr>
          </w:p>
        </w:tc>
        <w:tc>
          <w:tcPr>
            <w:tcW w:w="2182" w:type="dxa"/>
            <w:tcBorders>
              <w:top w:val="single" w:sz="4" w:space="0" w:color="000000"/>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надеждността на енергийните доставки до 95 %</w:t>
            </w:r>
          </w:p>
        </w:tc>
        <w:tc>
          <w:tcPr>
            <w:tcW w:w="2183" w:type="dxa"/>
            <w:tcBorders>
              <w:top w:val="single" w:sz="4" w:space="0" w:color="000000"/>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надеждността на енергийните доставки до 99 %</w:t>
            </w:r>
          </w:p>
        </w:tc>
        <w:tc>
          <w:tcPr>
            <w:tcW w:w="2551" w:type="dxa"/>
            <w:tcBorders>
              <w:top w:val="single" w:sz="4" w:space="0" w:color="000000"/>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повишаване на надеждността на енергийните доставки</w:t>
            </w:r>
          </w:p>
        </w:tc>
      </w:tr>
      <w:tr>
        <w:trPr>
          <w:trHeight w:val="2078"/>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single" w:sz="4" w:space="0" w:color="auto"/>
              <w:bottom w:val="nil"/>
            </w:tcBorders>
          </w:tcPr>
          <w:p>
            <w:pPr>
              <w:autoSpaceDE w:val="0"/>
              <w:autoSpaceDN w:val="0"/>
              <w:adjustRightInd w:val="0"/>
              <w:spacing w:before="40" w:after="40"/>
              <w:ind w:left="-42"/>
              <w:jc w:val="left"/>
              <w:rPr>
                <w:rFonts w:eastAsia="Times New Roman"/>
                <w:noProof/>
                <w:sz w:val="20"/>
                <w:szCs w:val="20"/>
              </w:rPr>
            </w:pPr>
            <w:r>
              <w:rPr>
                <w:noProof/>
                <w:sz w:val="20"/>
              </w:rPr>
              <w:t>Енергийните политики, законодателните и регулаторните рамки не са хармонизирани и/или привлекателни за инвеститорите</w:t>
            </w:r>
          </w:p>
        </w:tc>
        <w:tc>
          <w:tcPr>
            <w:tcW w:w="2126"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Енергийните политики, законодателните и регулаторните рамки са хармонизирани и привлекателни за инвеститорите</w:t>
            </w:r>
          </w:p>
        </w:tc>
        <w:tc>
          <w:tcPr>
            <w:tcW w:w="2182"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Създаване на партньорства, връзки и съвместни предприятия</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Повишаване на инвестициите в научноизследователска и развойна дейност</w:t>
            </w:r>
          </w:p>
        </w:tc>
        <w:tc>
          <w:tcPr>
            <w:tcW w:w="2183"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Разгръщане на партньорства, връзки и съвместни предприятия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Разработване и прехвърляне на технологии</w:t>
            </w:r>
          </w:p>
        </w:tc>
        <w:tc>
          <w:tcPr>
            <w:tcW w:w="2551" w:type="dxa"/>
            <w:tcBorders>
              <w:top w:val="single" w:sz="4" w:space="0" w:color="auto"/>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хармонизираните законодателни и регулаторни политики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новите надеждни инвестиции (включително споразумения за ПЧП)</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Въвеждане на нови технологии</w:t>
            </w:r>
          </w:p>
        </w:tc>
      </w:tr>
      <w:tr>
        <w:trPr>
          <w:trHeight w:val="1635"/>
        </w:trPr>
        <w:tc>
          <w:tcPr>
            <w:tcW w:w="2269" w:type="dxa"/>
            <w:tcBorders>
              <w:top w:val="nil"/>
              <w:left w:val="single" w:sz="24" w:space="0" w:color="000000"/>
              <w:bottom w:val="single" w:sz="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4" w:space="0" w:color="000000"/>
            </w:tcBorders>
          </w:tcPr>
          <w:p>
            <w:pPr>
              <w:spacing w:before="40" w:after="40"/>
              <w:jc w:val="left"/>
              <w:rPr>
                <w:rFonts w:eastAsia="Times New Roman"/>
                <w:noProof/>
                <w:sz w:val="20"/>
                <w:szCs w:val="20"/>
              </w:rPr>
            </w:pPr>
          </w:p>
        </w:tc>
        <w:tc>
          <w:tcPr>
            <w:tcW w:w="2268" w:type="dxa"/>
            <w:tcBorders>
              <w:top w:val="nil"/>
              <w:bottom w:val="single" w:sz="4" w:space="0" w:color="000000"/>
            </w:tcBorders>
          </w:tcPr>
          <w:p>
            <w:pPr>
              <w:spacing w:before="40" w:after="40"/>
              <w:jc w:val="left"/>
              <w:rPr>
                <w:rFonts w:eastAsia="Times New Roman"/>
                <w:noProof/>
                <w:color w:val="FF0000"/>
                <w:sz w:val="20"/>
                <w:szCs w:val="20"/>
              </w:rPr>
            </w:pP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Укрепване на институционалния, технически и административен капацитет за свързаните с енергетиката институции</w:t>
            </w: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Подобрени и надеждни енергийни доставки </w:t>
            </w:r>
          </w:p>
          <w:p>
            <w:pPr>
              <w:autoSpaceDE w:val="0"/>
              <w:autoSpaceDN w:val="0"/>
              <w:adjustRightInd w:val="0"/>
              <w:spacing w:before="40" w:after="40"/>
              <w:ind w:left="196"/>
              <w:jc w:val="left"/>
              <w:rPr>
                <w:rFonts w:eastAsia="Times New Roman"/>
                <w:noProof/>
                <w:sz w:val="20"/>
                <w:szCs w:val="20"/>
              </w:rPr>
            </w:pP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Стабилизирани енергийни доставки</w:t>
            </w:r>
          </w:p>
          <w:p>
            <w:pPr>
              <w:autoSpaceDE w:val="0"/>
              <w:autoSpaceDN w:val="0"/>
              <w:adjustRightInd w:val="0"/>
              <w:spacing w:before="40" w:after="40"/>
              <w:ind w:left="196"/>
              <w:jc w:val="left"/>
              <w:rPr>
                <w:rFonts w:eastAsia="Times New Roman"/>
                <w:noProof/>
                <w:sz w:val="20"/>
                <w:szCs w:val="20"/>
              </w:rPr>
            </w:pP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капацитета за управление на енергията на национално и регионално ниво</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Повишаване на надеждността на енергийните доставки</w:t>
            </w:r>
          </w:p>
        </w:tc>
      </w:tr>
      <w:tr>
        <w:tc>
          <w:tcPr>
            <w:tcW w:w="2269" w:type="dxa"/>
            <w:tcBorders>
              <w:top w:val="single" w:sz="4" w:space="0" w:color="000000"/>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Транспорт</w:t>
            </w:r>
          </w:p>
        </w:tc>
        <w:tc>
          <w:tcPr>
            <w:tcW w:w="2126" w:type="dxa"/>
            <w:vMerge w:val="restart"/>
            <w:tcBorders>
              <w:top w:val="single" w:sz="4" w:space="0" w:color="000000"/>
              <w:bottom w:val="single" w:sz="4" w:space="0" w:color="000000"/>
            </w:tcBorders>
          </w:tcPr>
          <w:p>
            <w:pPr>
              <w:spacing w:before="40" w:after="40"/>
              <w:jc w:val="left"/>
              <w:rPr>
                <w:rFonts w:eastAsia="Times New Roman"/>
                <w:noProof/>
                <w:sz w:val="20"/>
                <w:szCs w:val="20"/>
              </w:rPr>
            </w:pPr>
            <w:r>
              <w:rPr>
                <w:noProof/>
                <w:sz w:val="20"/>
              </w:rPr>
              <w:t xml:space="preserve">Подобряване на националната и регионалната взаимосвързаност за задълбочаване на регионалната икономическа интеграция и подобряване на движението на хора и стоки. </w:t>
            </w:r>
          </w:p>
        </w:tc>
        <w:tc>
          <w:tcPr>
            <w:tcW w:w="2268" w:type="dxa"/>
            <w:tcBorders>
              <w:top w:val="single" w:sz="4" w:space="0" w:color="000000"/>
              <w:bottom w:val="single" w:sz="4" w:space="0" w:color="000000"/>
            </w:tcBorders>
          </w:tcPr>
          <w:p>
            <w:pPr>
              <w:spacing w:before="40" w:after="40"/>
              <w:jc w:val="left"/>
              <w:rPr>
                <w:rFonts w:eastAsia="Times New Roman"/>
                <w:noProof/>
                <w:sz w:val="20"/>
                <w:szCs w:val="20"/>
              </w:rPr>
            </w:pPr>
            <w:r>
              <w:rPr>
                <w:noProof/>
                <w:sz w:val="20"/>
              </w:rPr>
              <w:t>Регионалната мрежа се състои от:</w:t>
            </w:r>
          </w:p>
          <w:p>
            <w:pPr>
              <w:autoSpaceDE w:val="0"/>
              <w:autoSpaceDN w:val="0"/>
              <w:adjustRightInd w:val="0"/>
              <w:spacing w:before="40" w:after="40"/>
              <w:ind w:left="338"/>
              <w:jc w:val="left"/>
              <w:rPr>
                <w:rFonts w:eastAsia="Times New Roman"/>
                <w:noProof/>
                <w:sz w:val="20"/>
                <w:szCs w:val="20"/>
              </w:rPr>
            </w:pPr>
          </w:p>
        </w:tc>
        <w:tc>
          <w:tcPr>
            <w:tcW w:w="2126"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Подобряване и усъвършенстване на състоянието на инфраструктурните системи за интермодален транспорт:</w:t>
            </w:r>
          </w:p>
          <w:p>
            <w:pPr>
              <w:autoSpaceDE w:val="0"/>
              <w:autoSpaceDN w:val="0"/>
              <w:adjustRightInd w:val="0"/>
              <w:spacing w:before="40" w:after="40"/>
              <w:ind w:left="338"/>
              <w:jc w:val="left"/>
              <w:rPr>
                <w:rFonts w:eastAsia="Times New Roman"/>
                <w:noProof/>
                <w:sz w:val="20"/>
                <w:szCs w:val="20"/>
              </w:rPr>
            </w:pPr>
          </w:p>
        </w:tc>
        <w:tc>
          <w:tcPr>
            <w:tcW w:w="2182"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Подобряване и усъвършенстване на състоянието на инфраструктурните системи за интермодален транспорт:</w:t>
            </w:r>
          </w:p>
          <w:p>
            <w:pPr>
              <w:autoSpaceDE w:val="0"/>
              <w:autoSpaceDN w:val="0"/>
              <w:adjustRightInd w:val="0"/>
              <w:spacing w:before="40" w:after="40"/>
              <w:ind w:left="338"/>
              <w:jc w:val="left"/>
              <w:rPr>
                <w:rFonts w:eastAsia="Times New Roman"/>
                <w:noProof/>
                <w:sz w:val="20"/>
                <w:szCs w:val="20"/>
              </w:rPr>
            </w:pPr>
          </w:p>
        </w:tc>
        <w:tc>
          <w:tcPr>
            <w:tcW w:w="2183"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и усъвършенстване на състоянието на инфраструктурните системи за интермодален транспорт:</w:t>
            </w:r>
          </w:p>
          <w:p>
            <w:pPr>
              <w:autoSpaceDE w:val="0"/>
              <w:autoSpaceDN w:val="0"/>
              <w:adjustRightInd w:val="0"/>
              <w:spacing w:before="40" w:after="40"/>
              <w:ind w:left="338"/>
              <w:jc w:val="left"/>
              <w:rPr>
                <w:rFonts w:eastAsia="Times New Roman"/>
                <w:noProof/>
                <w:sz w:val="20"/>
                <w:szCs w:val="20"/>
              </w:rPr>
            </w:pPr>
          </w:p>
          <w:p>
            <w:pPr>
              <w:autoSpaceDE w:val="0"/>
              <w:autoSpaceDN w:val="0"/>
              <w:adjustRightInd w:val="0"/>
              <w:spacing w:before="40" w:after="40"/>
              <w:ind w:left="196"/>
              <w:jc w:val="left"/>
              <w:rPr>
                <w:rFonts w:eastAsia="Times New Roman"/>
                <w:noProof/>
                <w:sz w:val="20"/>
                <w:szCs w:val="20"/>
              </w:rPr>
            </w:pPr>
          </w:p>
        </w:tc>
        <w:tc>
          <w:tcPr>
            <w:tcW w:w="2551" w:type="dxa"/>
            <w:tcBorders>
              <w:top w:val="single" w:sz="4" w:space="0" w:color="000000"/>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нарастване на обема както на вътрешнорегионалната, така и на междурегионалната търговия</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Намаляване на транспортните разходи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на увеличение както на вътрешнорегионалния, така и на междурегионалния трафик (автомобилен, железопътен, въздушен и воден)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Намаляване на времето за обслужване</w:t>
            </w:r>
          </w:p>
          <w:p>
            <w:pPr>
              <w:numPr>
                <w:ilvl w:val="0"/>
                <w:numId w:val="29"/>
              </w:numPr>
              <w:autoSpaceDE w:val="0"/>
              <w:autoSpaceDN w:val="0"/>
              <w:adjustRightInd w:val="0"/>
              <w:spacing w:before="40" w:after="40"/>
              <w:ind w:left="196" w:hanging="196"/>
              <w:jc w:val="left"/>
              <w:rPr>
                <w:rFonts w:eastAsia="Times New Roman"/>
                <w:noProof/>
                <w:sz w:val="20"/>
                <w:szCs w:val="20"/>
              </w:rPr>
            </w:pPr>
          </w:p>
        </w:tc>
      </w:tr>
      <w:tr>
        <w:tc>
          <w:tcPr>
            <w:tcW w:w="2269" w:type="dxa"/>
            <w:tcBorders>
              <w:top w:val="single" w:sz="4" w:space="0" w:color="000000"/>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vMerge/>
            <w:tcBorders>
              <w:top w:val="single" w:sz="4" w:space="0" w:color="000000"/>
              <w:bottom w:val="nil"/>
            </w:tcBorders>
          </w:tcPr>
          <w:p>
            <w:pPr>
              <w:spacing w:before="40" w:after="40"/>
              <w:jc w:val="left"/>
              <w:rPr>
                <w:rFonts w:eastAsia="Times New Roman"/>
                <w:noProof/>
                <w:sz w:val="20"/>
                <w:szCs w:val="20"/>
              </w:rPr>
            </w:pPr>
          </w:p>
        </w:tc>
        <w:tc>
          <w:tcPr>
            <w:tcW w:w="2268"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около 178 737 км пътища, от които около 22 347 км са с настилка и 156 390 км са без настилка (2011 г.)</w:t>
            </w:r>
          </w:p>
        </w:tc>
        <w:tc>
          <w:tcPr>
            <w:tcW w:w="2126"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 xml:space="preserve">намаление с 4 % (600 км) на дължината на пътищата без настилка (чакъл) в източноафриканската пътна мрежа </w:t>
            </w:r>
          </w:p>
        </w:tc>
        <w:tc>
          <w:tcPr>
            <w:tcW w:w="2182"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намаление с 15 % (2200 км) на дължината на пътищата без настилка (чакъл) в източноафриканската пътна мрежа</w:t>
            </w:r>
          </w:p>
        </w:tc>
        <w:tc>
          <w:tcPr>
            <w:tcW w:w="2183"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намаление с 22 % (3240 км) на дължината на пътищата без настилка (чакъл) в източноафриканската пътна мрежа</w:t>
            </w:r>
          </w:p>
        </w:tc>
        <w:tc>
          <w:tcPr>
            <w:tcW w:w="2551" w:type="dxa"/>
            <w:tcBorders>
              <w:top w:val="single" w:sz="4" w:space="0" w:color="000000"/>
              <w:bottom w:val="nil"/>
              <w:right w:val="single" w:sz="24" w:space="0" w:color="000000"/>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Изграждане на липсващи километри регионални връзки и обновяване и поддържане на регионални коридори</w:t>
            </w: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В региона няма железопътна линия със стандартно междурелсие. В региона на ИАО има около 8100 км железопътни линии с еднометрово междурелсие, от които около 6000 км са в експлоатация</w:t>
            </w:r>
          </w:p>
        </w:tc>
        <w:tc>
          <w:tcPr>
            <w:tcW w:w="2126"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 xml:space="preserve">Изграждане на две нови железопътни връзки със стандартно междурелсие </w:t>
            </w:r>
          </w:p>
          <w:p>
            <w:pPr>
              <w:autoSpaceDE w:val="0"/>
              <w:autoSpaceDN w:val="0"/>
              <w:adjustRightInd w:val="0"/>
              <w:spacing w:before="40" w:after="40"/>
              <w:ind w:left="196"/>
              <w:jc w:val="left"/>
              <w:rPr>
                <w:rFonts w:eastAsia="Times New Roman"/>
                <w:noProof/>
                <w:sz w:val="20"/>
                <w:szCs w:val="20"/>
              </w:rPr>
            </w:pP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 xml:space="preserve">Изграждане на три нови железопътни връзки със стандартно междурелсие и две линии в експлоатация </w:t>
            </w:r>
          </w:p>
        </w:tc>
        <w:tc>
          <w:tcPr>
            <w:tcW w:w="2183"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Разработване на четири нови железопътни връзки със стандартно междурелсие и пет линии в експлоатация</w:t>
            </w:r>
          </w:p>
        </w:tc>
        <w:tc>
          <w:tcPr>
            <w:tcW w:w="2551" w:type="dxa"/>
            <w:tcBorders>
              <w:top w:val="nil"/>
              <w:bottom w:val="nil"/>
              <w:right w:val="single" w:sz="24" w:space="0" w:color="000000"/>
            </w:tcBorders>
          </w:tcPr>
          <w:p>
            <w:pPr>
              <w:autoSpaceDE w:val="0"/>
              <w:autoSpaceDN w:val="0"/>
              <w:adjustRightInd w:val="0"/>
              <w:spacing w:before="40" w:after="40"/>
              <w:jc w:val="left"/>
              <w:rPr>
                <w:rFonts w:eastAsia="Times New Roman"/>
                <w:noProof/>
                <w:sz w:val="20"/>
                <w:szCs w:val="20"/>
              </w:rPr>
            </w:pP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 xml:space="preserve">5 големи морски пристанища и няколко вътрешни пристанища </w:t>
            </w:r>
          </w:p>
        </w:tc>
        <w:tc>
          <w:tcPr>
            <w:tcW w:w="2126"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Изграждане, разширяване и/или модернизиране на три приоритетни пристанища</w:t>
            </w: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Изграждане, разширяване и/или модернизиране на четири приоритетни пристанища</w:t>
            </w:r>
          </w:p>
        </w:tc>
        <w:tc>
          <w:tcPr>
            <w:tcW w:w="2183"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Изграждане, разширяване и/или модернизиране на пет приоритетни пристанища</w:t>
            </w:r>
          </w:p>
        </w:tc>
        <w:tc>
          <w:tcPr>
            <w:tcW w:w="2551" w:type="dxa"/>
            <w:tcBorders>
              <w:top w:val="nil"/>
              <w:bottom w:val="nil"/>
              <w:right w:val="single" w:sz="24" w:space="0" w:color="000000"/>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Брой на изградените, разширените и/или модернизираните пристанища</w:t>
            </w:r>
          </w:p>
        </w:tc>
      </w:tr>
      <w:tr>
        <w:trPr>
          <w:trHeight w:val="1435"/>
        </w:trP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 xml:space="preserve">11 международни летища </w:t>
            </w:r>
          </w:p>
        </w:tc>
        <w:tc>
          <w:tcPr>
            <w:tcW w:w="2126"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Изграждане, разширяване и/или модернизиране на три приоритетни летища</w:t>
            </w: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Изграждане, разширяване и/или модернизиране на три приоритетни летища</w:t>
            </w:r>
          </w:p>
        </w:tc>
        <w:tc>
          <w:tcPr>
            <w:tcW w:w="2183"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Изграждане, разширяване и/или модернизиране на пет приоритетни летища</w:t>
            </w:r>
          </w:p>
        </w:tc>
        <w:tc>
          <w:tcPr>
            <w:tcW w:w="2551" w:type="dxa"/>
            <w:tcBorders>
              <w:top w:val="nil"/>
              <w:bottom w:val="nil"/>
              <w:right w:val="single" w:sz="24" w:space="0" w:color="000000"/>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Брой на изградените, разширените и/или модернизираните летища</w:t>
            </w:r>
          </w:p>
          <w:p>
            <w:pPr>
              <w:autoSpaceDE w:val="0"/>
              <w:autoSpaceDN w:val="0"/>
              <w:adjustRightInd w:val="0"/>
              <w:spacing w:before="40" w:after="40"/>
              <w:ind w:left="196"/>
              <w:jc w:val="left"/>
              <w:rPr>
                <w:rFonts w:eastAsia="Times New Roman"/>
                <w:noProof/>
                <w:sz w:val="20"/>
                <w:szCs w:val="20"/>
              </w:rPr>
            </w:pPr>
          </w:p>
          <w:p>
            <w:pPr>
              <w:autoSpaceDE w:val="0"/>
              <w:autoSpaceDN w:val="0"/>
              <w:adjustRightInd w:val="0"/>
              <w:spacing w:before="40" w:after="40"/>
              <w:ind w:left="196"/>
              <w:jc w:val="left"/>
              <w:rPr>
                <w:rFonts w:eastAsia="Times New Roman"/>
                <w:noProof/>
                <w:sz w:val="20"/>
                <w:szCs w:val="20"/>
              </w:rPr>
            </w:pP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spacing w:before="40" w:after="40"/>
              <w:jc w:val="left"/>
              <w:rPr>
                <w:rFonts w:eastAsia="Times New Roman"/>
                <w:noProof/>
                <w:sz w:val="20"/>
                <w:szCs w:val="20"/>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Разработване на регионални транспортни политики и регулаторни рамки</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Установяване на партньорства, връзки и съвместни предприятия между икономическите оператори</w:t>
            </w:r>
          </w:p>
        </w:tc>
        <w:tc>
          <w:tcPr>
            <w:tcW w:w="2183"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безопасността и надеждността на транспортния сектор</w:t>
            </w:r>
          </w:p>
          <w:p>
            <w:pPr>
              <w:autoSpaceDE w:val="0"/>
              <w:autoSpaceDN w:val="0"/>
              <w:adjustRightInd w:val="0"/>
              <w:spacing w:before="40" w:after="40"/>
              <w:jc w:val="left"/>
              <w:rPr>
                <w:rFonts w:eastAsia="Times New Roman"/>
                <w:noProof/>
                <w:sz w:val="20"/>
                <w:szCs w:val="20"/>
              </w:rPr>
            </w:pP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новите надеждни инвестиции (включително споразумения за ПЧП)</w:t>
            </w:r>
          </w:p>
        </w:tc>
      </w:tr>
      <w:tr>
        <w:tc>
          <w:tcPr>
            <w:tcW w:w="2269" w:type="dxa"/>
            <w:tcBorders>
              <w:top w:val="nil"/>
              <w:left w:val="single" w:sz="24" w:space="0" w:color="000000"/>
              <w:bottom w:val="single" w:sz="4" w:space="0" w:color="000000"/>
            </w:tcBorders>
            <w:shd w:val="clear" w:color="auto" w:fill="auto"/>
          </w:tcPr>
          <w:p>
            <w:pPr>
              <w:spacing w:before="40" w:after="40"/>
              <w:ind w:left="-6"/>
              <w:jc w:val="left"/>
              <w:rPr>
                <w:rFonts w:eastAsia="Times New Roman"/>
                <w:b/>
                <w:bCs/>
                <w:noProof/>
                <w:sz w:val="20"/>
                <w:szCs w:val="20"/>
              </w:rPr>
            </w:pPr>
          </w:p>
        </w:tc>
        <w:tc>
          <w:tcPr>
            <w:tcW w:w="2126" w:type="dxa"/>
            <w:tcBorders>
              <w:top w:val="nil"/>
              <w:bottom w:val="single" w:sz="4" w:space="0" w:color="000000"/>
            </w:tcBorders>
          </w:tcPr>
          <w:p>
            <w:pPr>
              <w:spacing w:before="40" w:after="40"/>
              <w:jc w:val="left"/>
              <w:rPr>
                <w:rFonts w:eastAsia="Times New Roman"/>
                <w:noProof/>
                <w:sz w:val="20"/>
                <w:szCs w:val="20"/>
              </w:rPr>
            </w:pPr>
          </w:p>
        </w:tc>
        <w:tc>
          <w:tcPr>
            <w:tcW w:w="2268" w:type="dxa"/>
            <w:tcBorders>
              <w:top w:val="nil"/>
              <w:bottom w:val="single" w:sz="4" w:space="0" w:color="000000"/>
            </w:tcBorders>
          </w:tcPr>
          <w:p>
            <w:pPr>
              <w:spacing w:before="40" w:after="40"/>
              <w:jc w:val="left"/>
              <w:rPr>
                <w:rFonts w:eastAsia="Times New Roman"/>
                <w:noProof/>
                <w:sz w:val="20"/>
                <w:szCs w:val="20"/>
              </w:rPr>
            </w:pP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Укрепване на институционалния, технически и административен капацитет за свързаните с транспорта институции</w:t>
            </w:r>
          </w:p>
        </w:tc>
        <w:tc>
          <w:tcPr>
            <w:tcW w:w="2182"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движението на хора и на трафика на превозни средства (включително потока на стоки)</w:t>
            </w:r>
          </w:p>
        </w:tc>
        <w:tc>
          <w:tcPr>
            <w:tcW w:w="2551" w:type="dxa"/>
            <w:tcBorders>
              <w:top w:val="nil"/>
              <w:bottom w:val="single" w:sz="4" w:space="0" w:color="000000"/>
              <w:right w:val="single" w:sz="24" w:space="0" w:color="000000"/>
            </w:tcBorders>
          </w:tcPr>
          <w:p>
            <w:pPr>
              <w:autoSpaceDE w:val="0"/>
              <w:autoSpaceDN w:val="0"/>
              <w:adjustRightInd w:val="0"/>
              <w:spacing w:before="40" w:after="40"/>
              <w:jc w:val="left"/>
              <w:rPr>
                <w:rFonts w:eastAsia="Times New Roman"/>
                <w:noProof/>
                <w:sz w:val="20"/>
                <w:szCs w:val="20"/>
              </w:rPr>
            </w:pPr>
          </w:p>
        </w:tc>
      </w:tr>
      <w:tr>
        <w:trPr>
          <w:trHeight w:val="2826"/>
        </w:trPr>
        <w:tc>
          <w:tcPr>
            <w:tcW w:w="2269" w:type="dxa"/>
            <w:tcBorders>
              <w:top w:val="single" w:sz="4" w:space="0" w:color="000000"/>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Информационни и комуникационни технологии (ИКТ)</w:t>
            </w:r>
          </w:p>
        </w:tc>
        <w:tc>
          <w:tcPr>
            <w:tcW w:w="2126" w:type="dxa"/>
            <w:tcBorders>
              <w:top w:val="single" w:sz="4" w:space="0" w:color="000000"/>
              <w:bottom w:val="single" w:sz="4" w:space="0" w:color="000000"/>
            </w:tcBorders>
          </w:tcPr>
          <w:p>
            <w:pPr>
              <w:autoSpaceDE w:val="0"/>
              <w:autoSpaceDN w:val="0"/>
              <w:adjustRightInd w:val="0"/>
              <w:spacing w:before="40" w:after="40"/>
              <w:jc w:val="left"/>
              <w:rPr>
                <w:rFonts w:eastAsia="Times New Roman"/>
                <w:noProof/>
                <w:sz w:val="20"/>
                <w:szCs w:val="20"/>
              </w:rPr>
            </w:pPr>
            <w:r>
              <w:rPr>
                <w:noProof/>
                <w:sz w:val="20"/>
              </w:rPr>
              <w:t>Развитие и модернизиране на инфраструктурата на ИКТ с цел улесняване както на вътрешнорегионалната, така и на междурегионалната търговия и доставката на услуги.</w:t>
            </w:r>
          </w:p>
          <w:p>
            <w:pPr>
              <w:autoSpaceDE w:val="0"/>
              <w:autoSpaceDN w:val="0"/>
              <w:adjustRightInd w:val="0"/>
              <w:spacing w:before="40" w:after="40"/>
              <w:jc w:val="left"/>
              <w:rPr>
                <w:rFonts w:eastAsia="Times New Roman"/>
                <w:noProof/>
                <w:sz w:val="20"/>
                <w:szCs w:val="20"/>
              </w:rPr>
            </w:pPr>
          </w:p>
        </w:tc>
        <w:tc>
          <w:tcPr>
            <w:tcW w:w="2268" w:type="dxa"/>
            <w:vMerge w:val="restart"/>
            <w:tcBorders>
              <w:top w:val="single" w:sz="4" w:space="0" w:color="000000"/>
              <w:bottom w:val="single" w:sz="4" w:space="0" w:color="000000"/>
            </w:tcBorders>
          </w:tcPr>
          <w:p>
            <w:pPr>
              <w:spacing w:before="40" w:after="40"/>
              <w:jc w:val="left"/>
              <w:rPr>
                <w:rFonts w:eastAsia="Times New Roman"/>
                <w:noProof/>
                <w:sz w:val="20"/>
                <w:szCs w:val="20"/>
              </w:rPr>
            </w:pPr>
            <w:r>
              <w:rPr>
                <w:noProof/>
                <w:sz w:val="20"/>
              </w:rPr>
              <w:t xml:space="preserve">Всички държави партньори от ИАО са свързани чрез оптични влакна. Стойността на ИКТ обаче е висока и само около 13 % от населението има достъп до интернет и около 50 % от населението са абонати на мобилни телефонни услуги. </w:t>
            </w:r>
          </w:p>
        </w:tc>
        <w:tc>
          <w:tcPr>
            <w:tcW w:w="2126"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Изграждане на непрекъсната трансгранична ИКТ инфраструктура</w:t>
            </w:r>
          </w:p>
        </w:tc>
        <w:tc>
          <w:tcPr>
            <w:tcW w:w="2182"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80 % от представителите на деловите среди имат достъп до високоскоростни връзки</w:t>
            </w:r>
          </w:p>
        </w:tc>
        <w:tc>
          <w:tcPr>
            <w:tcW w:w="2183"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Сигурни трансакции и услуги (например електронни услуги, електронна търговия, електронно правителство, електронно здравеопазване)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Намаляване на тарифите за достъп до интернет с 60 %</w:t>
            </w:r>
          </w:p>
        </w:tc>
        <w:tc>
          <w:tcPr>
            <w:tcW w:w="2551" w:type="dxa"/>
            <w:tcBorders>
              <w:top w:val="single" w:sz="4" w:space="0" w:color="000000"/>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Изграждане на непрекъсната трансгранична ИКТ инфраструктура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широколентовия достъп до интернет</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на намаление на разходите за достъп до интернет </w:t>
            </w:r>
          </w:p>
        </w:tc>
      </w:tr>
      <w:tr>
        <w:tc>
          <w:tcPr>
            <w:tcW w:w="2269" w:type="dxa"/>
            <w:tcBorders>
              <w:top w:val="single" w:sz="4" w:space="0" w:color="000000"/>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000000"/>
              <w:bottom w:val="nil"/>
            </w:tcBorders>
          </w:tcPr>
          <w:p>
            <w:pPr>
              <w:spacing w:before="40" w:after="40"/>
              <w:jc w:val="left"/>
              <w:rPr>
                <w:rFonts w:eastAsia="Times New Roman"/>
                <w:noProof/>
                <w:sz w:val="20"/>
                <w:szCs w:val="20"/>
              </w:rPr>
            </w:pPr>
          </w:p>
        </w:tc>
        <w:tc>
          <w:tcPr>
            <w:tcW w:w="2268" w:type="dxa"/>
            <w:vMerge/>
            <w:tcBorders>
              <w:top w:val="single" w:sz="4" w:space="0" w:color="000000"/>
              <w:bottom w:val="nil"/>
            </w:tcBorders>
          </w:tcPr>
          <w:p>
            <w:pPr>
              <w:spacing w:before="40" w:after="40"/>
              <w:jc w:val="left"/>
              <w:rPr>
                <w:rFonts w:eastAsia="Times New Roman"/>
                <w:noProof/>
                <w:sz w:val="20"/>
                <w:szCs w:val="20"/>
              </w:rPr>
            </w:pPr>
          </w:p>
        </w:tc>
        <w:tc>
          <w:tcPr>
            <w:tcW w:w="2126"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20 % от населението има достъп до интернет и около 60 % от населението са абонати на мобилни телефонни услуги</w:t>
            </w:r>
          </w:p>
        </w:tc>
        <w:tc>
          <w:tcPr>
            <w:tcW w:w="2182"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40 % от населението има достъп до интернет и около 75 % от населението са абонати на мобилни телефонни услуги</w:t>
            </w:r>
          </w:p>
        </w:tc>
        <w:tc>
          <w:tcPr>
            <w:tcW w:w="2183"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60 % от населението има достъп до интернет и около 90 % от населението са абонати на мобилни телефонни услуги.</w:t>
            </w:r>
          </w:p>
        </w:tc>
        <w:tc>
          <w:tcPr>
            <w:tcW w:w="2551" w:type="dxa"/>
            <w:tcBorders>
              <w:top w:val="single" w:sz="4" w:space="0" w:color="000000"/>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бизнес трансакциите онлайн</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абонатите на стационарни и мобилни телефонни услуги и на ползвателите на интернет</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spacing w:before="40" w:after="40"/>
              <w:jc w:val="left"/>
              <w:rPr>
                <w:rFonts w:eastAsia="Times New Roman"/>
                <w:noProof/>
                <w:sz w:val="20"/>
                <w:szCs w:val="20"/>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Изграждане на капацитет по отношение на човешките ресурси, подобряване на стандартите за услуги и институционалните структури </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Установяване на партньорства, връзки и съвместни предприятия между икономическите оператори </w:t>
            </w:r>
          </w:p>
          <w:p>
            <w:pPr>
              <w:autoSpaceDE w:val="0"/>
              <w:autoSpaceDN w:val="0"/>
              <w:adjustRightInd w:val="0"/>
              <w:spacing w:before="40" w:after="40"/>
              <w:ind w:left="196"/>
              <w:jc w:val="left"/>
              <w:rPr>
                <w:rFonts w:eastAsia="Times New Roman"/>
                <w:noProof/>
                <w:sz w:val="20"/>
                <w:szCs w:val="20"/>
              </w:rPr>
            </w:pPr>
          </w:p>
        </w:tc>
        <w:tc>
          <w:tcPr>
            <w:tcW w:w="2183" w:type="dxa"/>
            <w:tcBorders>
              <w:top w:val="nil"/>
              <w:bottom w:val="nil"/>
            </w:tcBorders>
          </w:tcPr>
          <w:p>
            <w:pPr>
              <w:autoSpaceDE w:val="0"/>
              <w:autoSpaceDN w:val="0"/>
              <w:adjustRightInd w:val="0"/>
              <w:spacing w:before="40" w:after="40"/>
              <w:jc w:val="left"/>
              <w:rPr>
                <w:rFonts w:eastAsia="Times New Roman"/>
                <w:noProof/>
                <w:sz w:val="20"/>
                <w:szCs w:val="20"/>
              </w:rPr>
            </w:pP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новите надеждни инвестиции (включително споразумения за ПЧП)</w:t>
            </w:r>
          </w:p>
          <w:p>
            <w:pPr>
              <w:autoSpaceDE w:val="0"/>
              <w:autoSpaceDN w:val="0"/>
              <w:adjustRightInd w:val="0"/>
              <w:spacing w:before="40" w:after="40"/>
              <w:ind w:left="196"/>
              <w:jc w:val="left"/>
              <w:rPr>
                <w:rFonts w:eastAsia="Times New Roman"/>
                <w:noProof/>
                <w:sz w:val="20"/>
                <w:szCs w:val="20"/>
              </w:rPr>
            </w:pPr>
          </w:p>
        </w:tc>
      </w:tr>
      <w:tr>
        <w:trPr>
          <w:trHeight w:val="1731"/>
        </w:trP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24" w:space="0" w:color="000000"/>
            </w:tcBorders>
          </w:tcPr>
          <w:p>
            <w:pPr>
              <w:spacing w:before="40" w:after="40"/>
              <w:jc w:val="left"/>
              <w:rPr>
                <w:rFonts w:eastAsia="Times New Roman"/>
                <w:noProof/>
                <w:sz w:val="20"/>
                <w:szCs w:val="20"/>
              </w:rPr>
            </w:pPr>
          </w:p>
        </w:tc>
        <w:tc>
          <w:tcPr>
            <w:tcW w:w="2268" w:type="dxa"/>
            <w:tcBorders>
              <w:top w:val="nil"/>
              <w:bottom w:val="single" w:sz="24" w:space="0" w:color="000000"/>
            </w:tcBorders>
          </w:tcPr>
          <w:p>
            <w:pPr>
              <w:spacing w:before="40" w:after="40"/>
              <w:jc w:val="left"/>
              <w:rPr>
                <w:rFonts w:eastAsia="Times New Roman"/>
                <w:noProof/>
                <w:sz w:val="20"/>
                <w:szCs w:val="20"/>
              </w:rPr>
            </w:pPr>
          </w:p>
        </w:tc>
        <w:tc>
          <w:tcPr>
            <w:tcW w:w="2126" w:type="dxa"/>
            <w:tcBorders>
              <w:top w:val="nil"/>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Разработване и хармонизиране на законодателните и регулаторните рамки в областта на ИКТ </w:t>
            </w:r>
          </w:p>
        </w:tc>
        <w:tc>
          <w:tcPr>
            <w:tcW w:w="2182" w:type="dxa"/>
            <w:tcBorders>
              <w:top w:val="nil"/>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Развитие, трансфер и приложения на технологии, научноизследователска и развойна дейност и иновации</w:t>
            </w:r>
          </w:p>
        </w:tc>
        <w:tc>
          <w:tcPr>
            <w:tcW w:w="2183" w:type="dxa"/>
            <w:tcBorders>
              <w:top w:val="nil"/>
              <w:bottom w:val="single" w:sz="24" w:space="0" w:color="000000"/>
            </w:tcBorders>
          </w:tcPr>
          <w:p>
            <w:pPr>
              <w:autoSpaceDE w:val="0"/>
              <w:autoSpaceDN w:val="0"/>
              <w:adjustRightInd w:val="0"/>
              <w:spacing w:before="40" w:after="40"/>
              <w:jc w:val="left"/>
              <w:rPr>
                <w:rFonts w:eastAsia="Times New Roman"/>
                <w:noProof/>
                <w:sz w:val="20"/>
                <w:szCs w:val="20"/>
              </w:rPr>
            </w:pPr>
          </w:p>
        </w:tc>
        <w:tc>
          <w:tcPr>
            <w:tcW w:w="2551" w:type="dxa"/>
            <w:tcBorders>
              <w:top w:val="nil"/>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на нарастване на броя на специалистите в областта на ИКТ </w:t>
            </w:r>
          </w:p>
          <w:p>
            <w:pPr>
              <w:autoSpaceDE w:val="0"/>
              <w:autoSpaceDN w:val="0"/>
              <w:adjustRightInd w:val="0"/>
              <w:spacing w:before="40" w:after="40"/>
              <w:ind w:left="196"/>
              <w:jc w:val="left"/>
              <w:rPr>
                <w:rFonts w:eastAsia="Times New Roman"/>
                <w:noProof/>
                <w:sz w:val="20"/>
                <w:szCs w:val="20"/>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rPr>
            </w:pPr>
            <w:r>
              <w:rPr>
                <w:b/>
                <w:noProof/>
                <w:sz w:val="20"/>
                <w:u w:val="single"/>
              </w:rPr>
              <w:t>Селско стопанство и животновъдство</w:t>
            </w:r>
          </w:p>
        </w:tc>
      </w:tr>
      <w:tr>
        <w:tc>
          <w:tcPr>
            <w:tcW w:w="2269" w:type="dxa"/>
            <w:tcBorders>
              <w:top w:val="nil"/>
              <w:left w:val="single" w:sz="24" w:space="0" w:color="000000"/>
              <w:bottom w:val="nil"/>
            </w:tcBorders>
            <w:shd w:val="clear" w:color="auto" w:fill="auto"/>
          </w:tcPr>
          <w:p>
            <w:pPr>
              <w:spacing w:before="40" w:after="40"/>
              <w:ind w:left="360"/>
              <w:jc w:val="left"/>
              <w:rPr>
                <w:rFonts w:eastAsia="Times New Roman"/>
                <w:b/>
                <w:bCs/>
                <w:noProof/>
                <w:sz w:val="20"/>
                <w:szCs w:val="20"/>
              </w:rPr>
            </w:pPr>
          </w:p>
        </w:tc>
        <w:tc>
          <w:tcPr>
            <w:tcW w:w="2126" w:type="dxa"/>
            <w:tcBorders>
              <w:top w:val="nil"/>
              <w:bottom w:val="single" w:sz="4" w:space="0" w:color="auto"/>
            </w:tcBorders>
          </w:tcPr>
          <w:p>
            <w:pPr>
              <w:spacing w:before="40" w:after="40"/>
              <w:jc w:val="left"/>
              <w:rPr>
                <w:rFonts w:eastAsia="Times New Roman"/>
                <w:noProof/>
                <w:sz w:val="20"/>
                <w:szCs w:val="20"/>
              </w:rPr>
            </w:pPr>
            <w:r>
              <w:rPr>
                <w:noProof/>
                <w:sz w:val="20"/>
              </w:rPr>
              <w:t>Подобряване на производството и производителността</w:t>
            </w:r>
          </w:p>
        </w:tc>
        <w:tc>
          <w:tcPr>
            <w:tcW w:w="2268" w:type="dxa"/>
            <w:tcBorders>
              <w:top w:val="nil"/>
              <w:bottom w:val="single" w:sz="4" w:space="0" w:color="auto"/>
            </w:tcBorders>
          </w:tcPr>
          <w:p>
            <w:pPr>
              <w:spacing w:before="40" w:after="40"/>
              <w:jc w:val="left"/>
              <w:rPr>
                <w:rFonts w:eastAsia="Times New Roman"/>
                <w:noProof/>
                <w:sz w:val="20"/>
                <w:szCs w:val="20"/>
              </w:rPr>
            </w:pPr>
            <w:r>
              <w:rPr>
                <w:noProof/>
                <w:sz w:val="20"/>
              </w:rPr>
              <w:t xml:space="preserve">(Подобряване на производството и производителността на основните култури (кафе, чай и захарна тръстика), които понастоящем са 10,95 милиона тона </w:t>
            </w:r>
          </w:p>
        </w:tc>
        <w:tc>
          <w:tcPr>
            <w:tcW w:w="2126" w:type="dxa"/>
            <w:tcBorders>
              <w:top w:val="nil"/>
              <w:bottom w:val="single" w:sz="4" w:space="0" w:color="auto"/>
            </w:tcBorders>
          </w:tcPr>
          <w:p>
            <w:pPr>
              <w:spacing w:before="40" w:after="40"/>
              <w:jc w:val="left"/>
              <w:rPr>
                <w:rFonts w:eastAsia="Times New Roman"/>
                <w:noProof/>
                <w:sz w:val="20"/>
                <w:szCs w:val="20"/>
              </w:rPr>
            </w:pPr>
            <w:r>
              <w:rPr>
                <w:noProof/>
                <w:sz w:val="20"/>
              </w:rPr>
              <w:t>Увеличаване на производството и производителността на култури и добитък с 15 %</w:t>
            </w:r>
          </w:p>
        </w:tc>
        <w:tc>
          <w:tcPr>
            <w:tcW w:w="2182" w:type="dxa"/>
            <w:tcBorders>
              <w:top w:val="nil"/>
              <w:bottom w:val="single" w:sz="4" w:space="0" w:color="auto"/>
            </w:tcBorders>
          </w:tcPr>
          <w:p>
            <w:pPr>
              <w:spacing w:before="40" w:after="40"/>
              <w:jc w:val="left"/>
              <w:rPr>
                <w:rFonts w:eastAsia="Times New Roman"/>
                <w:noProof/>
                <w:sz w:val="20"/>
                <w:szCs w:val="20"/>
              </w:rPr>
            </w:pPr>
            <w:r>
              <w:rPr>
                <w:noProof/>
                <w:sz w:val="20"/>
              </w:rPr>
              <w:t>Увеличаване на производството и производителността на култури и добитък с 25 %</w:t>
            </w:r>
          </w:p>
        </w:tc>
        <w:tc>
          <w:tcPr>
            <w:tcW w:w="2183" w:type="dxa"/>
            <w:tcBorders>
              <w:top w:val="nil"/>
              <w:bottom w:val="single" w:sz="4" w:space="0" w:color="auto"/>
            </w:tcBorders>
          </w:tcPr>
          <w:p>
            <w:pPr>
              <w:spacing w:before="40" w:after="40"/>
              <w:jc w:val="left"/>
              <w:rPr>
                <w:rFonts w:eastAsia="Times New Roman"/>
                <w:noProof/>
                <w:sz w:val="20"/>
                <w:szCs w:val="20"/>
              </w:rPr>
            </w:pPr>
            <w:r>
              <w:rPr>
                <w:noProof/>
                <w:sz w:val="20"/>
              </w:rPr>
              <w:t>Увеличаване на производството и производителността на култури и добитък с 30 %</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Подобряване на регионалната продоволствена сигурност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обема на износа на селскостопански продукти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селскостопанското производство в региона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Премахване на нетарифните бариери в ИАО</w:t>
            </w:r>
          </w:p>
        </w:tc>
      </w:tr>
      <w:tr>
        <w:trPr>
          <w:trHeight w:val="1353"/>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p>
        </w:tc>
        <w:tc>
          <w:tcPr>
            <w:tcW w:w="2268"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Увеличаване на производството и производителността на добитъка (едър рогат добитък, овце, кози, свине, домашни птици), които понастоящем са съответно 56,6 милиона, 32,3 милиона, 61,9 милиона, 7,9 милиона и 143 милиона</w:t>
            </w:r>
          </w:p>
        </w:tc>
        <w:tc>
          <w:tcPr>
            <w:tcW w:w="2126" w:type="dxa"/>
            <w:tcBorders>
              <w:top w:val="single" w:sz="4" w:space="0" w:color="auto"/>
              <w:bottom w:val="single" w:sz="4" w:space="0" w:color="auto"/>
            </w:tcBorders>
          </w:tcPr>
          <w:p>
            <w:pPr>
              <w:spacing w:before="40" w:after="40"/>
              <w:ind w:left="-20"/>
              <w:rPr>
                <w:rFonts w:eastAsia="Calibri"/>
                <w:noProof/>
                <w:sz w:val="20"/>
                <w:szCs w:val="20"/>
              </w:rPr>
            </w:pPr>
            <w:r>
              <w:rPr>
                <w:noProof/>
                <w:sz w:val="20"/>
              </w:rPr>
              <w:t>Увеличаване на производството и производителността на животните (едър рогат добитък с 10 %, овце с 25 %, кози с 4 %, свине с 20 % и домашни птици с 10 %)</w:t>
            </w:r>
          </w:p>
        </w:tc>
        <w:tc>
          <w:tcPr>
            <w:tcW w:w="2182" w:type="dxa"/>
            <w:tcBorders>
              <w:top w:val="single" w:sz="4" w:space="0" w:color="auto"/>
              <w:bottom w:val="single" w:sz="4" w:space="0" w:color="auto"/>
            </w:tcBorders>
          </w:tcPr>
          <w:p>
            <w:pPr>
              <w:autoSpaceDE w:val="0"/>
              <w:autoSpaceDN w:val="0"/>
              <w:adjustRightInd w:val="0"/>
              <w:spacing w:before="40" w:after="40"/>
              <w:ind w:left="66"/>
              <w:jc w:val="left"/>
              <w:rPr>
                <w:rFonts w:eastAsia="Times New Roman"/>
                <w:noProof/>
                <w:sz w:val="20"/>
                <w:szCs w:val="20"/>
              </w:rPr>
            </w:pPr>
            <w:r>
              <w:rPr>
                <w:noProof/>
                <w:sz w:val="20"/>
              </w:rPr>
              <w:t>Увеличаване на производството и производителността на животните (едър рогат добитък с 15 %, овце с 30 %, кози с 10 %, свине с 25 % и домашни птици с 15 %)</w:t>
            </w:r>
          </w:p>
        </w:tc>
        <w:tc>
          <w:tcPr>
            <w:tcW w:w="2183"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Увеличаване на производството и производителността на животните (едър рогат добитък с 20 %, овце с 35 %, кози с 15 %, свине с 30 % и домашни птици с 20 %)</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Подобряване на регионалната продоволствена сигурност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животновъдната продукция в региона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обема на износа на животни</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Подобряване и развитие на селскостопанската промишленост (създаване на добавена стойност)</w:t>
            </w: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Процентът на износа с добавена стойност понастоящем е по-малко от 10 % </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color w:val="000000"/>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Увеличаване на износа с добавена стойност с поне 20 % </w:t>
            </w:r>
          </w:p>
          <w:p>
            <w:pPr>
              <w:spacing w:before="40" w:after="40"/>
              <w:jc w:val="left"/>
              <w:rPr>
                <w:rFonts w:eastAsia="Times New Roman"/>
                <w:noProof/>
                <w:sz w:val="20"/>
                <w:szCs w:val="20"/>
              </w:rPr>
            </w:pPr>
          </w:p>
        </w:tc>
        <w:tc>
          <w:tcPr>
            <w:tcW w:w="2182"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Увеличаване на износа с добавена стойност с поне 50 % </w:t>
            </w:r>
          </w:p>
          <w:p>
            <w:pPr>
              <w:spacing w:before="40" w:after="40"/>
              <w:jc w:val="left"/>
              <w:rPr>
                <w:rFonts w:eastAsia="Times New Roman"/>
                <w:noProof/>
                <w:sz w:val="20"/>
                <w:szCs w:val="20"/>
              </w:rPr>
            </w:pPr>
          </w:p>
          <w:p>
            <w:pPr>
              <w:spacing w:before="40" w:after="40"/>
              <w:jc w:val="left"/>
              <w:rPr>
                <w:rFonts w:eastAsia="Times New Roman"/>
                <w:noProof/>
                <w:sz w:val="20"/>
                <w:szCs w:val="20"/>
              </w:rPr>
            </w:pPr>
          </w:p>
          <w:p>
            <w:pPr>
              <w:spacing w:before="40" w:after="40"/>
              <w:jc w:val="left"/>
              <w:rPr>
                <w:rFonts w:eastAsia="Times New Roman"/>
                <w:noProof/>
                <w:sz w:val="20"/>
                <w:szCs w:val="20"/>
              </w:rPr>
            </w:pPr>
          </w:p>
        </w:tc>
        <w:tc>
          <w:tcPr>
            <w:tcW w:w="2183"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Увеличаване на износа с добавена стойност с поне 75 % </w:t>
            </w:r>
          </w:p>
          <w:p>
            <w:pPr>
              <w:spacing w:before="40" w:after="40"/>
              <w:jc w:val="left"/>
              <w:rPr>
                <w:rFonts w:eastAsia="Times New Roman"/>
                <w:noProof/>
                <w:sz w:val="20"/>
                <w:szCs w:val="20"/>
              </w:rPr>
            </w:pPr>
          </w:p>
          <w:p>
            <w:pPr>
              <w:spacing w:before="40" w:after="40"/>
              <w:jc w:val="left"/>
              <w:rPr>
                <w:rFonts w:eastAsia="Times New Roman"/>
                <w:noProof/>
                <w:sz w:val="20"/>
                <w:szCs w:val="20"/>
              </w:rPr>
            </w:pPr>
          </w:p>
          <w:p>
            <w:pPr>
              <w:spacing w:before="40" w:after="40"/>
              <w:jc w:val="left"/>
              <w:rPr>
                <w:rFonts w:eastAsia="Times New Roman"/>
                <w:noProof/>
                <w:sz w:val="20"/>
                <w:szCs w:val="20"/>
              </w:rPr>
            </w:pPr>
          </w:p>
        </w:tc>
        <w:tc>
          <w:tcPr>
            <w:tcW w:w="2551" w:type="dxa"/>
            <w:tcBorders>
              <w:top w:val="single" w:sz="4" w:space="0" w:color="auto"/>
              <w:bottom w:val="single" w:sz="4" w:space="0" w:color="auto"/>
              <w:right w:val="single" w:sz="24" w:space="0" w:color="000000"/>
            </w:tcBorders>
          </w:tcPr>
          <w:p>
            <w:pPr>
              <w:autoSpaceDE w:val="0"/>
              <w:autoSpaceDN w:val="0"/>
              <w:adjustRightInd w:val="0"/>
              <w:spacing w:before="40" w:after="40"/>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добавената стойност на първичните продукти, търгувани изцяло за износ</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Брой на създадените модерни и конкурентоспособни видове селскостопанска промишленост </w:t>
            </w:r>
          </w:p>
          <w:p>
            <w:pPr>
              <w:autoSpaceDE w:val="0"/>
              <w:autoSpaceDN w:val="0"/>
              <w:adjustRightInd w:val="0"/>
              <w:spacing w:before="40" w:after="40"/>
              <w:jc w:val="left"/>
              <w:rPr>
                <w:rFonts w:eastAsia="Times New Roman"/>
                <w:noProof/>
                <w:sz w:val="20"/>
                <w:szCs w:val="20"/>
              </w:rPr>
            </w:pPr>
          </w:p>
        </w:tc>
      </w:tr>
      <w:tr>
        <w:trPr>
          <w:trHeight w:val="914"/>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val="restart"/>
            <w:tcBorders>
              <w:top w:val="single" w:sz="4" w:space="0" w:color="auto"/>
            </w:tcBorders>
          </w:tcPr>
          <w:p>
            <w:pPr>
              <w:spacing w:before="40" w:after="40"/>
              <w:jc w:val="left"/>
              <w:rPr>
                <w:rFonts w:eastAsia="Times New Roman"/>
                <w:noProof/>
                <w:sz w:val="20"/>
                <w:szCs w:val="20"/>
                <w:highlight w:val="yellow"/>
              </w:rPr>
            </w:pPr>
            <w:r>
              <w:rPr>
                <w:noProof/>
                <w:sz w:val="20"/>
              </w:rPr>
              <w:t>Подобряване на търговията и достъпа до пазара за селскостопански стоки</w:t>
            </w:r>
          </w:p>
        </w:tc>
        <w:tc>
          <w:tcPr>
            <w:tcW w:w="2268" w:type="dxa"/>
            <w:vMerge w:val="restart"/>
            <w:tcBorders>
              <w:top w:val="single" w:sz="4" w:space="0" w:color="auto"/>
            </w:tcBorders>
          </w:tcPr>
          <w:p>
            <w:pPr>
              <w:autoSpaceDE w:val="0"/>
              <w:autoSpaceDN w:val="0"/>
              <w:adjustRightInd w:val="0"/>
              <w:spacing w:before="40" w:after="40"/>
              <w:jc w:val="left"/>
              <w:rPr>
                <w:rFonts w:eastAsia="Times New Roman"/>
                <w:noProof/>
                <w:sz w:val="20"/>
                <w:szCs w:val="20"/>
                <w:highlight w:val="yellow"/>
              </w:rPr>
            </w:pPr>
            <w:r>
              <w:rPr>
                <w:noProof/>
                <w:sz w:val="20"/>
              </w:rPr>
              <w:t xml:space="preserve">Понастоящем делът на вътрешнорегионалната търговия спрямо общия размер на регионалния пазар е около 10 % за най-търгуваните продукти </w:t>
            </w:r>
          </w:p>
        </w:tc>
        <w:tc>
          <w:tcPr>
            <w:tcW w:w="2126"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Увеличаване на дела на вътрешнорегионалната търговия до 30 % </w:t>
            </w:r>
          </w:p>
        </w:tc>
        <w:tc>
          <w:tcPr>
            <w:tcW w:w="2182"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дела на вътрешнорегионалната търговия до 50 %</w:t>
            </w:r>
          </w:p>
        </w:tc>
        <w:tc>
          <w:tcPr>
            <w:tcW w:w="2183"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дела на вътрешнорегионалната търговия до 80 %</w:t>
            </w:r>
          </w:p>
        </w:tc>
        <w:tc>
          <w:tcPr>
            <w:tcW w:w="2551" w:type="dxa"/>
            <w:tcBorders>
              <w:top w:val="single" w:sz="4" w:space="0" w:color="auto"/>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на увеличение на приноса на износа на селскостопански продукти за БВП </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tcPr>
          <w:p>
            <w:pPr>
              <w:spacing w:before="40" w:after="40"/>
              <w:ind w:left="360"/>
              <w:jc w:val="left"/>
              <w:rPr>
                <w:rFonts w:eastAsia="Times New Roman"/>
                <w:noProof/>
                <w:color w:val="000000"/>
                <w:sz w:val="20"/>
                <w:szCs w:val="20"/>
              </w:rPr>
            </w:pPr>
          </w:p>
        </w:tc>
        <w:tc>
          <w:tcPr>
            <w:tcW w:w="2268" w:type="dxa"/>
            <w:vMerge/>
          </w:tcPr>
          <w:p>
            <w:pPr>
              <w:autoSpaceDE w:val="0"/>
              <w:autoSpaceDN w:val="0"/>
              <w:adjustRightInd w:val="0"/>
              <w:spacing w:before="40" w:after="40"/>
              <w:jc w:val="left"/>
              <w:rPr>
                <w:rFonts w:eastAsia="Times New Roman"/>
                <w:noProof/>
                <w:color w:val="000000"/>
                <w:sz w:val="20"/>
                <w:szCs w:val="20"/>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Засилване на развитието на финансовите пазари в подкрепа на селскостопанското застраховане и финансиране с 30 %</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Засилване на развитието на финансовите пазари в подкрепа на селскостопанското застраховане и финансиране с 50 %</w:t>
            </w:r>
          </w:p>
        </w:tc>
        <w:tc>
          <w:tcPr>
            <w:tcW w:w="2183"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Засилване на развитието на финансовите пазари в подкрепа на селскостопанското застраховане и финансиране с 80 %</w:t>
            </w: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създадените финансови институции и застрахователни схеми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Размер на застрахованите инвестиции в селското стопанство </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tcBorders>
              <w:bottom w:val="single" w:sz="4" w:space="0" w:color="auto"/>
            </w:tcBorders>
          </w:tcPr>
          <w:p>
            <w:pPr>
              <w:spacing w:before="40" w:after="40"/>
              <w:ind w:left="360"/>
              <w:jc w:val="left"/>
              <w:rPr>
                <w:rFonts w:eastAsia="Times New Roman"/>
                <w:noProof/>
                <w:color w:val="000000"/>
                <w:sz w:val="20"/>
                <w:szCs w:val="20"/>
              </w:rPr>
            </w:pPr>
          </w:p>
        </w:tc>
        <w:tc>
          <w:tcPr>
            <w:tcW w:w="2268" w:type="dxa"/>
            <w:vMerge/>
            <w:tcBorders>
              <w:bottom w:val="single" w:sz="4" w:space="0" w:color="auto"/>
            </w:tcBorders>
          </w:tcPr>
          <w:p>
            <w:pPr>
              <w:spacing w:before="40" w:after="40"/>
              <w:jc w:val="left"/>
              <w:rPr>
                <w:rFonts w:eastAsia="Times New Roman"/>
                <w:noProof/>
                <w:sz w:val="20"/>
                <w:szCs w:val="20"/>
              </w:rPr>
            </w:pP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Създаване и координиране на регионална система за маркетингова информация </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обхвата на системата за маркетингова информация с 20 %</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обхвата на системата за маркетингова информация със 100 %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Инвестиции в научноизследователска и развойна дейност</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Въвеждане на регионална система за селскостопански маркетинг и информация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Хармонизиране на селскостопанските стандарти в ИАО</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Гарантиране на качеството, степени на качеството и сертифициране</w:t>
            </w:r>
          </w:p>
        </w:tc>
      </w:tr>
      <w:tr>
        <w:trPr>
          <w:trHeight w:val="2855"/>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Подобряване и развитие на селскостопанската инфраструктура </w:t>
            </w: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Неподходяща пазарна инфраструктура </w:t>
            </w:r>
          </w:p>
        </w:tc>
        <w:tc>
          <w:tcPr>
            <w:tcW w:w="2126"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Създаване на нова пазарна инфраструктура и модернизиране на 20 % от съществуващата инфраструктура със съвременни съоръжения </w:t>
            </w:r>
          </w:p>
        </w:tc>
        <w:tc>
          <w:tcPr>
            <w:tcW w:w="2182"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40 % от пазарната инфраструктура е модернизирана със съвременни съоръжения</w:t>
            </w:r>
          </w:p>
        </w:tc>
        <w:tc>
          <w:tcPr>
            <w:tcW w:w="2183"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100 % от пазарната инфраструктура е модернизирана със съвременни съоръжения</w:t>
            </w:r>
          </w:p>
        </w:tc>
        <w:tc>
          <w:tcPr>
            <w:tcW w:w="2551" w:type="dxa"/>
            <w:tcBorders>
              <w:top w:val="single" w:sz="4" w:space="0" w:color="auto"/>
              <w:bottom w:val="single" w:sz="4" w:space="0" w:color="auto"/>
              <w:right w:val="single" w:sz="24" w:space="0" w:color="000000"/>
            </w:tcBorders>
          </w:tcPr>
          <w:p>
            <w:pPr>
              <w:numPr>
                <w:ilvl w:val="0"/>
                <w:numId w:val="31"/>
              </w:numPr>
              <w:autoSpaceDE w:val="0"/>
              <w:autoSpaceDN w:val="0"/>
              <w:adjustRightInd w:val="0"/>
              <w:spacing w:before="40" w:after="40"/>
              <w:ind w:left="237" w:hanging="141"/>
              <w:jc w:val="left"/>
              <w:rPr>
                <w:rFonts w:eastAsia="Times New Roman"/>
                <w:noProof/>
                <w:sz w:val="20"/>
                <w:szCs w:val="20"/>
              </w:rPr>
            </w:pPr>
            <w:r>
              <w:rPr>
                <w:noProof/>
                <w:sz w:val="20"/>
              </w:rPr>
              <w:t xml:space="preserve">Брой на новопостроените и обновени пазарни съоръжения за селскостопански продукти. </w:t>
            </w:r>
          </w:p>
          <w:p>
            <w:pPr>
              <w:numPr>
                <w:ilvl w:val="0"/>
                <w:numId w:val="31"/>
              </w:numPr>
              <w:autoSpaceDE w:val="0"/>
              <w:autoSpaceDN w:val="0"/>
              <w:adjustRightInd w:val="0"/>
              <w:spacing w:before="40" w:after="40"/>
              <w:ind w:left="237" w:hanging="141"/>
              <w:jc w:val="left"/>
              <w:rPr>
                <w:rFonts w:eastAsia="Times New Roman"/>
                <w:noProof/>
                <w:sz w:val="20"/>
                <w:szCs w:val="20"/>
              </w:rPr>
            </w:pPr>
            <w:r>
              <w:rPr>
                <w:noProof/>
                <w:sz w:val="20"/>
              </w:rPr>
              <w:t>Създаване и модернизиране на пазарната инфраструктура</w:t>
            </w:r>
          </w:p>
          <w:p>
            <w:pPr>
              <w:numPr>
                <w:ilvl w:val="0"/>
                <w:numId w:val="31"/>
              </w:numPr>
              <w:autoSpaceDE w:val="0"/>
              <w:autoSpaceDN w:val="0"/>
              <w:adjustRightInd w:val="0"/>
              <w:spacing w:before="40" w:after="40"/>
              <w:ind w:left="237" w:hanging="141"/>
              <w:jc w:val="left"/>
              <w:rPr>
                <w:rFonts w:eastAsia="Times New Roman"/>
                <w:noProof/>
                <w:sz w:val="20"/>
                <w:szCs w:val="20"/>
              </w:rPr>
            </w:pPr>
            <w:r>
              <w:rPr>
                <w:noProof/>
                <w:sz w:val="20"/>
              </w:rPr>
              <w:t>% на увеличение на обема и стойността на търговията в рамките на ИАО чрез използването на изградената инфраструктура</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r>
      <w:tr>
        <w:trPr>
          <w:trHeight w:val="268"/>
        </w:trP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bCs/>
                <w:noProof/>
                <w:sz w:val="20"/>
                <w:szCs w:val="20"/>
                <w:u w:val="single"/>
              </w:rPr>
            </w:pPr>
            <w:r>
              <w:rPr>
                <w:b/>
                <w:noProof/>
                <w:sz w:val="20"/>
                <w:u w:val="single"/>
              </w:rPr>
              <w:t>РИБАРСТВО</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Насърчаване и развиване на регионалната и международната търговия с риба и рибни продукти</w:t>
            </w:r>
          </w:p>
        </w:tc>
        <w:tc>
          <w:tcPr>
            <w:tcW w:w="2268"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Рибната промишленост е слаборазвита.</w:t>
            </w:r>
          </w:p>
          <w:p>
            <w:pPr>
              <w:spacing w:before="40" w:after="40"/>
              <w:jc w:val="left"/>
              <w:rPr>
                <w:rFonts w:eastAsia="Times New Roman"/>
                <w:noProof/>
                <w:sz w:val="20"/>
                <w:szCs w:val="20"/>
              </w:rPr>
            </w:pPr>
            <w:r>
              <w:rPr>
                <w:noProof/>
                <w:sz w:val="20"/>
              </w:rPr>
              <w:t>Делът на добавената стойност на рибарството към БВП е 1,3 %</w:t>
            </w:r>
          </w:p>
          <w:p>
            <w:pPr>
              <w:spacing w:before="40" w:after="40"/>
              <w:jc w:val="left"/>
              <w:rPr>
                <w:rFonts w:eastAsia="Times New Roman"/>
                <w:noProof/>
                <w:sz w:val="20"/>
                <w:szCs w:val="20"/>
              </w:rPr>
            </w:pPr>
          </w:p>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Увеличаване на съотношението добавена стойност/БВП на 4 % </w:t>
            </w:r>
          </w:p>
          <w:p>
            <w:pPr>
              <w:spacing w:before="40" w:after="40"/>
              <w:jc w:val="left"/>
              <w:rPr>
                <w:rFonts w:eastAsia="Times New Roman"/>
                <w:noProof/>
                <w:sz w:val="20"/>
                <w:szCs w:val="20"/>
              </w:rPr>
            </w:pPr>
          </w:p>
          <w:p>
            <w:pPr>
              <w:spacing w:before="40" w:after="40"/>
              <w:jc w:val="left"/>
              <w:rPr>
                <w:rFonts w:eastAsia="Times New Roman"/>
                <w:noProof/>
                <w:sz w:val="20"/>
                <w:szCs w:val="20"/>
              </w:rPr>
            </w:pPr>
            <w:r>
              <w:rPr>
                <w:noProof/>
                <w:sz w:val="20"/>
              </w:rPr>
              <w:t>Увеличаване на количеството на рибата и рибните продукти, които се предлагат на пазара, с 30 %</w:t>
            </w:r>
          </w:p>
        </w:tc>
        <w:tc>
          <w:tcPr>
            <w:tcW w:w="2182"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Увеличаване на съотношението добавена стойност/БВП на 6 % </w:t>
            </w:r>
          </w:p>
          <w:p>
            <w:pPr>
              <w:spacing w:before="40" w:after="40"/>
              <w:jc w:val="left"/>
              <w:rPr>
                <w:rFonts w:eastAsia="Times New Roman"/>
                <w:noProof/>
                <w:sz w:val="20"/>
                <w:szCs w:val="20"/>
              </w:rPr>
            </w:pPr>
            <w:r>
              <w:rPr>
                <w:noProof/>
                <w:sz w:val="20"/>
              </w:rPr>
              <w:t>Увеличаване на количеството на рибата и рибните продукти, които се предлагат на пазара, с 60 %</w:t>
            </w:r>
          </w:p>
        </w:tc>
        <w:tc>
          <w:tcPr>
            <w:tcW w:w="2183"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Увеличаване на съотношението добавена стойност/БВП на 13 % </w:t>
            </w:r>
          </w:p>
          <w:p>
            <w:pPr>
              <w:autoSpaceDE w:val="0"/>
              <w:autoSpaceDN w:val="0"/>
              <w:adjustRightInd w:val="0"/>
              <w:spacing w:before="40" w:after="40"/>
              <w:jc w:val="left"/>
              <w:rPr>
                <w:rFonts w:eastAsia="Times New Roman"/>
                <w:noProof/>
                <w:sz w:val="20"/>
                <w:szCs w:val="20"/>
              </w:rPr>
            </w:pPr>
            <w:r>
              <w:rPr>
                <w:noProof/>
                <w:sz w:val="20"/>
              </w:rPr>
              <w:t>Увеличаване на количеството на рибата и рибните продукти, които се предлагат на пазара, с 85 %</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Процентен дял на увеличението на добавената стойност на рибарството спрямо БВП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увеличението на количеството на рибата и рибните продукти, които са произведени и предлагани на пазара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броя на съществуващите обекти за продажба на риба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Увеличаване на броя на обезпечените пазари </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nil"/>
            </w:tcBorders>
          </w:tcPr>
          <w:p>
            <w:pPr>
              <w:spacing w:before="40" w:after="40"/>
              <w:jc w:val="left"/>
              <w:rPr>
                <w:rFonts w:eastAsia="Times New Roman"/>
                <w:noProof/>
                <w:sz w:val="20"/>
                <w:szCs w:val="20"/>
              </w:rPr>
            </w:pPr>
            <w:r>
              <w:rPr>
                <w:noProof/>
                <w:sz w:val="20"/>
              </w:rPr>
              <w:t>Развиване, осъвременяване и модернизиране на инфраструктурата в областта на рибарството и аквакултурите</w:t>
            </w:r>
          </w:p>
        </w:tc>
        <w:tc>
          <w:tcPr>
            <w:tcW w:w="2268" w:type="dxa"/>
            <w:tcBorders>
              <w:top w:val="single" w:sz="4" w:space="0" w:color="auto"/>
              <w:bottom w:val="single" w:sz="4" w:space="0" w:color="auto"/>
            </w:tcBorders>
          </w:tcPr>
          <w:p>
            <w:pPr>
              <w:numPr>
                <w:ilvl w:val="0"/>
                <w:numId w:val="29"/>
              </w:numPr>
              <w:spacing w:before="40" w:after="40"/>
              <w:ind w:hanging="196"/>
              <w:jc w:val="left"/>
              <w:rPr>
                <w:rFonts w:eastAsia="Times New Roman"/>
                <w:noProof/>
                <w:sz w:val="20"/>
                <w:szCs w:val="20"/>
              </w:rPr>
            </w:pPr>
            <w:r>
              <w:rPr>
                <w:noProof/>
                <w:sz w:val="20"/>
              </w:rPr>
              <w:t>Недостатъчно модерна инфраструктура в областта на рибарството</w:t>
            </w:r>
          </w:p>
        </w:tc>
        <w:tc>
          <w:tcPr>
            <w:tcW w:w="2126" w:type="dxa"/>
            <w:tcBorders>
              <w:top w:val="single" w:sz="4" w:space="0" w:color="auto"/>
              <w:bottom w:val="single" w:sz="4" w:space="0" w:color="auto"/>
            </w:tcBorders>
          </w:tcPr>
          <w:p>
            <w:pPr>
              <w:numPr>
                <w:ilvl w:val="0"/>
                <w:numId w:val="29"/>
              </w:numPr>
              <w:spacing w:before="40" w:after="40"/>
              <w:ind w:hanging="196"/>
              <w:jc w:val="left"/>
              <w:rPr>
                <w:rFonts w:eastAsia="Times New Roman"/>
                <w:noProof/>
                <w:sz w:val="20"/>
                <w:szCs w:val="20"/>
              </w:rPr>
            </w:pPr>
            <w:r>
              <w:rPr>
                <w:noProof/>
                <w:sz w:val="20"/>
              </w:rPr>
              <w:t>Осъвременяване и модернизиране на съществуващата инфраструктура в областта на рибарството, обработката и преработката на риба</w:t>
            </w:r>
          </w:p>
        </w:tc>
        <w:tc>
          <w:tcPr>
            <w:tcW w:w="2182" w:type="dxa"/>
            <w:tcBorders>
              <w:top w:val="single" w:sz="4" w:space="0" w:color="auto"/>
              <w:bottom w:val="single" w:sz="4" w:space="0" w:color="auto"/>
            </w:tcBorders>
          </w:tcPr>
          <w:p>
            <w:pPr>
              <w:tabs>
                <w:tab w:val="left" w:pos="0"/>
                <w:tab w:val="left" w:pos="34"/>
              </w:tabs>
              <w:autoSpaceDE w:val="0"/>
              <w:autoSpaceDN w:val="0"/>
              <w:adjustRightInd w:val="0"/>
              <w:spacing w:before="40" w:after="40"/>
              <w:ind w:left="34"/>
              <w:jc w:val="left"/>
              <w:rPr>
                <w:rFonts w:eastAsia="Times New Roman"/>
                <w:noProof/>
                <w:sz w:val="20"/>
                <w:szCs w:val="20"/>
              </w:rPr>
            </w:pPr>
            <w:r>
              <w:rPr>
                <w:noProof/>
                <w:sz w:val="20"/>
              </w:rPr>
              <w:t>Създаване и оборудване на нова модерна инфраструктура в областта на рибарството:</w:t>
            </w:r>
          </w:p>
          <w:p>
            <w:pPr>
              <w:numPr>
                <w:ilvl w:val="0"/>
                <w:numId w:val="29"/>
              </w:numPr>
              <w:autoSpaceDE w:val="0"/>
              <w:autoSpaceDN w:val="0"/>
              <w:adjustRightInd w:val="0"/>
              <w:spacing w:before="40" w:after="40"/>
              <w:ind w:left="196" w:hanging="304"/>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3 рибарски пристанища,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15 нови корабостроителници,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200 кея за разтоварване на риба,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30 нови рибни пазара,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15 рибопреработвателни предприятия и</w:t>
            </w:r>
          </w:p>
          <w:p>
            <w:pPr>
              <w:numPr>
                <w:ilvl w:val="0"/>
                <w:numId w:val="29"/>
              </w:numPr>
              <w:tabs>
                <w:tab w:val="left" w:pos="176"/>
              </w:tabs>
              <w:autoSpaceDE w:val="0"/>
              <w:autoSpaceDN w:val="0"/>
              <w:adjustRightInd w:val="0"/>
              <w:spacing w:before="40" w:after="40"/>
              <w:ind w:left="196" w:hanging="196"/>
              <w:jc w:val="left"/>
              <w:rPr>
                <w:rFonts w:eastAsia="Times New Roman"/>
                <w:noProof/>
                <w:sz w:val="20"/>
                <w:szCs w:val="20"/>
              </w:rPr>
            </w:pPr>
            <w:r>
              <w:rPr>
                <w:noProof/>
                <w:sz w:val="20"/>
              </w:rPr>
              <w:t>300 съоръжения за поддържане на верига на охлаждане</w:t>
            </w:r>
          </w:p>
          <w:p>
            <w:pPr>
              <w:tabs>
                <w:tab w:val="left" w:pos="176"/>
              </w:tabs>
              <w:autoSpaceDE w:val="0"/>
              <w:autoSpaceDN w:val="0"/>
              <w:adjustRightInd w:val="0"/>
              <w:spacing w:before="40" w:after="40"/>
              <w:jc w:val="left"/>
              <w:rPr>
                <w:rFonts w:eastAsia="Times New Roman"/>
                <w:noProof/>
                <w:sz w:val="20"/>
                <w:szCs w:val="20"/>
              </w:rPr>
            </w:pPr>
          </w:p>
          <w:p>
            <w:pPr>
              <w:tabs>
                <w:tab w:val="left" w:pos="743"/>
              </w:tabs>
              <w:autoSpaceDE w:val="0"/>
              <w:autoSpaceDN w:val="0"/>
              <w:adjustRightInd w:val="0"/>
              <w:spacing w:before="40" w:after="40"/>
              <w:jc w:val="left"/>
              <w:rPr>
                <w:rFonts w:eastAsia="Times New Roman"/>
                <w:noProof/>
                <w:sz w:val="20"/>
                <w:szCs w:val="20"/>
              </w:rPr>
            </w:pPr>
            <w:r>
              <w:rPr>
                <w:noProof/>
                <w:sz w:val="20"/>
              </w:rPr>
              <w:t>Увеличаване с 40 % на риболова във вътрешните водни басейни и на дълбоководния риболов</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с 60 % на риболова във вътрешните водни басейни и на дълбоководния риболов</w:t>
            </w:r>
          </w:p>
          <w:p>
            <w:pPr>
              <w:numPr>
                <w:ilvl w:val="0"/>
                <w:numId w:val="29"/>
              </w:numPr>
              <w:autoSpaceDE w:val="0"/>
              <w:autoSpaceDN w:val="0"/>
              <w:adjustRightInd w:val="0"/>
              <w:spacing w:before="40" w:after="40"/>
              <w:ind w:hanging="196"/>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5 нови рибарски пристанища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25 нови корабостроителници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400 кея за разтоварване на риба</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rPr>
            </w:pPr>
            <w:r>
              <w:rPr>
                <w:noProof/>
                <w:sz w:val="20"/>
              </w:rPr>
              <w:t xml:space="preserve">60 нови рибни пазара </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rPr>
            </w:pPr>
            <w:r>
              <w:rPr>
                <w:noProof/>
                <w:sz w:val="20"/>
              </w:rPr>
              <w:t xml:space="preserve">40 рибопреработвателни предприятия </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rPr>
            </w:pPr>
            <w:r>
              <w:rPr>
                <w:noProof/>
                <w:sz w:val="20"/>
              </w:rPr>
              <w:t xml:space="preserve">500 съоръжения за поддържане на верига на охлаждане </w:t>
            </w:r>
          </w:p>
          <w:p>
            <w:pPr>
              <w:tabs>
                <w:tab w:val="left" w:pos="185"/>
              </w:tabs>
              <w:autoSpaceDE w:val="0"/>
              <w:autoSpaceDN w:val="0"/>
              <w:adjustRightInd w:val="0"/>
              <w:spacing w:before="40" w:after="40"/>
              <w:ind w:left="196"/>
              <w:jc w:val="left"/>
              <w:rPr>
                <w:rFonts w:eastAsia="Times New Roman"/>
                <w:noProof/>
                <w:sz w:val="20"/>
                <w:szCs w:val="20"/>
              </w:rPr>
            </w:pPr>
          </w:p>
          <w:p>
            <w:pPr>
              <w:tabs>
                <w:tab w:val="left" w:pos="185"/>
              </w:tabs>
              <w:autoSpaceDE w:val="0"/>
              <w:autoSpaceDN w:val="0"/>
              <w:adjustRightInd w:val="0"/>
              <w:spacing w:before="40" w:after="40"/>
              <w:ind w:left="196"/>
              <w:jc w:val="left"/>
              <w:rPr>
                <w:rFonts w:eastAsia="Times New Roman"/>
                <w:noProof/>
                <w:sz w:val="20"/>
                <w:szCs w:val="20"/>
              </w:rPr>
            </w:pP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Осъвременяване и модернизиране на съществуващата инфраструктура за обработка и преработка на риба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изградените нови рибарски пристанища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изградените нови кейове за разтоварване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Увеличаване на броя на разрешенията за риболов във вътрешните водни басейни и на разрешенията за дълбоководен риболов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Увеличаване на броя на съоръженията за поддържане на верига на охлаждане </w:t>
            </w:r>
          </w:p>
          <w:p>
            <w:pPr>
              <w:numPr>
                <w:ilvl w:val="0"/>
                <w:numId w:val="29"/>
              </w:numPr>
              <w:suppressAutoHyphens/>
              <w:autoSpaceDE w:val="0"/>
              <w:autoSpaceDN w:val="0"/>
              <w:adjustRightInd w:val="0"/>
              <w:spacing w:before="40" w:after="40"/>
              <w:ind w:left="196" w:hanging="196"/>
              <w:jc w:val="left"/>
              <w:rPr>
                <w:rFonts w:eastAsia="Times New Roman"/>
                <w:noProof/>
                <w:sz w:val="20"/>
                <w:szCs w:val="20"/>
              </w:rPr>
            </w:pPr>
            <w:r>
              <w:rPr>
                <w:noProof/>
                <w:sz w:val="20"/>
              </w:rPr>
              <w:t xml:space="preserve">Увеличаване на броя и вида на рибата и диверсифицираните рибни продукти с добавена стойност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закупените модерни риболовни кораби</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single" w:sz="4" w:space="0" w:color="auto"/>
            </w:tcBorders>
          </w:tcPr>
          <w:p>
            <w:pPr>
              <w:spacing w:before="40" w:after="40"/>
              <w:jc w:val="left"/>
              <w:rPr>
                <w:rFonts w:eastAsia="Times New Roman"/>
                <w:noProof/>
                <w:sz w:val="20"/>
                <w:szCs w:val="20"/>
              </w:rPr>
            </w:pP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Недостатъчно модерна инфраструктура в областта на аквакултурите</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Осъвременяване и модернизиране на съществуващите акваферми, люпилни и центрове за разплод на аквакултури с цел увеличаване на производството на аквакултури с 10 %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Въвеждане на подходящи технологии в областта на аквакултурите</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Модернизиране на съществуващите акваферми, люпилни и центрове за разплод на аквакултури с цел увеличаване на производството на аквакултури с 20 %</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производството на аквакултури до 30 % от производството на риба</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Брой на изградените нови акваферми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Брой на изградените нови люпилни и центрове за разплод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съществуващите акваферми, люпилни и центрове за разплод на аквакултури, които са обновени и модернизирани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Разработване и въвеждане на подходящи технологии в областта на аквакултурите</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nil"/>
            </w:tcBorders>
          </w:tcPr>
          <w:p>
            <w:pPr>
              <w:autoSpaceDE w:val="0"/>
              <w:autoSpaceDN w:val="0"/>
              <w:adjustRightInd w:val="0"/>
              <w:spacing w:before="40" w:after="40"/>
              <w:jc w:val="left"/>
              <w:rPr>
                <w:rFonts w:eastAsia="Times New Roman"/>
                <w:noProof/>
                <w:sz w:val="20"/>
                <w:szCs w:val="20"/>
              </w:rPr>
            </w:pPr>
            <w:r>
              <w:rPr>
                <w:noProof/>
                <w:sz w:val="20"/>
              </w:rPr>
              <w:t>Осигуряване на ефективно управление, опазване и съхранение на рибните ресурси</w:t>
            </w:r>
          </w:p>
        </w:tc>
        <w:tc>
          <w:tcPr>
            <w:tcW w:w="2268" w:type="dxa"/>
            <w:vMerge w:val="restart"/>
            <w:tcBorders>
              <w:top w:val="single" w:sz="4" w:space="0" w:color="auto"/>
            </w:tcBorders>
          </w:tcPr>
          <w:p>
            <w:pPr>
              <w:autoSpaceDE w:val="0"/>
              <w:autoSpaceDN w:val="0"/>
              <w:adjustRightInd w:val="0"/>
              <w:spacing w:before="40" w:after="40"/>
              <w:jc w:val="left"/>
              <w:rPr>
                <w:rFonts w:eastAsia="Times New Roman"/>
                <w:noProof/>
                <w:sz w:val="20"/>
                <w:szCs w:val="20"/>
              </w:rPr>
            </w:pPr>
            <w:r>
              <w:rPr>
                <w:noProof/>
                <w:sz w:val="20"/>
              </w:rPr>
              <w:t>Ограничени данни за потенциала на рибните запаси и недостатъчна информация в областта на рибарството</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c>
          <w:tcPr>
            <w:tcW w:w="2126" w:type="dxa"/>
            <w:vMerge w:val="restart"/>
            <w:tcBorders>
              <w:top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Разработване на политическа, законодателна и регулаторна рамка за обмен на информация в областта на рибарството </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r>
              <w:rPr>
                <w:noProof/>
                <w:sz w:val="20"/>
              </w:rPr>
              <w:t>Определяне на потенциала на рибните запаси в крайбрежните води и големите езера</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c>
          <w:tcPr>
            <w:tcW w:w="2182" w:type="dxa"/>
            <w:vMerge w:val="restart"/>
            <w:tcBorders>
              <w:top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Закупуване на съоръжения за събиране на данни, тяхната обработка и разпространение </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r>
              <w:rPr>
                <w:noProof/>
                <w:sz w:val="20"/>
              </w:rPr>
              <w:t>Определяне на потенциала на рибните запаси в териториалните води и водите на изключителните икономически зони</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c>
          <w:tcPr>
            <w:tcW w:w="2183" w:type="dxa"/>
            <w:vMerge w:val="restart"/>
            <w:tcBorders>
              <w:top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Въвеждане на надеждна, действаща и всеобхватна база данни в областта на рибарството и система за управление на информацията </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r>
              <w:rPr>
                <w:noProof/>
                <w:sz w:val="20"/>
              </w:rPr>
              <w:t>Определяне на потенциала на рибните запаси в морските и вътрешните водни басейни.</w:t>
            </w:r>
          </w:p>
          <w:p>
            <w:pPr>
              <w:autoSpaceDE w:val="0"/>
              <w:autoSpaceDN w:val="0"/>
              <w:adjustRightInd w:val="0"/>
              <w:spacing w:before="40" w:after="40"/>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p>
        </w:tc>
        <w:tc>
          <w:tcPr>
            <w:tcW w:w="2551" w:type="dxa"/>
            <w:vMerge w:val="restart"/>
            <w:tcBorders>
              <w:top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Функционираща информационна система в областта на рибарството</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Създадена и действаща база данни в областта на рибарството</w:t>
            </w:r>
          </w:p>
          <w:p>
            <w:pPr>
              <w:numPr>
                <w:ilvl w:val="0"/>
                <w:numId w:val="35"/>
              </w:numPr>
              <w:autoSpaceDE w:val="0"/>
              <w:autoSpaceDN w:val="0"/>
              <w:adjustRightInd w:val="0"/>
              <w:spacing w:before="40" w:after="40"/>
              <w:jc w:val="left"/>
              <w:rPr>
                <w:rFonts w:eastAsia="Times New Roman"/>
                <w:noProof/>
                <w:sz w:val="20"/>
                <w:szCs w:val="20"/>
              </w:rPr>
            </w:pPr>
            <w:r>
              <w:rPr>
                <w:noProof/>
                <w:sz w:val="20"/>
              </w:rPr>
              <w:t>Брой и вид на набавеното оборудване Брой на изготвените и разпространени публикации</w:t>
            </w:r>
          </w:p>
          <w:p>
            <w:pPr>
              <w:numPr>
                <w:ilvl w:val="0"/>
                <w:numId w:val="35"/>
              </w:numPr>
              <w:autoSpaceDE w:val="0"/>
              <w:autoSpaceDN w:val="0"/>
              <w:adjustRightInd w:val="0"/>
              <w:spacing w:before="40" w:after="40"/>
              <w:jc w:val="left"/>
              <w:rPr>
                <w:rFonts w:eastAsia="Times New Roman"/>
                <w:noProof/>
                <w:sz w:val="20"/>
                <w:szCs w:val="20"/>
              </w:rPr>
            </w:pPr>
            <w:r>
              <w:rPr>
                <w:noProof/>
                <w:sz w:val="20"/>
              </w:rPr>
              <w:t>Брой на водните басейни, чийто потенциал на рибните запаси е известен</w:t>
            </w:r>
          </w:p>
          <w:p>
            <w:pPr>
              <w:autoSpaceDE w:val="0"/>
              <w:autoSpaceDN w:val="0"/>
              <w:adjustRightInd w:val="0"/>
              <w:spacing w:before="40" w:after="40"/>
              <w:ind w:left="196"/>
              <w:jc w:val="left"/>
              <w:rPr>
                <w:rFonts w:eastAsia="Times New Roman"/>
                <w:noProof/>
                <w:sz w:val="20"/>
                <w:szCs w:val="20"/>
              </w:rPr>
            </w:pP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nil"/>
            </w:tcBorders>
          </w:tcPr>
          <w:p>
            <w:pPr>
              <w:autoSpaceDE w:val="0"/>
              <w:autoSpaceDN w:val="0"/>
              <w:adjustRightInd w:val="0"/>
              <w:spacing w:before="40" w:after="40"/>
              <w:jc w:val="left"/>
              <w:rPr>
                <w:rFonts w:eastAsia="Times New Roman"/>
                <w:noProof/>
                <w:sz w:val="20"/>
                <w:szCs w:val="20"/>
              </w:rPr>
            </w:pPr>
          </w:p>
        </w:tc>
        <w:tc>
          <w:tcPr>
            <w:tcW w:w="2268" w:type="dxa"/>
            <w:vMerge/>
            <w:tcBorders>
              <w:bottom w:val="single" w:sz="4" w:space="0" w:color="auto"/>
            </w:tcBorders>
          </w:tcPr>
          <w:p>
            <w:pPr>
              <w:autoSpaceDE w:val="0"/>
              <w:autoSpaceDN w:val="0"/>
              <w:adjustRightInd w:val="0"/>
              <w:spacing w:before="40" w:after="40"/>
              <w:jc w:val="left"/>
              <w:rPr>
                <w:rFonts w:eastAsia="Times New Roman"/>
                <w:noProof/>
                <w:sz w:val="20"/>
                <w:szCs w:val="20"/>
              </w:rPr>
            </w:pPr>
          </w:p>
        </w:tc>
        <w:tc>
          <w:tcPr>
            <w:tcW w:w="2126" w:type="dxa"/>
            <w:vMerge/>
            <w:tcBorders>
              <w:bottom w:val="single" w:sz="4" w:space="0" w:color="auto"/>
            </w:tcBorders>
          </w:tcPr>
          <w:p>
            <w:pPr>
              <w:autoSpaceDE w:val="0"/>
              <w:autoSpaceDN w:val="0"/>
              <w:adjustRightInd w:val="0"/>
              <w:spacing w:before="40" w:after="40"/>
              <w:jc w:val="left"/>
              <w:rPr>
                <w:rFonts w:eastAsia="Times New Roman"/>
                <w:noProof/>
                <w:sz w:val="20"/>
                <w:szCs w:val="20"/>
              </w:rPr>
            </w:pPr>
          </w:p>
        </w:tc>
        <w:tc>
          <w:tcPr>
            <w:tcW w:w="2182" w:type="dxa"/>
            <w:vMerge/>
            <w:tcBorders>
              <w:bottom w:val="single" w:sz="4" w:space="0" w:color="auto"/>
            </w:tcBorders>
          </w:tcPr>
          <w:p>
            <w:pPr>
              <w:autoSpaceDE w:val="0"/>
              <w:autoSpaceDN w:val="0"/>
              <w:adjustRightInd w:val="0"/>
              <w:spacing w:before="40" w:after="40"/>
              <w:jc w:val="left"/>
              <w:rPr>
                <w:rFonts w:eastAsia="Times New Roman"/>
                <w:noProof/>
                <w:sz w:val="20"/>
                <w:szCs w:val="20"/>
              </w:rPr>
            </w:pPr>
          </w:p>
        </w:tc>
        <w:tc>
          <w:tcPr>
            <w:tcW w:w="2183" w:type="dxa"/>
            <w:vMerge/>
            <w:tcBorders>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p>
        </w:tc>
        <w:tc>
          <w:tcPr>
            <w:tcW w:w="2551" w:type="dxa"/>
            <w:vMerge/>
            <w:tcBorders>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p>
        </w:tc>
      </w:tr>
      <w:t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24" w:space="0" w:color="000000"/>
            </w:tcBorders>
          </w:tcPr>
          <w:p>
            <w:pPr>
              <w:autoSpaceDE w:val="0"/>
              <w:autoSpaceDN w:val="0"/>
              <w:adjustRightInd w:val="0"/>
              <w:spacing w:before="40" w:after="40"/>
              <w:jc w:val="left"/>
              <w:rPr>
                <w:rFonts w:eastAsia="Times New Roman"/>
                <w:noProof/>
                <w:sz w:val="20"/>
                <w:szCs w:val="20"/>
              </w:rPr>
            </w:pPr>
          </w:p>
        </w:tc>
        <w:tc>
          <w:tcPr>
            <w:tcW w:w="2268"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rPr>
            </w:pPr>
            <w:r>
              <w:rPr>
                <w:noProof/>
                <w:sz w:val="20"/>
              </w:rPr>
              <w:t>Наличие на информация за незаконни риболовни практики и търговия</w:t>
            </w:r>
          </w:p>
        </w:tc>
        <w:tc>
          <w:tcPr>
            <w:tcW w:w="2126"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rPr>
            </w:pPr>
            <w:r>
              <w:rPr>
                <w:noProof/>
                <w:sz w:val="20"/>
              </w:rPr>
              <w:t xml:space="preserve">Създаване на система за наблюдение, контрол и надзор в региона </w:t>
            </w:r>
          </w:p>
        </w:tc>
        <w:tc>
          <w:tcPr>
            <w:tcW w:w="2182"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rPr>
            </w:pPr>
            <w:r>
              <w:rPr>
                <w:noProof/>
                <w:sz w:val="20"/>
              </w:rPr>
              <w:t>Наличие на действащи регионални системи за наблюдение, контрол и надзор</w:t>
            </w:r>
          </w:p>
        </w:tc>
        <w:tc>
          <w:tcPr>
            <w:tcW w:w="2183"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Защита и опазване на местообитанията от критично значение и водното биологично разнообразие</w:t>
            </w:r>
          </w:p>
        </w:tc>
        <w:tc>
          <w:tcPr>
            <w:tcW w:w="2551" w:type="dxa"/>
            <w:tcBorders>
              <w:top w:val="single" w:sz="4" w:space="0" w:color="auto"/>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намаление на незаконните риболовни и търговски практики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местообитанията от критично значение, при които е отбелязано подобрение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и вид на съхранените застрашени рибни видове и рибни видове в опасност</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и вид на набавеното оборудване за наблюдение, контрол и надзор</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водното биологично разнообразие</w:t>
            </w:r>
          </w:p>
          <w:p>
            <w:pPr>
              <w:autoSpaceDE w:val="0"/>
              <w:autoSpaceDN w:val="0"/>
              <w:adjustRightInd w:val="0"/>
              <w:spacing w:before="40" w:after="40"/>
              <w:ind w:left="196"/>
              <w:jc w:val="left"/>
              <w:rPr>
                <w:rFonts w:eastAsia="Times New Roman"/>
                <w:noProof/>
                <w:sz w:val="20"/>
                <w:szCs w:val="20"/>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vAlign w:val="center"/>
          </w:tcPr>
          <w:p>
            <w:pPr>
              <w:numPr>
                <w:ilvl w:val="0"/>
                <w:numId w:val="30"/>
              </w:numPr>
              <w:spacing w:before="40" w:after="40"/>
              <w:jc w:val="left"/>
              <w:rPr>
                <w:rFonts w:eastAsia="Times New Roman"/>
                <w:b/>
                <w:bCs/>
                <w:noProof/>
                <w:sz w:val="20"/>
                <w:szCs w:val="20"/>
                <w:u w:val="single"/>
              </w:rPr>
            </w:pPr>
            <w:r>
              <w:rPr>
                <w:b/>
                <w:noProof/>
                <w:sz w:val="20"/>
                <w:u w:val="single"/>
              </w:rPr>
              <w:t xml:space="preserve">УПРАВЛЕНИЕ НА ВОДНИТЕ РЕСУРСИ </w:t>
            </w:r>
          </w:p>
        </w:tc>
      </w:tr>
      <w:tr>
        <w:tc>
          <w:tcPr>
            <w:tcW w:w="2269" w:type="dxa"/>
            <w:tcBorders>
              <w:top w:val="nil"/>
              <w:left w:val="single" w:sz="24" w:space="0" w:color="000000"/>
              <w:bottom w:val="nil"/>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Водни ресурси</w:t>
            </w:r>
          </w:p>
        </w:tc>
        <w:tc>
          <w:tcPr>
            <w:tcW w:w="2126" w:type="dxa"/>
            <w:tcBorders>
              <w:top w:val="nil"/>
              <w:bottom w:val="single" w:sz="4" w:space="0" w:color="auto"/>
            </w:tcBorders>
          </w:tcPr>
          <w:p>
            <w:pPr>
              <w:spacing w:before="40" w:after="40"/>
              <w:jc w:val="left"/>
              <w:rPr>
                <w:rFonts w:eastAsia="Times New Roman"/>
                <w:noProof/>
                <w:sz w:val="20"/>
                <w:szCs w:val="20"/>
              </w:rPr>
            </w:pPr>
            <w:r>
              <w:rPr>
                <w:noProof/>
                <w:sz w:val="20"/>
              </w:rPr>
              <w:t xml:space="preserve">Осигуряване на устойчиво използване и управление на водните ресурси в региона </w:t>
            </w:r>
          </w:p>
          <w:p>
            <w:pPr>
              <w:spacing w:before="40" w:after="40"/>
              <w:jc w:val="left"/>
              <w:rPr>
                <w:rFonts w:eastAsia="Times New Roman"/>
                <w:noProof/>
                <w:sz w:val="20"/>
                <w:szCs w:val="20"/>
              </w:rPr>
            </w:pPr>
          </w:p>
        </w:tc>
        <w:tc>
          <w:tcPr>
            <w:tcW w:w="2268" w:type="dxa"/>
            <w:tcBorders>
              <w:top w:val="nil"/>
              <w:bottom w:val="single" w:sz="4" w:space="0" w:color="auto"/>
            </w:tcBorders>
          </w:tcPr>
          <w:p>
            <w:pPr>
              <w:spacing w:before="40" w:after="40"/>
              <w:jc w:val="left"/>
              <w:rPr>
                <w:rFonts w:eastAsia="Calibri"/>
                <w:noProof/>
                <w:sz w:val="20"/>
                <w:szCs w:val="20"/>
              </w:rPr>
            </w:pPr>
            <w:r>
              <w:rPr>
                <w:noProof/>
                <w:sz w:val="20"/>
              </w:rPr>
              <w:t>Използването на водата за селскостопански цели в ИАО е слабо разпространено</w:t>
            </w:r>
          </w:p>
        </w:tc>
        <w:tc>
          <w:tcPr>
            <w:tcW w:w="2126" w:type="dxa"/>
            <w:tcBorders>
              <w:top w:val="nil"/>
              <w:bottom w:val="single" w:sz="4" w:space="0" w:color="auto"/>
            </w:tcBorders>
          </w:tcPr>
          <w:p>
            <w:pPr>
              <w:tabs>
                <w:tab w:val="left" w:pos="1530"/>
              </w:tabs>
              <w:suppressAutoHyphens/>
              <w:autoSpaceDE w:val="0"/>
              <w:spacing w:before="40" w:after="40"/>
              <w:jc w:val="left"/>
              <w:rPr>
                <w:rFonts w:eastAsia="Times New Roman"/>
                <w:noProof/>
                <w:sz w:val="20"/>
                <w:szCs w:val="20"/>
              </w:rPr>
            </w:pPr>
            <w:r>
              <w:rPr>
                <w:noProof/>
                <w:sz w:val="20"/>
              </w:rPr>
              <w:t xml:space="preserve">Разработване на политическа, законодателна и регулаторна рамка </w:t>
            </w:r>
          </w:p>
        </w:tc>
        <w:tc>
          <w:tcPr>
            <w:tcW w:w="2182" w:type="dxa"/>
            <w:tcBorders>
              <w:top w:val="nil"/>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Развиване на инстуционалната рамка с цел изграждане на капацитет </w:t>
            </w:r>
          </w:p>
        </w:tc>
        <w:tc>
          <w:tcPr>
            <w:tcW w:w="2183" w:type="dxa"/>
            <w:tcBorders>
              <w:top w:val="nil"/>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Укрепване на устойчивото използване и управление на водните ресурси</w:t>
            </w:r>
          </w:p>
        </w:tc>
        <w:tc>
          <w:tcPr>
            <w:tcW w:w="2551" w:type="dxa"/>
            <w:tcBorders>
              <w:top w:val="nil"/>
              <w:bottom w:val="single" w:sz="4" w:space="0" w:color="auto"/>
              <w:right w:val="single" w:sz="24" w:space="0" w:color="000000"/>
            </w:tcBorders>
          </w:tcPr>
          <w:p>
            <w:pPr>
              <w:spacing w:before="40" w:after="40"/>
              <w:ind w:left="21"/>
              <w:jc w:val="left"/>
              <w:rPr>
                <w:rFonts w:eastAsia="Times New Roman"/>
                <w:noProof/>
                <w:sz w:val="20"/>
                <w:szCs w:val="20"/>
              </w:rPr>
            </w:pPr>
            <w:r>
              <w:rPr>
                <w:noProof/>
                <w:sz w:val="20"/>
              </w:rPr>
              <w:t>Въвеждане на политическа, законодателна, регулаторна и институционална рамка</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Развиване на водоснабдителната инфраструктура, използвана за напояване и за други производствени цели</w:t>
            </w:r>
          </w:p>
          <w:p>
            <w:pPr>
              <w:spacing w:before="40" w:after="40"/>
              <w:jc w:val="left"/>
              <w:rPr>
                <w:rFonts w:eastAsia="Times New Roman"/>
                <w:noProof/>
                <w:sz w:val="20"/>
                <w:szCs w:val="20"/>
              </w:rPr>
            </w:pPr>
          </w:p>
        </w:tc>
        <w:tc>
          <w:tcPr>
            <w:tcW w:w="2268"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Водоснабдителната инфраструктура в региона на ИАО, използвана за напояване, е слаборазвита</w:t>
            </w:r>
          </w:p>
        </w:tc>
        <w:tc>
          <w:tcPr>
            <w:tcW w:w="2126" w:type="dxa"/>
            <w:tcBorders>
              <w:top w:val="single" w:sz="4" w:space="0" w:color="auto"/>
              <w:bottom w:val="single" w:sz="4" w:space="0" w:color="auto"/>
            </w:tcBorders>
          </w:tcPr>
          <w:p>
            <w:pPr>
              <w:numPr>
                <w:ilvl w:val="0"/>
                <w:numId w:val="32"/>
              </w:numPr>
              <w:suppressAutoHyphens/>
              <w:autoSpaceDE w:val="0"/>
              <w:spacing w:before="40" w:after="40" w:line="276" w:lineRule="auto"/>
              <w:ind w:left="176" w:right="143" w:hanging="176"/>
              <w:jc w:val="left"/>
              <w:rPr>
                <w:rFonts w:eastAsia="Times New Roman"/>
                <w:noProof/>
                <w:sz w:val="20"/>
                <w:szCs w:val="20"/>
              </w:rPr>
            </w:pPr>
            <w:r>
              <w:rPr>
                <w:noProof/>
                <w:sz w:val="20"/>
              </w:rPr>
              <w:t>Предприемане на проучвания за осъществимост, проектиране и възлагане на обществена поръчка за изграждане на водоснабдителна инфраструктура</w:t>
            </w:r>
          </w:p>
        </w:tc>
        <w:tc>
          <w:tcPr>
            <w:tcW w:w="2182"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r>
              <w:rPr>
                <w:noProof/>
                <w:sz w:val="20"/>
              </w:rPr>
              <w:t>Изграждане и въвеждане на поне 5 схеми за водоснабдяване</w:t>
            </w:r>
          </w:p>
        </w:tc>
        <w:tc>
          <w:tcPr>
            <w:tcW w:w="2183" w:type="dxa"/>
            <w:tcBorders>
              <w:top w:val="single" w:sz="4" w:space="0" w:color="auto"/>
              <w:bottom w:val="single" w:sz="4" w:space="0" w:color="auto"/>
            </w:tcBorders>
          </w:tcPr>
          <w:p>
            <w:pPr>
              <w:autoSpaceDE w:val="0"/>
              <w:autoSpaceDN w:val="0"/>
              <w:adjustRightInd w:val="0"/>
              <w:spacing w:before="40" w:after="40"/>
              <w:ind w:right="114" w:hanging="720"/>
              <w:jc w:val="left"/>
              <w:rPr>
                <w:rFonts w:eastAsia="Times New Roman"/>
                <w:noProof/>
                <w:sz w:val="20"/>
                <w:szCs w:val="20"/>
              </w:rPr>
            </w:pPr>
          </w:p>
          <w:p>
            <w:pPr>
              <w:numPr>
                <w:ilvl w:val="0"/>
                <w:numId w:val="33"/>
              </w:numPr>
              <w:autoSpaceDE w:val="0"/>
              <w:autoSpaceDN w:val="0"/>
              <w:adjustRightInd w:val="0"/>
              <w:spacing w:before="40" w:after="40"/>
              <w:ind w:left="152" w:right="114" w:hanging="152"/>
              <w:jc w:val="left"/>
              <w:rPr>
                <w:rFonts w:eastAsia="Times New Roman"/>
                <w:noProof/>
                <w:sz w:val="20"/>
                <w:szCs w:val="20"/>
              </w:rPr>
            </w:pPr>
            <w:r>
              <w:rPr>
                <w:noProof/>
                <w:sz w:val="20"/>
              </w:rPr>
              <w:t>Изграждане и въвеждане на поне 10 схеми за водоснабдяване</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предприетите проучвания за осъществимост</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изградените и въведени в действие водоснабдителни инсталации</w:t>
            </w:r>
          </w:p>
        </w:tc>
      </w:tr>
      <w:tr>
        <w:trPr>
          <w:trHeight w:val="1533"/>
        </w:trP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24" w:space="0" w:color="000000"/>
            </w:tcBorders>
          </w:tcPr>
          <w:p>
            <w:pPr>
              <w:spacing w:before="40" w:after="40"/>
              <w:jc w:val="left"/>
              <w:rPr>
                <w:rFonts w:eastAsia="Times New Roman"/>
                <w:noProof/>
                <w:sz w:val="20"/>
                <w:szCs w:val="20"/>
              </w:rPr>
            </w:pPr>
            <w:r>
              <w:rPr>
                <w:noProof/>
                <w:sz w:val="20"/>
              </w:rPr>
              <w:t>Насърчаване на регионалното сътрудничество за устойчиво оползотворяване на трансграничните водни ресурси</w:t>
            </w:r>
          </w:p>
        </w:tc>
        <w:tc>
          <w:tcPr>
            <w:tcW w:w="2268" w:type="dxa"/>
            <w:tcBorders>
              <w:top w:val="single" w:sz="4" w:space="0" w:color="auto"/>
              <w:bottom w:val="single" w:sz="24" w:space="0" w:color="000000"/>
            </w:tcBorders>
          </w:tcPr>
          <w:p>
            <w:pPr>
              <w:spacing w:before="40" w:after="40"/>
              <w:jc w:val="left"/>
              <w:rPr>
                <w:rFonts w:eastAsia="Times New Roman"/>
                <w:noProof/>
                <w:sz w:val="20"/>
                <w:szCs w:val="20"/>
              </w:rPr>
            </w:pPr>
            <w:r>
              <w:rPr>
                <w:noProof/>
                <w:sz w:val="20"/>
              </w:rPr>
              <w:t xml:space="preserve">Установяване на регионално сътрудничество в рамките на ИАО при използването на общите водни ресурси </w:t>
            </w:r>
          </w:p>
        </w:tc>
        <w:tc>
          <w:tcPr>
            <w:tcW w:w="2126" w:type="dxa"/>
            <w:tcBorders>
              <w:top w:val="single" w:sz="4" w:space="0" w:color="auto"/>
              <w:bottom w:val="single" w:sz="24" w:space="0" w:color="000000"/>
            </w:tcBorders>
          </w:tcPr>
          <w:p>
            <w:pPr>
              <w:numPr>
                <w:ilvl w:val="0"/>
                <w:numId w:val="34"/>
              </w:numPr>
              <w:spacing w:before="40" w:after="40" w:line="276" w:lineRule="auto"/>
              <w:ind w:left="176" w:hanging="142"/>
              <w:jc w:val="left"/>
              <w:rPr>
                <w:rFonts w:eastAsia="Times New Roman"/>
                <w:noProof/>
                <w:sz w:val="20"/>
                <w:szCs w:val="20"/>
              </w:rPr>
            </w:pPr>
            <w:r>
              <w:rPr>
                <w:noProof/>
                <w:sz w:val="20"/>
              </w:rPr>
              <w:t>Преглед на политическата, законодателната и регулаторната рамка</w:t>
            </w:r>
          </w:p>
          <w:p>
            <w:pPr>
              <w:spacing w:before="40" w:after="40"/>
              <w:jc w:val="left"/>
              <w:rPr>
                <w:rFonts w:eastAsia="Times New Roman"/>
                <w:noProof/>
                <w:sz w:val="20"/>
                <w:szCs w:val="20"/>
              </w:rPr>
            </w:pPr>
          </w:p>
          <w:p>
            <w:pPr>
              <w:spacing w:before="40" w:after="40"/>
              <w:jc w:val="left"/>
              <w:rPr>
                <w:rFonts w:eastAsia="Times New Roman"/>
                <w:noProof/>
                <w:sz w:val="20"/>
                <w:szCs w:val="20"/>
              </w:rPr>
            </w:pPr>
          </w:p>
        </w:tc>
        <w:tc>
          <w:tcPr>
            <w:tcW w:w="2182" w:type="dxa"/>
            <w:tcBorders>
              <w:top w:val="single" w:sz="4" w:space="0" w:color="auto"/>
              <w:bottom w:val="single" w:sz="24" w:space="0" w:color="000000"/>
            </w:tcBorders>
          </w:tcPr>
          <w:p>
            <w:pPr>
              <w:numPr>
                <w:ilvl w:val="0"/>
                <w:numId w:val="34"/>
              </w:numPr>
              <w:spacing w:before="40" w:after="40" w:line="276" w:lineRule="auto"/>
              <w:ind w:left="176" w:hanging="142"/>
              <w:jc w:val="left"/>
              <w:rPr>
                <w:rFonts w:eastAsia="Times New Roman"/>
                <w:noProof/>
                <w:sz w:val="20"/>
                <w:szCs w:val="20"/>
              </w:rPr>
            </w:pPr>
            <w:r>
              <w:rPr>
                <w:noProof/>
                <w:sz w:val="20"/>
              </w:rPr>
              <w:t xml:space="preserve">Изграждане на капацитет въз основа на институционалната рамка </w:t>
            </w:r>
          </w:p>
        </w:tc>
        <w:tc>
          <w:tcPr>
            <w:tcW w:w="2183"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rPr>
            </w:pPr>
            <w:r>
              <w:rPr>
                <w:noProof/>
                <w:sz w:val="20"/>
              </w:rPr>
              <w:t>Въвеждане на действащи политики</w:t>
            </w:r>
          </w:p>
        </w:tc>
        <w:tc>
          <w:tcPr>
            <w:tcW w:w="2551" w:type="dxa"/>
            <w:tcBorders>
              <w:top w:val="single" w:sz="4" w:space="0" w:color="auto"/>
              <w:bottom w:val="single" w:sz="24" w:space="0" w:color="000000"/>
              <w:right w:val="single" w:sz="24" w:space="0" w:color="000000"/>
            </w:tcBorders>
          </w:tcPr>
          <w:p>
            <w:pPr>
              <w:spacing w:before="40" w:after="40"/>
              <w:ind w:left="21"/>
              <w:jc w:val="left"/>
              <w:rPr>
                <w:rFonts w:eastAsia="Calibri"/>
                <w:noProof/>
                <w:sz w:val="20"/>
                <w:szCs w:val="20"/>
              </w:rPr>
            </w:pPr>
            <w:r>
              <w:rPr>
                <w:noProof/>
                <w:sz w:val="20"/>
              </w:rPr>
              <w:t>Създаване и въвеждане на политическа, законодателна, регулаторна и институционална рамка</w:t>
            </w:r>
          </w:p>
        </w:tc>
      </w:tr>
      <w:tr>
        <w:tc>
          <w:tcPr>
            <w:tcW w:w="15705" w:type="dxa"/>
            <w:gridSpan w:val="7"/>
            <w:tcBorders>
              <w:top w:val="single" w:sz="24" w:space="0" w:color="000000"/>
              <w:left w:val="single" w:sz="24" w:space="0" w:color="000000"/>
              <w:bottom w:val="nil"/>
              <w:right w:val="single" w:sz="24" w:space="0" w:color="000000"/>
            </w:tcBorders>
            <w:shd w:val="clear" w:color="auto" w:fill="auto"/>
            <w:vAlign w:val="center"/>
          </w:tcPr>
          <w:p>
            <w:pPr>
              <w:numPr>
                <w:ilvl w:val="0"/>
                <w:numId w:val="30"/>
              </w:numPr>
              <w:spacing w:before="40" w:after="40"/>
              <w:jc w:val="left"/>
              <w:rPr>
                <w:rFonts w:eastAsia="Times New Roman"/>
                <w:b/>
                <w:noProof/>
                <w:sz w:val="20"/>
                <w:szCs w:val="20"/>
                <w:u w:val="single"/>
              </w:rPr>
            </w:pPr>
            <w:r>
              <w:rPr>
                <w:b/>
                <w:noProof/>
                <w:sz w:val="20"/>
                <w:u w:val="single"/>
              </w:rPr>
              <w:t>РАЗВИТИЕ НА ЧАСТНИЯ СЕКТОР</w:t>
            </w:r>
          </w:p>
        </w:tc>
      </w:tr>
      <w:tr>
        <w:trPr>
          <w:trHeight w:val="1848"/>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val="restart"/>
            <w:tcBorders>
              <w:top w:val="nil"/>
            </w:tcBorders>
          </w:tcPr>
          <w:p>
            <w:pPr>
              <w:spacing w:before="40" w:after="40"/>
              <w:jc w:val="left"/>
              <w:rPr>
                <w:rFonts w:eastAsia="Times New Roman"/>
                <w:noProof/>
                <w:sz w:val="20"/>
                <w:szCs w:val="20"/>
              </w:rPr>
            </w:pPr>
            <w:r>
              <w:rPr>
                <w:noProof/>
                <w:sz w:val="20"/>
              </w:rPr>
              <w:t>Засилване на развитието на частния сектор, инвестициите, конкурентоспособността и капацитета по отношение на предлагането</w:t>
            </w:r>
          </w:p>
        </w:tc>
        <w:tc>
          <w:tcPr>
            <w:tcW w:w="2268"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Стратегия за развитие на частния сектор в ИАО </w:t>
            </w: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Извършване на съответните реформи в институционалната, политическата, законодателната и регулаторната рамка</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броя на микропредприятията, малките и средните предприятия (в %), интегрирани в основните стопански дейности</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Увеличение на броя (в %) на дружествата в ИАО, които изнасят продукти, произведени в региона на ИАО, за пазара на ЕС</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Функциониращ кодекс за инвестициите в ИАО</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tcBorders>
              <w:bottom w:val="nil"/>
            </w:tcBorders>
          </w:tcPr>
          <w:p>
            <w:pPr>
              <w:spacing w:before="40" w:after="40"/>
              <w:jc w:val="left"/>
              <w:rPr>
                <w:rFonts w:eastAsia="Times New Roman"/>
                <w:noProof/>
                <w:sz w:val="20"/>
                <w:szCs w:val="20"/>
              </w:rPr>
            </w:pPr>
          </w:p>
        </w:tc>
        <w:tc>
          <w:tcPr>
            <w:tcW w:w="2268"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Модел на кодекс за инвестициите в ИАО</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Изграждане на капацитет за институционална подкрепа за развитие на частния сектор и насърчаване на инвестициите</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Въвеждане на нови видове промишленост и преобразуване на вече съществуващите</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преките чуждестранни инвестиции</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Засилено насърчаване на инвестициите и развитието на предприятия </w:t>
            </w:r>
          </w:p>
          <w:p>
            <w:pPr>
              <w:autoSpaceDE w:val="0"/>
              <w:autoSpaceDN w:val="0"/>
              <w:adjustRightInd w:val="0"/>
              <w:spacing w:before="40" w:after="40"/>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капацитета по отношение на предлагането, конкурентоспособността, диверсификацията и създаването на добавена стойност</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vMerge w:val="restart"/>
            <w:tcBorders>
              <w:top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Регионална политика в областта на конкуренцията</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Установяване на рамка за създаване и укрепване на партньорства, съвместни предприятия, връзки с подизпълнители, възлагане на дейности на външни изпълнители и връзки</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достъпа на частния сектор в ИАО до ресурси на финансови институции на ЕС като ЕИБ, Центъра за развитие на предприятията и Техническия център за аграрно и селско сътрудничество</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обема на износа и печалбите</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Политика и регулаторна рамка за публично-частно партньорство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преките чуждестранни инвестиции и процентно увеличение на партньорствата</w:t>
            </w:r>
          </w:p>
        </w:tc>
      </w:tr>
      <w:t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24" w:space="0" w:color="000000"/>
            </w:tcBorders>
          </w:tcPr>
          <w:p>
            <w:pPr>
              <w:spacing w:before="40" w:after="40"/>
              <w:jc w:val="left"/>
              <w:rPr>
                <w:rFonts w:eastAsia="Times New Roman"/>
                <w:noProof/>
                <w:sz w:val="20"/>
                <w:szCs w:val="20"/>
              </w:rPr>
            </w:pPr>
          </w:p>
        </w:tc>
        <w:tc>
          <w:tcPr>
            <w:tcW w:w="2268" w:type="dxa"/>
            <w:vMerge/>
            <w:tcBorders>
              <w:bottom w:val="single" w:sz="24" w:space="0" w:color="000000"/>
            </w:tcBorders>
          </w:tcPr>
          <w:p>
            <w:pPr>
              <w:spacing w:before="40" w:after="40"/>
              <w:jc w:val="left"/>
              <w:rPr>
                <w:rFonts w:eastAsia="Times New Roman"/>
                <w:noProof/>
                <w:sz w:val="20"/>
                <w:szCs w:val="20"/>
              </w:rPr>
            </w:pPr>
          </w:p>
        </w:tc>
        <w:tc>
          <w:tcPr>
            <w:tcW w:w="2126"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Създаване на подходящи административни структури, в т.ч. обслужване на едно гише, за подпомагане на инвестициите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Установяване на рамка за публично-частно партньорство в ИАО </w:t>
            </w:r>
          </w:p>
          <w:p>
            <w:pPr>
              <w:spacing w:before="40" w:after="40"/>
              <w:ind w:left="196" w:hanging="196"/>
              <w:jc w:val="left"/>
              <w:rPr>
                <w:rFonts w:eastAsia="Times New Roman"/>
                <w:noProof/>
                <w:sz w:val="20"/>
                <w:szCs w:val="20"/>
              </w:rPr>
            </w:pPr>
          </w:p>
        </w:tc>
        <w:tc>
          <w:tcPr>
            <w:tcW w:w="2182"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Достъп до кредити с приемливи условия при по-ниски лихвени проценти</w:t>
            </w:r>
          </w:p>
          <w:p>
            <w:pPr>
              <w:autoSpaceDE w:val="0"/>
              <w:autoSpaceDN w:val="0"/>
              <w:adjustRightInd w:val="0"/>
              <w:spacing w:before="40" w:after="40"/>
              <w:ind w:left="196" w:hanging="196"/>
              <w:jc w:val="left"/>
              <w:rPr>
                <w:rFonts w:eastAsia="Times New Roman"/>
                <w:noProof/>
                <w:sz w:val="20"/>
                <w:szCs w:val="20"/>
              </w:rPr>
            </w:pPr>
          </w:p>
        </w:tc>
        <w:tc>
          <w:tcPr>
            <w:tcW w:w="2183" w:type="dxa"/>
            <w:tcBorders>
              <w:top w:val="single" w:sz="4" w:space="0" w:color="auto"/>
              <w:bottom w:val="single" w:sz="24" w:space="0" w:color="000000"/>
            </w:tcBorders>
          </w:tcPr>
          <w:p>
            <w:pPr>
              <w:autoSpaceDE w:val="0"/>
              <w:autoSpaceDN w:val="0"/>
              <w:adjustRightInd w:val="0"/>
              <w:spacing w:before="40" w:after="40"/>
              <w:ind w:left="196" w:hanging="196"/>
              <w:jc w:val="left"/>
              <w:rPr>
                <w:rFonts w:eastAsia="Times New Roman"/>
                <w:noProof/>
                <w:sz w:val="20"/>
                <w:szCs w:val="20"/>
              </w:rPr>
            </w:pPr>
          </w:p>
        </w:tc>
        <w:tc>
          <w:tcPr>
            <w:tcW w:w="2551" w:type="dxa"/>
            <w:tcBorders>
              <w:top w:val="single" w:sz="4" w:space="0" w:color="auto"/>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на увеличение на годишните приходи от износ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инвестициите и финансирането на предприятия от финансови институции на ЕС</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Създаване на специални фондове, достъпни за частния сектор за финансиране на инвестиционни проекти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инвестициите на ЕС в ИАО</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оползотворяването на капацитета на дружествата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износа на ИАО за пазара на ЕС</w:t>
            </w:r>
          </w:p>
          <w:p>
            <w:pPr>
              <w:autoSpaceDE w:val="0"/>
              <w:autoSpaceDN w:val="0"/>
              <w:adjustRightInd w:val="0"/>
              <w:spacing w:before="40" w:after="40"/>
              <w:ind w:left="196"/>
              <w:jc w:val="left"/>
              <w:rPr>
                <w:rFonts w:eastAsia="Times New Roman"/>
                <w:noProof/>
                <w:sz w:val="20"/>
                <w:szCs w:val="20"/>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rPr>
            </w:pPr>
            <w:r>
              <w:rPr>
                <w:b/>
                <w:noProof/>
                <w:sz w:val="20"/>
                <w:u w:val="single"/>
              </w:rPr>
              <w:t>ВЪПРОСИ, СВЪРЗАНИ С ДОСТЪПА ДО ПАЗАРА</w:t>
            </w:r>
          </w:p>
        </w:tc>
      </w:tr>
      <w:tr>
        <w:tc>
          <w:tcPr>
            <w:tcW w:w="2269" w:type="dxa"/>
            <w:tcBorders>
              <w:top w:val="nil"/>
              <w:left w:val="single" w:sz="24" w:space="0" w:color="000000"/>
              <w:bottom w:val="nil"/>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 xml:space="preserve">Санитарни и фитосанитарни мерки, технически пречки пред търговията </w:t>
            </w:r>
          </w:p>
        </w:tc>
        <w:tc>
          <w:tcPr>
            <w:tcW w:w="2126" w:type="dxa"/>
            <w:tcBorders>
              <w:top w:val="nil"/>
              <w:bottom w:val="nil"/>
            </w:tcBorders>
          </w:tcPr>
          <w:p>
            <w:pPr>
              <w:autoSpaceDE w:val="0"/>
              <w:autoSpaceDN w:val="0"/>
              <w:adjustRightInd w:val="0"/>
              <w:spacing w:before="40" w:after="40"/>
              <w:jc w:val="left"/>
              <w:rPr>
                <w:rFonts w:eastAsia="Times New Roman"/>
                <w:noProof/>
                <w:sz w:val="20"/>
                <w:szCs w:val="20"/>
              </w:rPr>
            </w:pPr>
            <w:r>
              <w:rPr>
                <w:noProof/>
                <w:sz w:val="20"/>
              </w:rPr>
              <w:t xml:space="preserve">Изграждане на капацитет за привеждане в съответствие със съответните търговски споразумения </w:t>
            </w:r>
          </w:p>
        </w:tc>
        <w:tc>
          <w:tcPr>
            <w:tcW w:w="2268" w:type="dxa"/>
            <w:tcBorders>
              <w:top w:val="nil"/>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Сключване на протокол за санитарните и фитосанитарните мерки в ИАО</w:t>
            </w: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Транспониране на протокола за санитарните и фитосанитарните мерки в ИАО и на мерките от всички държави партньори от ИАО</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Установяване на системи за идентифициране, регистриране и проследяване на селскостопанските продукти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дела на вътрешнорегионалната търговия в ИАО до 30 %</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Въвеждане на протокола за санитарните и фитосанитарните мерки в ИАО</w:t>
            </w:r>
          </w:p>
          <w:p>
            <w:pPr>
              <w:autoSpaceDE w:val="0"/>
              <w:autoSpaceDN w:val="0"/>
              <w:adjustRightInd w:val="0"/>
              <w:spacing w:before="40" w:after="40"/>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Увеличаване на дела на вътрешнорегионалната търговия в ИАО до 50 % </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Създаване на центрове за върхови постижения относно санитарните и фитосанитарните мерки в областта на безопасността на храните, здравето на растенията и животните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дела на вътрешнорегионалната търговия в ИАО до 80 %</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повишаване на безопасността на животните, растенията и храните чрез ефективни системи за предупреждение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на увеличение на дела на регионалната търговия в ИАО </w:t>
            </w:r>
          </w:p>
        </w:tc>
      </w:tr>
      <w:tr>
        <w:tc>
          <w:tcPr>
            <w:tcW w:w="2269" w:type="dxa"/>
            <w:tcBorders>
              <w:top w:val="nil"/>
              <w:left w:val="single" w:sz="24" w:space="0" w:color="000000"/>
              <w:bottom w:val="single" w:sz="4" w:space="0" w:color="000000"/>
            </w:tcBorders>
            <w:shd w:val="clear" w:color="auto" w:fill="auto"/>
          </w:tcPr>
          <w:p>
            <w:pPr>
              <w:autoSpaceDE w:val="0"/>
              <w:autoSpaceDN w:val="0"/>
              <w:adjustRightInd w:val="0"/>
              <w:spacing w:before="40" w:after="40"/>
              <w:jc w:val="left"/>
              <w:rPr>
                <w:rFonts w:eastAsia="Times New Roman"/>
                <w:noProof/>
                <w:sz w:val="20"/>
                <w:szCs w:val="20"/>
              </w:rPr>
            </w:pP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p>
        </w:tc>
        <w:tc>
          <w:tcPr>
            <w:tcW w:w="2268" w:type="dxa"/>
            <w:tcBorders>
              <w:top w:val="single" w:sz="4" w:space="0" w:color="auto"/>
              <w:bottom w:val="single" w:sz="4" w:space="0" w:color="000000"/>
            </w:tcBorders>
          </w:tcPr>
          <w:p>
            <w:pPr>
              <w:autoSpaceDE w:val="0"/>
              <w:autoSpaceDN w:val="0"/>
              <w:adjustRightInd w:val="0"/>
              <w:spacing w:before="40" w:after="40"/>
              <w:jc w:val="left"/>
              <w:rPr>
                <w:rFonts w:eastAsia="Times New Roman"/>
                <w:noProof/>
                <w:sz w:val="20"/>
                <w:szCs w:val="20"/>
              </w:rPr>
            </w:pPr>
            <w:r>
              <w:rPr>
                <w:noProof/>
                <w:sz w:val="20"/>
              </w:rPr>
              <w:t>Хармонизиране на 1500 (от 2500) стандарта на ИАО в съответствие с референтните международни стандарти</w:t>
            </w:r>
          </w:p>
        </w:tc>
        <w:tc>
          <w:tcPr>
            <w:tcW w:w="2126"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Хармонизиране на 1000 стандарта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Участие на ИАО в работата на органите по стандартизация</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Разработване на схема за технически наредби на ИАО</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Създаване на съвместни комитети за мониторинг на техническите пречки пред търговията, в рамките на 2 години от прилагането на СИП</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Изграждане на капацитет в областта на материалната и нематериалната инфраструктура по отношение на техническите пречки пред търговията и санитарните и фитосанитарните мерки, в т.ч.: проследяване, проверка, акредитация, анализ на риска, стандарти и сертифициране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Хармонизиране и нотифициране на техническите наредби на ИАО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Обмен на информация</w:t>
            </w:r>
          </w:p>
        </w:tc>
        <w:tc>
          <w:tcPr>
            <w:tcW w:w="2182"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Приемане на международни стандарти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Сертифициране на системи и на продукти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Трансфер на технологии</w:t>
            </w:r>
          </w:p>
          <w:p>
            <w:pPr>
              <w:autoSpaceDE w:val="0"/>
              <w:autoSpaceDN w:val="0"/>
              <w:adjustRightInd w:val="0"/>
              <w:spacing w:before="40" w:after="40"/>
              <w:ind w:left="196"/>
              <w:jc w:val="left"/>
              <w:rPr>
                <w:rFonts w:eastAsia="Times New Roman"/>
                <w:noProof/>
                <w:sz w:val="20"/>
                <w:szCs w:val="20"/>
              </w:rPr>
            </w:pPr>
          </w:p>
        </w:tc>
        <w:tc>
          <w:tcPr>
            <w:tcW w:w="2183"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Акредитирани институции за оценка на съответствието </w:t>
            </w:r>
          </w:p>
        </w:tc>
        <w:tc>
          <w:tcPr>
            <w:tcW w:w="2551" w:type="dxa"/>
            <w:tcBorders>
              <w:top w:val="single" w:sz="4" w:space="0" w:color="auto"/>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Намален брой на техническите пречки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Изпитвания и сертификати за взаимно признаване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По-широко разпространение на информация на портала на ИАО </w:t>
            </w:r>
          </w:p>
        </w:tc>
      </w:tr>
      <w:tr>
        <w:tc>
          <w:tcPr>
            <w:tcW w:w="2269" w:type="dxa"/>
            <w:tcBorders>
              <w:top w:val="single" w:sz="4" w:space="0" w:color="000000"/>
              <w:left w:val="single" w:sz="24" w:space="0" w:color="000000"/>
              <w:bottom w:val="single" w:sz="2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Митници и улесняване на търговията</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Хармонизиране и прилагане на митническото законодателство и процедури</w:t>
            </w:r>
          </w:p>
        </w:tc>
        <w:tc>
          <w:tcPr>
            <w:tcW w:w="2268"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Приемане на закон за управление на митниците на ИАО</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Всички държави партньори от ИАО са членове на Световната митническа организация</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Предприемане на изграждане на капацитет по отношение на нематериалната инфраструктура, системите и процесите в областта на митниците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Намаляване на времето за влизане и излизане на корабите от пристанищата — от 11 — 14 дни през 2011 г. на 6 дни през 2017 г.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Намаляване на средното време на престой на натоварени контейнери за внос на 4 дни </w:t>
            </w:r>
          </w:p>
        </w:tc>
        <w:tc>
          <w:tcPr>
            <w:tcW w:w="2182"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Хармонизиране на митническите процедури и процеси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Установяване на „едно гише“ на граничните пунктове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Намаляване на времето за влизане и излизане на корабите от пристанищата на 3 дни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Намаляване на средното време на престой на натоварени контейнери за внос на 2 дни</w:t>
            </w:r>
          </w:p>
          <w:p>
            <w:pPr>
              <w:autoSpaceDE w:val="0"/>
              <w:autoSpaceDN w:val="0"/>
              <w:adjustRightInd w:val="0"/>
              <w:spacing w:before="40" w:after="40"/>
              <w:ind w:left="196"/>
              <w:jc w:val="left"/>
              <w:rPr>
                <w:rFonts w:eastAsia="Times New Roman"/>
                <w:noProof/>
                <w:sz w:val="20"/>
                <w:szCs w:val="20"/>
              </w:rPr>
            </w:pPr>
          </w:p>
        </w:tc>
        <w:tc>
          <w:tcPr>
            <w:tcW w:w="2183"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Скъсяване на времето за влизане и излизане на корабите на граничните контролно-пропускателни пунктове на 1 ден </w:t>
            </w:r>
          </w:p>
          <w:p>
            <w:pPr>
              <w:autoSpaceDE w:val="0"/>
              <w:autoSpaceDN w:val="0"/>
              <w:adjustRightInd w:val="0"/>
              <w:spacing w:before="40" w:after="40"/>
              <w:ind w:left="196"/>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Намаляване на средното време на престой на натоварени контейнери за внос на 1 ден</w:t>
            </w:r>
          </w:p>
          <w:p>
            <w:pPr>
              <w:autoSpaceDE w:val="0"/>
              <w:autoSpaceDN w:val="0"/>
              <w:adjustRightInd w:val="0"/>
              <w:spacing w:before="40" w:after="40"/>
              <w:ind w:left="196"/>
              <w:jc w:val="left"/>
              <w:rPr>
                <w:rFonts w:eastAsia="Times New Roman"/>
                <w:noProof/>
                <w:sz w:val="20"/>
                <w:szCs w:val="20"/>
              </w:rPr>
            </w:pPr>
          </w:p>
        </w:tc>
        <w:tc>
          <w:tcPr>
            <w:tcW w:w="2551" w:type="dxa"/>
            <w:tcBorders>
              <w:top w:val="single" w:sz="4" w:space="0" w:color="000000"/>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Увеличаване на броя на натоварени/разтоварени контейнери на час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Намаляване на времето за влизане и излизане на корабите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Цялостно хармонизиране и прилагане на митническото законодателство и процедури</w:t>
            </w:r>
          </w:p>
          <w:p>
            <w:pPr>
              <w:autoSpaceDE w:val="0"/>
              <w:autoSpaceDN w:val="0"/>
              <w:adjustRightInd w:val="0"/>
              <w:spacing w:before="40" w:after="40"/>
              <w:ind w:left="196"/>
              <w:jc w:val="left"/>
              <w:rPr>
                <w:rFonts w:eastAsia="Times New Roman"/>
                <w:noProof/>
                <w:sz w:val="20"/>
                <w:szCs w:val="20"/>
              </w:rPr>
            </w:pPr>
          </w:p>
          <w:p>
            <w:pPr>
              <w:autoSpaceDE w:val="0"/>
              <w:autoSpaceDN w:val="0"/>
              <w:adjustRightInd w:val="0"/>
              <w:spacing w:before="40" w:after="40"/>
              <w:ind w:left="196"/>
              <w:jc w:val="left"/>
              <w:rPr>
                <w:rFonts w:eastAsia="Times New Roman"/>
                <w:noProof/>
                <w:sz w:val="20"/>
                <w:szCs w:val="20"/>
              </w:rPr>
            </w:pPr>
          </w:p>
          <w:p>
            <w:pPr>
              <w:autoSpaceDE w:val="0"/>
              <w:autoSpaceDN w:val="0"/>
              <w:adjustRightInd w:val="0"/>
              <w:spacing w:before="40" w:after="40"/>
              <w:ind w:left="196"/>
              <w:jc w:val="left"/>
              <w:rPr>
                <w:rFonts w:eastAsia="Times New Roman"/>
                <w:noProof/>
                <w:sz w:val="20"/>
                <w:szCs w:val="20"/>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rPr>
            </w:pPr>
            <w:r>
              <w:rPr>
                <w:b/>
                <w:noProof/>
                <w:sz w:val="20"/>
                <w:u w:val="single"/>
              </w:rPr>
              <w:t>РАЗХОДИ ЗА ПРИСПОСОБЯВАНЕ КЪМ СИП</w:t>
            </w:r>
          </w:p>
        </w:tc>
      </w:tr>
      <w:tr>
        <w:tc>
          <w:tcPr>
            <w:tcW w:w="2269" w:type="dxa"/>
            <w:tcBorders>
              <w:top w:val="nil"/>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 xml:space="preserve">Мерки за приспособяване към СИП </w:t>
            </w: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r>
              <w:rPr>
                <w:noProof/>
                <w:sz w:val="20"/>
              </w:rPr>
              <w:t>Отстраняване на действителните и потенциалните предизвикателства при приспособяването към СИП, произтичащи от неговото прилагане</w:t>
            </w:r>
          </w:p>
        </w:tc>
        <w:tc>
          <w:tcPr>
            <w:tcW w:w="2268" w:type="dxa"/>
            <w:tcBorders>
              <w:top w:val="nil"/>
              <w:bottom w:val="single" w:sz="4" w:space="0" w:color="000000"/>
            </w:tcBorders>
          </w:tcPr>
          <w:p>
            <w:pPr>
              <w:shd w:val="clear" w:color="auto" w:fill="FFFFFF"/>
              <w:spacing w:before="40" w:after="40"/>
              <w:jc w:val="left"/>
              <w:rPr>
                <w:rFonts w:eastAsia="Times New Roman"/>
                <w:noProof/>
                <w:sz w:val="20"/>
                <w:szCs w:val="20"/>
              </w:rPr>
            </w:pPr>
            <w:r>
              <w:rPr>
                <w:noProof/>
                <w:sz w:val="20"/>
              </w:rPr>
              <w:t>Няма създаден фонд за приспособяване към СИП</w:t>
            </w: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Създаване на фонд за приспособяване към СИП, чиято цел е да покрие по време на преходен период потенциалните загуби на държавни приходи, произтичащи от премахване и/или значително намаляване на митническите тарифи</w:t>
            </w: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Провеждане на проучване за оценка на потенциалните загуби на държавни приходи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Компенсиране на установените загуби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Извършване на оценка на компенсацията за държавите, които са нетни вносители на храни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Извършване на оценка на компенсацията за загубите на приходи от износ в ИАО</w:t>
            </w: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капацитета за гарантиране на макроикономическа стабилност</w:t>
            </w: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Размер на средствата за приспособяване, използвани за покриване на загубите на държавни приходи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Привеждане в съответствие с макроикономическите показатели за над 7 % растеж на БВП, приемлив бюджетен дефицит и равнища на инфлация</w:t>
            </w:r>
          </w:p>
        </w:tc>
      </w:tr>
      <w:tr>
        <w:tc>
          <w:tcPr>
            <w:tcW w:w="2269" w:type="dxa"/>
            <w:tcBorders>
              <w:top w:val="single" w:sz="4" w:space="0" w:color="000000"/>
              <w:left w:val="single" w:sz="24" w:space="0" w:color="000000"/>
              <w:bottom w:val="single" w:sz="2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Мобилизиране на средства</w:t>
            </w:r>
          </w:p>
        </w:tc>
        <w:tc>
          <w:tcPr>
            <w:tcW w:w="2126" w:type="dxa"/>
            <w:tcBorders>
              <w:top w:val="single" w:sz="4" w:space="0" w:color="000000"/>
              <w:bottom w:val="single" w:sz="24" w:space="0" w:color="000000"/>
            </w:tcBorders>
          </w:tcPr>
          <w:p>
            <w:pPr>
              <w:widowControl w:val="0"/>
              <w:tabs>
                <w:tab w:val="left" w:pos="220"/>
                <w:tab w:val="left" w:pos="720"/>
              </w:tabs>
              <w:autoSpaceDE w:val="0"/>
              <w:autoSpaceDN w:val="0"/>
              <w:adjustRightInd w:val="0"/>
              <w:spacing w:before="0" w:after="240"/>
              <w:contextualSpacing/>
              <w:jc w:val="left"/>
              <w:rPr>
                <w:rFonts w:eastAsia="Times New Roman"/>
                <w:bCs/>
                <w:noProof/>
                <w:kern w:val="32"/>
                <w:sz w:val="20"/>
                <w:szCs w:val="20"/>
              </w:rPr>
            </w:pPr>
            <w:r>
              <w:rPr>
                <w:noProof/>
                <w:sz w:val="20"/>
              </w:rPr>
              <w:t xml:space="preserve"> Съвместно и индивидуално мобилизиране на средства в полза на регионалната интеграция и стратегиите за развитие на СИП</w:t>
            </w:r>
          </w:p>
        </w:tc>
        <w:tc>
          <w:tcPr>
            <w:tcW w:w="2268" w:type="dxa"/>
            <w:tcBorders>
              <w:top w:val="single" w:sz="4" w:space="0" w:color="000000"/>
              <w:bottom w:val="single" w:sz="24" w:space="0" w:color="000000"/>
            </w:tcBorders>
          </w:tcPr>
          <w:p>
            <w:pPr>
              <w:tabs>
                <w:tab w:val="left" w:pos="993"/>
              </w:tabs>
              <w:spacing w:before="0" w:after="0"/>
              <w:jc w:val="left"/>
              <w:rPr>
                <w:rFonts w:eastAsia="Times New Roman"/>
                <w:noProof/>
                <w:sz w:val="20"/>
                <w:szCs w:val="20"/>
              </w:rPr>
            </w:pPr>
            <w:r>
              <w:rPr>
                <w:noProof/>
                <w:sz w:val="20"/>
              </w:rPr>
              <w:t xml:space="preserve">Принос от страна на ЕФР, държавите — членки на ЕС, други партньори за развитие, частния сектор и държавите партньори от ИАО </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Създаване на фонд за СИП с ИАО.</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Съвместно и индивидуално мобилизиране на средства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Провеждане на проучвания за осъществимост</w:t>
            </w:r>
          </w:p>
        </w:tc>
        <w:tc>
          <w:tcPr>
            <w:tcW w:w="2182" w:type="dxa"/>
            <w:tcBorders>
              <w:top w:val="single" w:sz="4" w:space="0" w:color="000000"/>
              <w:bottom w:val="single" w:sz="24" w:space="0" w:color="000000"/>
            </w:tcBorders>
          </w:tcPr>
          <w:p>
            <w:pPr>
              <w:tabs>
                <w:tab w:val="left" w:pos="66"/>
              </w:tabs>
              <w:autoSpaceDE w:val="0"/>
              <w:autoSpaceDN w:val="0"/>
              <w:adjustRightInd w:val="0"/>
              <w:spacing w:before="40" w:after="40"/>
              <w:jc w:val="left"/>
              <w:rPr>
                <w:rFonts w:eastAsia="Times New Roman"/>
                <w:noProof/>
                <w:sz w:val="20"/>
                <w:szCs w:val="20"/>
              </w:rPr>
            </w:pPr>
            <w:r>
              <w:rPr>
                <w:noProof/>
                <w:sz w:val="20"/>
              </w:rPr>
              <w:t xml:space="preserve">Финансиране и изпълнение на проекти за развитие по СИП с ИАО (включени в модела за развитие по СИП) </w:t>
            </w:r>
          </w:p>
          <w:p>
            <w:pPr>
              <w:autoSpaceDE w:val="0"/>
              <w:autoSpaceDN w:val="0"/>
              <w:adjustRightInd w:val="0"/>
              <w:spacing w:before="40" w:after="40"/>
              <w:jc w:val="left"/>
              <w:rPr>
                <w:rFonts w:eastAsia="Times New Roman"/>
                <w:noProof/>
                <w:sz w:val="20"/>
                <w:szCs w:val="20"/>
              </w:rPr>
            </w:pPr>
          </w:p>
        </w:tc>
        <w:tc>
          <w:tcPr>
            <w:tcW w:w="2183"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Развитие на свързана с търговията инфраструктура</w:t>
            </w:r>
          </w:p>
        </w:tc>
        <w:tc>
          <w:tcPr>
            <w:tcW w:w="2551" w:type="dxa"/>
            <w:tcBorders>
              <w:top w:val="single" w:sz="4" w:space="0" w:color="000000"/>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Размер на финансовите ресурси, заделени от държавите партньори от ИАО, ЕС, държавите — членки на ЕС, други партньори за развитие и частния сектор</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Размер на използваните ресурси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изпълнените проекти и програми</w:t>
            </w:r>
          </w:p>
        </w:tc>
      </w:tr>
    </w:tbl>
    <w:p>
      <w:pPr>
        <w:spacing w:before="0" w:after="0"/>
        <w:jc w:val="center"/>
        <w:outlineLvl w:val="0"/>
        <w:rPr>
          <w:rFonts w:eastAsia="Times New Roman"/>
          <w:noProof/>
          <w:szCs w:val="24"/>
          <w:lang w:eastAsia="en-GB"/>
        </w:rPr>
      </w:pPr>
    </w:p>
    <w:p>
      <w:pPr>
        <w:spacing w:before="0" w:after="0"/>
        <w:jc w:val="center"/>
        <w:outlineLvl w:val="0"/>
        <w:rPr>
          <w:rFonts w:eastAsia="Times New Roman"/>
          <w:noProof/>
          <w:szCs w:val="24"/>
          <w:lang w:eastAsia="en-GB"/>
        </w:rPr>
      </w:pPr>
    </w:p>
    <w:p>
      <w:pPr>
        <w:spacing w:before="0" w:after="0"/>
        <w:jc w:val="center"/>
        <w:outlineLvl w:val="0"/>
        <w:rPr>
          <w:rFonts w:eastAsia="Times New Roman"/>
          <w:noProof/>
          <w:szCs w:val="24"/>
          <w:lang w:eastAsia="en-GB"/>
        </w:rPr>
      </w:pPr>
      <w:r>
        <w:rPr>
          <w:rFonts w:eastAsia="Times New Roman"/>
          <w:noProof/>
          <w:szCs w:val="24"/>
          <w:lang w:eastAsia="en-GB"/>
        </w:rPr>
        <w:t>Таблица на съкращенията, използвани в приложения IIIa и IIIб</w:t>
      </w:r>
    </w:p>
    <w:tbl>
      <w:tblPr>
        <w:tblStyle w:val="TableGrid"/>
        <w:tblW w:w="14788" w:type="dxa"/>
        <w:tblLook w:val="04A0" w:firstRow="1" w:lastRow="0" w:firstColumn="1" w:lastColumn="0" w:noHBand="0" w:noVBand="1"/>
      </w:tblPr>
      <w:tblGrid>
        <w:gridCol w:w="3510"/>
        <w:gridCol w:w="11278"/>
      </w:tblGrid>
      <w:tr>
        <w:tc>
          <w:tcPr>
            <w:tcW w:w="3510" w:type="dxa"/>
          </w:tcPr>
          <w:p>
            <w:pPr>
              <w:spacing w:before="0" w:after="0"/>
              <w:jc w:val="center"/>
              <w:outlineLvl w:val="0"/>
              <w:rPr>
                <w:noProof/>
                <w:sz w:val="20"/>
                <w:lang w:eastAsia="en-GB"/>
              </w:rPr>
            </w:pPr>
            <w:r>
              <w:rPr>
                <w:noProof/>
                <w:sz w:val="20"/>
                <w:lang w:eastAsia="en-GB"/>
              </w:rPr>
              <w:t>Съкращение</w:t>
            </w:r>
          </w:p>
        </w:tc>
        <w:tc>
          <w:tcPr>
            <w:tcW w:w="11278" w:type="dxa"/>
          </w:tcPr>
          <w:p>
            <w:pPr>
              <w:spacing w:before="0" w:after="0"/>
              <w:jc w:val="right"/>
              <w:outlineLvl w:val="0"/>
              <w:rPr>
                <w:noProof/>
                <w:sz w:val="20"/>
                <w:lang w:eastAsia="en-GB"/>
              </w:rPr>
            </w:pPr>
          </w:p>
        </w:tc>
      </w:tr>
      <w:tr>
        <w:trPr>
          <w:trHeight w:hRule="exact" w:val="340"/>
        </w:trPr>
        <w:tc>
          <w:tcPr>
            <w:tcW w:w="3510" w:type="dxa"/>
          </w:tcPr>
          <w:p>
            <w:pPr>
              <w:jc w:val="center"/>
              <w:rPr>
                <w:noProof/>
                <w:sz w:val="20"/>
              </w:rPr>
            </w:pPr>
            <w:r>
              <w:rPr>
                <w:noProof/>
                <w:sz w:val="20"/>
              </w:rPr>
              <w:t>WB</w:t>
            </w:r>
          </w:p>
        </w:tc>
        <w:tc>
          <w:tcPr>
            <w:tcW w:w="11278" w:type="dxa"/>
            <w:hideMark/>
          </w:tcPr>
          <w:p>
            <w:pPr>
              <w:jc w:val="center"/>
              <w:rPr>
                <w:noProof/>
                <w:sz w:val="20"/>
              </w:rPr>
            </w:pPr>
            <w:r>
              <w:rPr>
                <w:noProof/>
                <w:sz w:val="20"/>
              </w:rPr>
              <w:t>Световна банка</w:t>
            </w:r>
          </w:p>
        </w:tc>
      </w:tr>
      <w:tr>
        <w:trPr>
          <w:trHeight w:hRule="exact" w:val="340"/>
        </w:trPr>
        <w:tc>
          <w:tcPr>
            <w:tcW w:w="3510" w:type="dxa"/>
          </w:tcPr>
          <w:p>
            <w:pPr>
              <w:jc w:val="center"/>
              <w:rPr>
                <w:noProof/>
                <w:sz w:val="20"/>
              </w:rPr>
            </w:pPr>
            <w:r>
              <w:rPr>
                <w:noProof/>
                <w:sz w:val="20"/>
              </w:rPr>
              <w:t>TMEA</w:t>
            </w:r>
          </w:p>
        </w:tc>
        <w:tc>
          <w:tcPr>
            <w:tcW w:w="11278" w:type="dxa"/>
            <w:hideMark/>
          </w:tcPr>
          <w:p>
            <w:pPr>
              <w:jc w:val="center"/>
              <w:rPr>
                <w:noProof/>
                <w:sz w:val="20"/>
              </w:rPr>
            </w:pPr>
            <w:r>
              <w:rPr>
                <w:noProof/>
                <w:sz w:val="20"/>
              </w:rPr>
              <w:t>Организация „Trade and Markets East Africa“</w:t>
            </w:r>
          </w:p>
        </w:tc>
      </w:tr>
      <w:tr>
        <w:trPr>
          <w:trHeight w:hRule="exact" w:val="340"/>
        </w:trPr>
        <w:tc>
          <w:tcPr>
            <w:tcW w:w="3510" w:type="dxa"/>
          </w:tcPr>
          <w:p>
            <w:pPr>
              <w:jc w:val="center"/>
              <w:rPr>
                <w:noProof/>
                <w:sz w:val="20"/>
              </w:rPr>
            </w:pPr>
            <w:r>
              <w:rPr>
                <w:noProof/>
                <w:sz w:val="20"/>
              </w:rPr>
              <w:t>GoR</w:t>
            </w:r>
          </w:p>
        </w:tc>
        <w:tc>
          <w:tcPr>
            <w:tcW w:w="11278" w:type="dxa"/>
            <w:hideMark/>
          </w:tcPr>
          <w:p>
            <w:pPr>
              <w:jc w:val="center"/>
              <w:rPr>
                <w:noProof/>
                <w:sz w:val="20"/>
              </w:rPr>
            </w:pPr>
            <w:r>
              <w:rPr>
                <w:noProof/>
                <w:sz w:val="20"/>
              </w:rPr>
              <w:t>Правителство на Руанда</w:t>
            </w:r>
          </w:p>
        </w:tc>
      </w:tr>
      <w:tr>
        <w:trPr>
          <w:trHeight w:hRule="exact" w:val="340"/>
        </w:trPr>
        <w:tc>
          <w:tcPr>
            <w:tcW w:w="3510" w:type="dxa"/>
          </w:tcPr>
          <w:p>
            <w:pPr>
              <w:jc w:val="center"/>
              <w:rPr>
                <w:noProof/>
                <w:sz w:val="20"/>
              </w:rPr>
            </w:pPr>
            <w:r>
              <w:rPr>
                <w:noProof/>
                <w:sz w:val="20"/>
              </w:rPr>
              <w:t>ToR</w:t>
            </w:r>
          </w:p>
        </w:tc>
        <w:tc>
          <w:tcPr>
            <w:tcW w:w="11278" w:type="dxa"/>
            <w:hideMark/>
          </w:tcPr>
          <w:p>
            <w:pPr>
              <w:jc w:val="center"/>
              <w:rPr>
                <w:noProof/>
                <w:sz w:val="20"/>
              </w:rPr>
            </w:pPr>
            <w:r>
              <w:rPr>
                <w:noProof/>
                <w:sz w:val="20"/>
              </w:rPr>
              <w:t>Мандат</w:t>
            </w:r>
          </w:p>
        </w:tc>
      </w:tr>
      <w:tr>
        <w:trPr>
          <w:trHeight w:hRule="exact" w:val="340"/>
        </w:trPr>
        <w:tc>
          <w:tcPr>
            <w:tcW w:w="3510" w:type="dxa"/>
          </w:tcPr>
          <w:p>
            <w:pPr>
              <w:jc w:val="center"/>
              <w:rPr>
                <w:noProof/>
                <w:sz w:val="20"/>
              </w:rPr>
            </w:pPr>
            <w:r>
              <w:rPr>
                <w:noProof/>
                <w:sz w:val="20"/>
              </w:rPr>
              <w:t>BAD</w:t>
            </w:r>
          </w:p>
        </w:tc>
        <w:tc>
          <w:tcPr>
            <w:tcW w:w="11278" w:type="dxa"/>
            <w:hideMark/>
          </w:tcPr>
          <w:p>
            <w:pPr>
              <w:jc w:val="center"/>
              <w:rPr>
                <w:noProof/>
                <w:sz w:val="20"/>
              </w:rPr>
            </w:pPr>
            <w:r>
              <w:rPr>
                <w:noProof/>
                <w:sz w:val="20"/>
              </w:rPr>
              <w:t>Африканска банка за развитие</w:t>
            </w:r>
          </w:p>
        </w:tc>
      </w:tr>
      <w:tr>
        <w:trPr>
          <w:trHeight w:hRule="exact" w:val="340"/>
        </w:trPr>
        <w:tc>
          <w:tcPr>
            <w:tcW w:w="3510" w:type="dxa"/>
          </w:tcPr>
          <w:p>
            <w:pPr>
              <w:jc w:val="center"/>
              <w:rPr>
                <w:noProof/>
                <w:sz w:val="20"/>
              </w:rPr>
            </w:pPr>
            <w:r>
              <w:rPr>
                <w:noProof/>
                <w:sz w:val="20"/>
              </w:rPr>
              <w:t>AfDB</w:t>
            </w:r>
          </w:p>
        </w:tc>
        <w:tc>
          <w:tcPr>
            <w:tcW w:w="11278" w:type="dxa"/>
            <w:hideMark/>
          </w:tcPr>
          <w:p>
            <w:pPr>
              <w:jc w:val="center"/>
              <w:rPr>
                <w:noProof/>
                <w:sz w:val="20"/>
              </w:rPr>
            </w:pPr>
            <w:r>
              <w:rPr>
                <w:noProof/>
                <w:sz w:val="20"/>
              </w:rPr>
              <w:t>Африканска банка за развитие</w:t>
            </w:r>
          </w:p>
        </w:tc>
      </w:tr>
      <w:tr>
        <w:trPr>
          <w:trHeight w:hRule="exact" w:val="340"/>
        </w:trPr>
        <w:tc>
          <w:tcPr>
            <w:tcW w:w="3510" w:type="dxa"/>
          </w:tcPr>
          <w:p>
            <w:pPr>
              <w:jc w:val="center"/>
              <w:rPr>
                <w:noProof/>
                <w:sz w:val="20"/>
              </w:rPr>
            </w:pPr>
            <w:r>
              <w:rPr>
                <w:noProof/>
                <w:sz w:val="20"/>
              </w:rPr>
              <w:t>BNSF</w:t>
            </w:r>
          </w:p>
        </w:tc>
        <w:tc>
          <w:tcPr>
            <w:tcW w:w="11278" w:type="dxa"/>
            <w:hideMark/>
          </w:tcPr>
          <w:p>
            <w:pPr>
              <w:jc w:val="center"/>
              <w:rPr>
                <w:noProof/>
                <w:sz w:val="20"/>
              </w:rPr>
            </w:pPr>
            <w:r>
              <w:rPr>
                <w:noProof/>
                <w:sz w:val="20"/>
              </w:rPr>
              <w:t>Американско дружество за товарен железопътен транспорт (BNSF) (Burlington Northern and Santa Fe Railway)</w:t>
            </w:r>
          </w:p>
        </w:tc>
      </w:tr>
      <w:tr>
        <w:trPr>
          <w:trHeight w:hRule="exact" w:val="340"/>
        </w:trPr>
        <w:tc>
          <w:tcPr>
            <w:tcW w:w="3510" w:type="dxa"/>
          </w:tcPr>
          <w:p>
            <w:pPr>
              <w:jc w:val="center"/>
              <w:rPr>
                <w:noProof/>
                <w:sz w:val="20"/>
              </w:rPr>
            </w:pPr>
            <w:r>
              <w:rPr>
                <w:noProof/>
                <w:sz w:val="20"/>
              </w:rPr>
              <w:t>USTDA</w:t>
            </w:r>
          </w:p>
        </w:tc>
        <w:tc>
          <w:tcPr>
            <w:tcW w:w="11278" w:type="dxa"/>
            <w:hideMark/>
          </w:tcPr>
          <w:p>
            <w:pPr>
              <w:jc w:val="center"/>
              <w:rPr>
                <w:noProof/>
                <w:sz w:val="20"/>
              </w:rPr>
            </w:pPr>
            <w:r>
              <w:rPr>
                <w:noProof/>
                <w:sz w:val="20"/>
              </w:rPr>
              <w:t>Американска агенция за търговия и развитие</w:t>
            </w:r>
          </w:p>
        </w:tc>
      </w:tr>
      <w:tr>
        <w:trPr>
          <w:trHeight w:hRule="exact" w:val="340"/>
        </w:trPr>
        <w:tc>
          <w:tcPr>
            <w:tcW w:w="3510" w:type="dxa"/>
          </w:tcPr>
          <w:p>
            <w:pPr>
              <w:jc w:val="center"/>
              <w:rPr>
                <w:noProof/>
                <w:sz w:val="20"/>
              </w:rPr>
            </w:pPr>
            <w:r>
              <w:rPr>
                <w:noProof/>
                <w:sz w:val="20"/>
              </w:rPr>
              <w:t>CPSC</w:t>
            </w:r>
          </w:p>
        </w:tc>
        <w:tc>
          <w:tcPr>
            <w:tcW w:w="11278" w:type="dxa"/>
            <w:hideMark/>
          </w:tcPr>
          <w:p>
            <w:pPr>
              <w:jc w:val="center"/>
              <w:rPr>
                <w:noProof/>
                <w:sz w:val="20"/>
              </w:rPr>
            </w:pPr>
            <w:r>
              <w:rPr>
                <w:noProof/>
                <w:sz w:val="20"/>
              </w:rPr>
              <w:t>CPCS — Canadian Pacific Consulting Services</w:t>
            </w:r>
          </w:p>
        </w:tc>
      </w:tr>
      <w:tr>
        <w:trPr>
          <w:trHeight w:hRule="exact" w:val="340"/>
        </w:trPr>
        <w:tc>
          <w:tcPr>
            <w:tcW w:w="3510" w:type="dxa"/>
          </w:tcPr>
          <w:p>
            <w:pPr>
              <w:jc w:val="center"/>
              <w:rPr>
                <w:noProof/>
                <w:sz w:val="20"/>
              </w:rPr>
            </w:pPr>
            <w:r>
              <w:rPr>
                <w:noProof/>
                <w:sz w:val="20"/>
              </w:rPr>
              <w:t>EoI</w:t>
            </w:r>
          </w:p>
        </w:tc>
        <w:tc>
          <w:tcPr>
            <w:tcW w:w="11278" w:type="dxa"/>
            <w:hideMark/>
          </w:tcPr>
          <w:p>
            <w:pPr>
              <w:jc w:val="center"/>
              <w:rPr>
                <w:noProof/>
                <w:sz w:val="20"/>
              </w:rPr>
            </w:pPr>
            <w:r>
              <w:rPr>
                <w:noProof/>
                <w:sz w:val="20"/>
              </w:rPr>
              <w:t>Изразяване на интерес</w:t>
            </w:r>
          </w:p>
        </w:tc>
      </w:tr>
      <w:tr>
        <w:trPr>
          <w:trHeight w:hRule="exact" w:val="340"/>
        </w:trPr>
        <w:tc>
          <w:tcPr>
            <w:tcW w:w="3510" w:type="dxa"/>
          </w:tcPr>
          <w:p>
            <w:pPr>
              <w:jc w:val="center"/>
              <w:rPr>
                <w:noProof/>
                <w:sz w:val="20"/>
              </w:rPr>
            </w:pPr>
            <w:r>
              <w:rPr>
                <w:noProof/>
                <w:sz w:val="20"/>
              </w:rPr>
              <w:t>Tz</w:t>
            </w:r>
          </w:p>
        </w:tc>
        <w:tc>
          <w:tcPr>
            <w:tcW w:w="11278" w:type="dxa"/>
            <w:hideMark/>
          </w:tcPr>
          <w:p>
            <w:pPr>
              <w:jc w:val="center"/>
              <w:rPr>
                <w:noProof/>
                <w:sz w:val="20"/>
              </w:rPr>
            </w:pPr>
            <w:r>
              <w:rPr>
                <w:noProof/>
                <w:sz w:val="20"/>
              </w:rPr>
              <w:t>Танзания</w:t>
            </w:r>
          </w:p>
        </w:tc>
      </w:tr>
      <w:tr>
        <w:trPr>
          <w:trHeight w:hRule="exact" w:val="340"/>
        </w:trPr>
        <w:tc>
          <w:tcPr>
            <w:tcW w:w="3510" w:type="dxa"/>
          </w:tcPr>
          <w:p>
            <w:pPr>
              <w:jc w:val="center"/>
              <w:rPr>
                <w:noProof/>
                <w:sz w:val="20"/>
              </w:rPr>
            </w:pPr>
            <w:r>
              <w:rPr>
                <w:noProof/>
                <w:sz w:val="20"/>
              </w:rPr>
              <w:t>GOT/GoT</w:t>
            </w:r>
          </w:p>
        </w:tc>
        <w:tc>
          <w:tcPr>
            <w:tcW w:w="11278" w:type="dxa"/>
            <w:hideMark/>
          </w:tcPr>
          <w:p>
            <w:pPr>
              <w:jc w:val="center"/>
              <w:rPr>
                <w:noProof/>
                <w:sz w:val="20"/>
              </w:rPr>
            </w:pPr>
            <w:r>
              <w:rPr>
                <w:noProof/>
                <w:sz w:val="20"/>
              </w:rPr>
              <w:t>Правителство на Танзания</w:t>
            </w:r>
          </w:p>
        </w:tc>
      </w:tr>
      <w:tr>
        <w:trPr>
          <w:trHeight w:hRule="exact" w:val="340"/>
        </w:trPr>
        <w:tc>
          <w:tcPr>
            <w:tcW w:w="3510" w:type="dxa"/>
          </w:tcPr>
          <w:p>
            <w:pPr>
              <w:jc w:val="center"/>
              <w:rPr>
                <w:noProof/>
                <w:sz w:val="20"/>
              </w:rPr>
            </w:pPr>
            <w:r>
              <w:rPr>
                <w:noProof/>
                <w:sz w:val="20"/>
              </w:rPr>
              <w:t>JICA</w:t>
            </w:r>
          </w:p>
        </w:tc>
        <w:tc>
          <w:tcPr>
            <w:tcW w:w="11278" w:type="dxa"/>
            <w:hideMark/>
          </w:tcPr>
          <w:p>
            <w:pPr>
              <w:jc w:val="center"/>
              <w:rPr>
                <w:noProof/>
                <w:sz w:val="20"/>
              </w:rPr>
            </w:pPr>
            <w:r>
              <w:rPr>
                <w:noProof/>
                <w:sz w:val="20"/>
              </w:rPr>
              <w:t>Японска агенция за международно сътрудничество</w:t>
            </w:r>
          </w:p>
        </w:tc>
      </w:tr>
      <w:tr>
        <w:trPr>
          <w:trHeight w:hRule="exact" w:val="340"/>
        </w:trPr>
        <w:tc>
          <w:tcPr>
            <w:tcW w:w="3510" w:type="dxa"/>
          </w:tcPr>
          <w:p>
            <w:pPr>
              <w:jc w:val="center"/>
              <w:rPr>
                <w:noProof/>
                <w:sz w:val="20"/>
              </w:rPr>
            </w:pPr>
            <w:r>
              <w:rPr>
                <w:noProof/>
                <w:sz w:val="20"/>
              </w:rPr>
              <w:t>NEPAD-IPPF</w:t>
            </w:r>
          </w:p>
        </w:tc>
        <w:tc>
          <w:tcPr>
            <w:tcW w:w="11278" w:type="dxa"/>
            <w:hideMark/>
          </w:tcPr>
          <w:p>
            <w:pPr>
              <w:jc w:val="center"/>
              <w:rPr>
                <w:noProof/>
                <w:sz w:val="20"/>
              </w:rPr>
            </w:pPr>
            <w:r>
              <w:rPr>
                <w:noProof/>
                <w:sz w:val="20"/>
              </w:rPr>
              <w:t>Ново партньорство за развитие на Африка — инструмент за изготвяне на инфраструктурни проекти</w:t>
            </w:r>
          </w:p>
        </w:tc>
      </w:tr>
      <w:tr>
        <w:trPr>
          <w:trHeight w:hRule="exact" w:val="340"/>
        </w:trPr>
        <w:tc>
          <w:tcPr>
            <w:tcW w:w="3510" w:type="dxa"/>
          </w:tcPr>
          <w:p>
            <w:pPr>
              <w:jc w:val="center"/>
              <w:rPr>
                <w:noProof/>
                <w:sz w:val="20"/>
              </w:rPr>
            </w:pPr>
            <w:r>
              <w:rPr>
                <w:noProof/>
                <w:sz w:val="20"/>
              </w:rPr>
              <w:t>CDE</w:t>
            </w:r>
          </w:p>
        </w:tc>
        <w:tc>
          <w:tcPr>
            <w:tcW w:w="11278" w:type="dxa"/>
            <w:hideMark/>
          </w:tcPr>
          <w:p>
            <w:pPr>
              <w:jc w:val="center"/>
              <w:rPr>
                <w:noProof/>
                <w:sz w:val="20"/>
              </w:rPr>
            </w:pPr>
            <w:r>
              <w:rPr>
                <w:noProof/>
                <w:sz w:val="20"/>
              </w:rPr>
              <w:t>Център за развитие на предприятията</w:t>
            </w:r>
          </w:p>
        </w:tc>
      </w:tr>
      <w:tr>
        <w:trPr>
          <w:trHeight w:hRule="exact" w:val="340"/>
        </w:trPr>
        <w:tc>
          <w:tcPr>
            <w:tcW w:w="3510" w:type="dxa"/>
          </w:tcPr>
          <w:p>
            <w:pPr>
              <w:jc w:val="center"/>
              <w:rPr>
                <w:noProof/>
                <w:sz w:val="20"/>
              </w:rPr>
            </w:pPr>
            <w:r>
              <w:rPr>
                <w:noProof/>
                <w:sz w:val="20"/>
              </w:rPr>
              <w:t>CTA</w:t>
            </w:r>
          </w:p>
        </w:tc>
        <w:tc>
          <w:tcPr>
            <w:tcW w:w="11278" w:type="dxa"/>
            <w:hideMark/>
          </w:tcPr>
          <w:p>
            <w:pPr>
              <w:jc w:val="center"/>
              <w:rPr>
                <w:noProof/>
                <w:sz w:val="20"/>
              </w:rPr>
            </w:pPr>
            <w:r>
              <w:rPr>
                <w:noProof/>
                <w:sz w:val="20"/>
              </w:rPr>
              <w:t>Технически център за аграрно и селско сътрудничество</w:t>
            </w:r>
          </w:p>
        </w:tc>
      </w:tr>
      <w:tr>
        <w:trPr>
          <w:trHeight w:hRule="exact" w:val="340"/>
        </w:trPr>
        <w:tc>
          <w:tcPr>
            <w:tcW w:w="3510" w:type="dxa"/>
          </w:tcPr>
          <w:p>
            <w:pPr>
              <w:jc w:val="center"/>
              <w:rPr>
                <w:noProof/>
                <w:sz w:val="20"/>
              </w:rPr>
            </w:pPr>
            <w:r>
              <w:rPr>
                <w:noProof/>
                <w:sz w:val="20"/>
              </w:rPr>
              <w:t>NFIC</w:t>
            </w:r>
          </w:p>
        </w:tc>
        <w:tc>
          <w:tcPr>
            <w:tcW w:w="11278" w:type="dxa"/>
            <w:hideMark/>
          </w:tcPr>
          <w:p>
            <w:pPr>
              <w:jc w:val="center"/>
              <w:rPr>
                <w:noProof/>
                <w:sz w:val="20"/>
              </w:rPr>
            </w:pPr>
            <w:r>
              <w:rPr>
                <w:noProof/>
                <w:sz w:val="20"/>
              </w:rPr>
              <w:t>Държави, които са нетни вносители</w:t>
            </w:r>
          </w:p>
        </w:tc>
      </w:tr>
      <w:tr>
        <w:trPr>
          <w:trHeight w:hRule="exact" w:val="340"/>
        </w:trPr>
        <w:tc>
          <w:tcPr>
            <w:tcW w:w="3510" w:type="dxa"/>
          </w:tcPr>
          <w:p>
            <w:pPr>
              <w:jc w:val="center"/>
              <w:rPr>
                <w:noProof/>
                <w:sz w:val="20"/>
              </w:rPr>
            </w:pPr>
            <w:r>
              <w:rPr>
                <w:noProof/>
                <w:sz w:val="20"/>
              </w:rPr>
              <w:t>TPA</w:t>
            </w:r>
          </w:p>
        </w:tc>
        <w:tc>
          <w:tcPr>
            <w:tcW w:w="11278" w:type="dxa"/>
          </w:tcPr>
          <w:p>
            <w:pPr>
              <w:jc w:val="center"/>
              <w:rPr>
                <w:noProof/>
                <w:sz w:val="20"/>
              </w:rPr>
            </w:pPr>
            <w:r>
              <w:rPr>
                <w:noProof/>
                <w:sz w:val="20"/>
              </w:rPr>
              <w:t>Пристанищни власти на Танзания</w:t>
            </w:r>
          </w:p>
        </w:tc>
      </w:tr>
      <w:tr>
        <w:trPr>
          <w:trHeight w:hRule="exact" w:val="340"/>
        </w:trPr>
        <w:tc>
          <w:tcPr>
            <w:tcW w:w="3510" w:type="dxa"/>
          </w:tcPr>
          <w:p>
            <w:pPr>
              <w:jc w:val="center"/>
              <w:rPr>
                <w:noProof/>
                <w:sz w:val="20"/>
              </w:rPr>
            </w:pPr>
            <w:r>
              <w:rPr>
                <w:noProof/>
                <w:sz w:val="20"/>
              </w:rPr>
              <w:t>HLI</w:t>
            </w:r>
          </w:p>
        </w:tc>
        <w:tc>
          <w:tcPr>
            <w:tcW w:w="11278" w:type="dxa"/>
          </w:tcPr>
          <w:p>
            <w:pPr>
              <w:jc w:val="center"/>
              <w:rPr>
                <w:noProof/>
                <w:sz w:val="20"/>
              </w:rPr>
            </w:pPr>
            <w:r>
              <w:rPr>
                <w:noProof/>
                <w:sz w:val="20"/>
              </w:rPr>
              <w:t>Висши учебни заведения</w:t>
            </w:r>
          </w:p>
        </w:tc>
      </w:tr>
    </w:tbl>
    <w:p>
      <w:pPr>
        <w:spacing w:before="0" w:after="0"/>
        <w:jc w:val="left"/>
        <w:rPr>
          <w:rFonts w:eastAsia="Times New Roman"/>
          <w:noProof/>
          <w:szCs w:val="24"/>
          <w:u w:val="single"/>
        </w:rPr>
      </w:pPr>
    </w:p>
    <w:p>
      <w:pPr>
        <w:spacing w:before="0" w:after="0"/>
        <w:jc w:val="right"/>
        <w:outlineLvl w:val="0"/>
        <w:rPr>
          <w:rFonts w:eastAsia="Times New Roman"/>
          <w:noProof/>
          <w:szCs w:val="24"/>
        </w:rPr>
      </w:pPr>
    </w:p>
    <w:p>
      <w:pPr>
        <w:spacing w:before="0" w:after="0"/>
        <w:jc w:val="right"/>
        <w:outlineLvl w:val="0"/>
        <w:rPr>
          <w:rFonts w:eastAsia="Times New Roman"/>
          <w:noProof/>
          <w:szCs w:val="24"/>
        </w:rPr>
        <w:sectPr>
          <w:footnotePr>
            <w:numRestart w:val="eachPage"/>
          </w:footnotePr>
          <w:endnotePr>
            <w:numFmt w:val="decimal"/>
          </w:endnotePr>
          <w:pgSz w:w="16840" w:h="11907" w:orient="landscape" w:code="9"/>
          <w:pgMar w:top="1134" w:right="1134" w:bottom="1134" w:left="1134" w:header="1134" w:footer="1134" w:gutter="0"/>
          <w:cols w:space="720"/>
          <w:docGrid w:linePitch="326"/>
        </w:sectPr>
      </w:pPr>
    </w:p>
    <w:p>
      <w:pPr>
        <w:spacing w:before="0" w:after="0"/>
        <w:jc w:val="left"/>
        <w:rPr>
          <w:rFonts w:eastAsia="Times New Roman"/>
          <w:noProof/>
          <w:sz w:val="2"/>
          <w:szCs w:val="2"/>
        </w:rPr>
      </w:pPr>
    </w:p>
    <w:p>
      <w:pPr>
        <w:keepNext/>
        <w:spacing w:before="360" w:after="0"/>
        <w:jc w:val="center"/>
        <w:outlineLvl w:val="0"/>
        <w:rPr>
          <w:rFonts w:eastAsia="Times New Roman" w:cs="Arial"/>
          <w:b/>
          <w:bCs/>
          <w:smallCaps/>
          <w:noProof/>
          <w:szCs w:val="20"/>
        </w:rPr>
      </w:pPr>
      <w:r>
        <w:rPr>
          <w:b/>
          <w:smallCaps/>
          <w:noProof/>
        </w:rPr>
        <w:t>ПРИЛОЖЕНИЕ IV</w:t>
      </w:r>
    </w:p>
    <w:p>
      <w:pPr>
        <w:keepNext/>
        <w:spacing w:before="360" w:after="360"/>
        <w:jc w:val="center"/>
        <w:outlineLvl w:val="0"/>
        <w:rPr>
          <w:rFonts w:eastAsia="Arial"/>
          <w:b/>
          <w:noProof/>
          <w:szCs w:val="24"/>
        </w:rPr>
      </w:pPr>
      <w:r>
        <w:rPr>
          <w:b/>
          <w:noProof/>
        </w:rPr>
        <w:t>СЪВМЕСТНА ДЕКЛАРАЦИЯ ОТНОСНО ДЪРЖАВИТЕ, УСТАНОВИЛИ МИТНИЧЕСКИ СЪЮЗ С ЕВРОПЕЙСКИЯ СЪЮЗ</w:t>
      </w:r>
    </w:p>
    <w:p>
      <w:pPr>
        <w:rPr>
          <w:rFonts w:eastAsia="Times New Roman"/>
          <w:noProof/>
        </w:rPr>
      </w:pPr>
      <w:r>
        <w:rPr>
          <w:noProof/>
        </w:rPr>
        <w:t xml:space="preserve">Европейският съюз припомня задължението на държавите, установили митнически съюз с ЕС, да приведат търговския си режим в съответствие с този на ЕС, а по отношение на някои от тях — и задължението да сключат преференциални споразумения с държавите, които имат сключени преференциални споразумения с ЕС. </w:t>
      </w:r>
    </w:p>
    <w:p>
      <w:pPr>
        <w:rPr>
          <w:rFonts w:eastAsia="Times New Roman"/>
          <w:noProof/>
        </w:rPr>
      </w:pPr>
      <w:r>
        <w:rPr>
          <w:noProof/>
        </w:rPr>
        <w:t xml:space="preserve">В този контекст страните отбелязват, че държавите партньори от ИАО трябва да започнат преговори с тези държави: </w:t>
      </w:r>
    </w:p>
    <w:p>
      <w:pPr>
        <w:pStyle w:val="Point0"/>
        <w:rPr>
          <w:rFonts w:eastAsia="Times New Roman"/>
          <w:noProof/>
        </w:rPr>
      </w:pPr>
      <w:r>
        <w:rPr>
          <w:noProof/>
        </w:rPr>
        <w:t>а)</w:t>
      </w:r>
      <w:r>
        <w:rPr>
          <w:noProof/>
        </w:rPr>
        <w:tab/>
        <w:t xml:space="preserve">които са установили митнически съюз с ЕС; и </w:t>
      </w:r>
    </w:p>
    <w:p>
      <w:pPr>
        <w:pStyle w:val="Point0"/>
        <w:rPr>
          <w:rFonts w:eastAsia="Times New Roman"/>
          <w:noProof/>
        </w:rPr>
      </w:pPr>
      <w:r>
        <w:rPr>
          <w:noProof/>
        </w:rPr>
        <w:t>б)</w:t>
      </w:r>
      <w:r>
        <w:rPr>
          <w:noProof/>
        </w:rPr>
        <w:tab/>
        <w:t xml:space="preserve">чиито продукти не се ползват от тарифни отстъпки по настоящото споразумение, </w:t>
      </w:r>
    </w:p>
    <w:p>
      <w:pPr>
        <w:rPr>
          <w:rFonts w:eastAsia="Times New Roman"/>
          <w:noProof/>
        </w:rPr>
      </w:pPr>
      <w:r>
        <w:rPr>
          <w:noProof/>
        </w:rPr>
        <w:t xml:space="preserve">с оглед сключването на двустранно споразумение за установяване на зона за свободна търговия в съответствие с член XXIV от Общото споразумение за митата и търговията. </w:t>
      </w:r>
    </w:p>
    <w:p>
      <w:pPr>
        <w:rPr>
          <w:noProof/>
        </w:rPr>
      </w:pPr>
      <w:r>
        <w:rPr>
          <w:noProof/>
        </w:rPr>
        <w:t>Държавите партньори от ИАО се споразумяват да проведат преговори за това в бъдеще.</w:t>
      </w:r>
      <w:r>
        <w:rPr>
          <w:rStyle w:val="CommentReference"/>
          <w:noProof/>
        </w:rPr>
        <w:t xml:space="preserve"> </w:t>
      </w:r>
    </w:p>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D2579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0DD7FBB"/>
    <w:multiLevelType w:val="hybridMultilevel"/>
    <w:tmpl w:val="8850E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B4B22D5"/>
    <w:multiLevelType w:val="hybridMultilevel"/>
    <w:tmpl w:val="1292D57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8">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9">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0010DF"/>
    <w:multiLevelType w:val="hybridMultilevel"/>
    <w:tmpl w:val="CDD4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4">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5BF169F"/>
    <w:multiLevelType w:val="hybridMultilevel"/>
    <w:tmpl w:val="10864AB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nsid w:val="696E7323"/>
    <w:multiLevelType w:val="hybridMultilevel"/>
    <w:tmpl w:val="9780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1">
    <w:nsid w:val="6F88000C"/>
    <w:multiLevelType w:val="multilevel"/>
    <w:tmpl w:val="9236CECE"/>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3">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5">
    <w:nsid w:val="7C483669"/>
    <w:multiLevelType w:val="hybridMultilevel"/>
    <w:tmpl w:val="BF6C470A"/>
    <w:lvl w:ilvl="0" w:tplc="080C0001">
      <w:start w:val="1"/>
      <w:numFmt w:val="bullet"/>
      <w:lvlText w:val=""/>
      <w:lvlJc w:val="left"/>
      <w:pPr>
        <w:ind w:left="720" w:hanging="360"/>
      </w:pPr>
      <w:rPr>
        <w:rFonts w:ascii="Symbol" w:hAnsi="Symbol" w:hint="default"/>
      </w:rPr>
    </w:lvl>
    <w:lvl w:ilvl="1" w:tplc="080C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7">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8">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6"/>
  </w:num>
  <w:num w:numId="5">
    <w:abstractNumId w:val="18"/>
  </w:num>
  <w:num w:numId="6">
    <w:abstractNumId w:val="44"/>
  </w:num>
  <w:num w:numId="7">
    <w:abstractNumId w:val="9"/>
  </w:num>
  <w:num w:numId="8">
    <w:abstractNumId w:val="25"/>
  </w:num>
  <w:num w:numId="9">
    <w:abstractNumId w:val="17"/>
  </w:num>
  <w:num w:numId="10">
    <w:abstractNumId w:val="20"/>
  </w:num>
  <w:num w:numId="11">
    <w:abstractNumId w:val="40"/>
  </w:num>
  <w:num w:numId="12">
    <w:abstractNumId w:val="15"/>
  </w:num>
  <w:num w:numId="13">
    <w:abstractNumId w:val="5"/>
  </w:num>
  <w:num w:numId="14">
    <w:abstractNumId w:val="27"/>
  </w:num>
  <w:num w:numId="15">
    <w:abstractNumId w:val="39"/>
  </w:num>
  <w:num w:numId="16">
    <w:abstractNumId w:val="6"/>
  </w:num>
  <w:num w:numId="17">
    <w:abstractNumId w:val="19"/>
  </w:num>
  <w:num w:numId="18">
    <w:abstractNumId w:val="48"/>
  </w:num>
  <w:num w:numId="19">
    <w:abstractNumId w:val="22"/>
  </w:num>
  <w:num w:numId="20">
    <w:abstractNumId w:val="34"/>
  </w:num>
  <w:num w:numId="21">
    <w:abstractNumId w:val="29"/>
  </w:num>
  <w:num w:numId="22">
    <w:abstractNumId w:val="42"/>
  </w:num>
  <w:num w:numId="23">
    <w:abstractNumId w:val="47"/>
  </w:num>
  <w:num w:numId="24">
    <w:abstractNumId w:val="43"/>
  </w:num>
  <w:num w:numId="25">
    <w:abstractNumId w:val="11"/>
  </w:num>
  <w:num w:numId="26">
    <w:abstractNumId w:val="4"/>
  </w:num>
  <w:num w:numId="27">
    <w:abstractNumId w:val="3"/>
  </w:num>
  <w:num w:numId="28">
    <w:abstractNumId w:val="33"/>
  </w:num>
  <w:num w:numId="29">
    <w:abstractNumId w:val="45"/>
  </w:num>
  <w:num w:numId="30">
    <w:abstractNumId w:val="41"/>
  </w:num>
  <w:num w:numId="31">
    <w:abstractNumId w:val="38"/>
  </w:num>
  <w:num w:numId="32">
    <w:abstractNumId w:val="21"/>
  </w:num>
  <w:num w:numId="33">
    <w:abstractNumId w:val="12"/>
  </w:num>
  <w:num w:numId="34">
    <w:abstractNumId w:val="36"/>
  </w:num>
  <w:num w:numId="35">
    <w:abstractNumId w:val="8"/>
  </w:num>
  <w:num w:numId="36">
    <w:abstractNumId w:val="32"/>
  </w:num>
  <w:num w:numId="37">
    <w:abstractNumId w:val="23"/>
  </w:num>
  <w:num w:numId="38">
    <w:abstractNumId w:val="37"/>
  </w:num>
  <w:num w:numId="39">
    <w:abstractNumId w:val="14"/>
  </w:num>
  <w:num w:numId="40">
    <w:abstractNumId w:val="24"/>
  </w:num>
  <w:num w:numId="41">
    <w:abstractNumId w:val="10"/>
  </w:num>
  <w:num w:numId="42">
    <w:abstractNumId w:val="35"/>
  </w:num>
  <w:num w:numId="43">
    <w:abstractNumId w:val="7"/>
  </w:num>
  <w:num w:numId="44">
    <w:abstractNumId w:val="26"/>
  </w:num>
  <w:num w:numId="45">
    <w:abstractNumId w:val="30"/>
  </w:num>
  <w:num w:numId="46">
    <w:abstractNumId w:val="31"/>
  </w:num>
  <w:num w:numId="47">
    <w:abstractNumId w:val="13"/>
  </w:num>
  <w:num w:numId="48">
    <w:abstractNumId w:val="28"/>
  </w:num>
  <w:num w:numId="49">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33: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4"/>
    <w:docVar w:name="LW_ANNEX_NBR_LAST" w:val="4"/>
    <w:docVar w:name="LW_CONFIDENCE" w:val=" "/>
    <w:docVar w:name="LW_CONST_RESTREINT_UE" w:val="RESTREINT UE"/>
    <w:docVar w:name="LW_CORRIGENDUM" w:val="&lt;UNUSED&gt;"/>
    <w:docVar w:name="LW_COVERPAGE_GUID" w:val="0F284669A43846F1854AA5E3FAA6BB86"/>
    <w:docVar w:name="LW_CROSSREFERENCE" w:val="&lt;UNUSED&gt;"/>
    <w:docVar w:name="LW_DocType" w:val="ANNEX"/>
    <w:docVar w:name="LW_EMISSION" w:val="11.2.2016"/>
    <w:docVar w:name="LW_EMISSION_ISODATE" w:val="2016-02-1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OBJETACTEPRINCIPAL.CP"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PART_NBR" w:val="1"/>
    <w:docVar w:name="LW_PART_NBR_TOTAL" w:val="1"/>
    <w:docVar w:name="LW_REF.INST.NEW" w:val="COM"/>
    <w:docVar w:name="LW_REF.INST.NEW_ADOPTED" w:val="final"/>
    <w:docVar w:name="LW_REF.INST.NEW_TEXT" w:val="(2016) 64"/>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character" w:customStyle="1" w:styleId="TitrearticleChar">
    <w:name w:val="Titre article Char"/>
    <w:rPr>
      <w:rFonts w:ascii="Times New Roman" w:hAnsi="Times New Roman" w:cs="Times New Roman"/>
      <w:i/>
      <w:sz w:val="24"/>
      <w:lang w:val="bg-BG"/>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bg-BG"/>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bg-BG" w:eastAsia="bg-BG" w:bidi="bg-BG"/>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bg-BG" w:eastAsia="bg-BG"/>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bg-BG" w:eastAsia="bg-BG"/>
    </w:rPr>
  </w:style>
  <w:style w:type="character" w:customStyle="1" w:styleId="En-tteoupieddepageArial">
    <w:name w:val="En-tête ou pied de page + Arial"/>
    <w:aliases w:val="5.5 pt"/>
    <w:uiPriority w:val="99"/>
    <w:rPr>
      <w:rFonts w:ascii="Arial" w:hAnsi="Arial" w:cs="Arial"/>
      <w:sz w:val="11"/>
      <w:szCs w:val="11"/>
      <w:shd w:val="clear" w:color="auto" w:fill="FFFFFF"/>
      <w:lang w:val="bg-BG" w:eastAsia="bg-BG"/>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bg-BG" w:eastAsia="bg-BG"/>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character" w:customStyle="1" w:styleId="TitrearticleChar">
    <w:name w:val="Titre article Char"/>
    <w:rPr>
      <w:rFonts w:ascii="Times New Roman" w:hAnsi="Times New Roman" w:cs="Times New Roman"/>
      <w:i/>
      <w:sz w:val="24"/>
      <w:lang w:val="bg-BG"/>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bg-BG"/>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bg-BG" w:eastAsia="bg-BG" w:bidi="bg-BG"/>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bg-BG" w:eastAsia="bg-BG"/>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bg-BG" w:eastAsia="bg-BG"/>
    </w:rPr>
  </w:style>
  <w:style w:type="character" w:customStyle="1" w:styleId="En-tteoupieddepageArial">
    <w:name w:val="En-tête ou pied de page + Arial"/>
    <w:aliases w:val="5.5 pt"/>
    <w:uiPriority w:val="99"/>
    <w:rPr>
      <w:rFonts w:ascii="Arial" w:hAnsi="Arial" w:cs="Arial"/>
      <w:sz w:val="11"/>
      <w:szCs w:val="11"/>
      <w:shd w:val="clear" w:color="auto" w:fill="FFFFFF"/>
      <w:lang w:val="bg-BG" w:eastAsia="bg-BG"/>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bg-BG" w:eastAsia="bg-BG"/>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ABE2-C928-4CE7-BD02-3B6A4A89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67</Pages>
  <Words>8670</Words>
  <Characters>50808</Characters>
  <Application>Microsoft Office Word</Application>
  <DocSecurity>0</DocSecurity>
  <Lines>5080</Lines>
  <Paragraphs>1351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2016-02-03T12:45:00Z</dcterms:created>
  <dcterms:modified xsi:type="dcterms:W3CDTF">2016-02-11T10:33:00Z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4</vt:lpwstr>
  </property>
  <property fmtid="{D5CDD505-2E9C-101B-9397-08002B2CF9AE}" pid="8" name="Last annex">
    <vt:lpwstr>4</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