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6142DAFFAC46F0A285CEC77BD9EAD0"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AC"/>
      <w:bookmarkStart w:id="1" w:name="_GoBack"/>
      <w:bookmarkEnd w:id="1"/>
      <w:r>
        <w:rPr>
          <w:noProof/>
        </w:rPr>
        <w:lastRenderedPageBreak/>
        <w:t>ПРИТУРКА</w:t>
      </w:r>
    </w:p>
    <w:p>
      <w:pPr>
        <w:jc w:val="center"/>
        <w:rPr>
          <w:b/>
          <w:noProof/>
          <w:sz w:val="28"/>
          <w:szCs w:val="28"/>
        </w:rPr>
      </w:pPr>
      <w:r>
        <w:rPr>
          <w:b/>
          <w:noProof/>
          <w:sz w:val="28"/>
        </w:rPr>
        <w:t>СПОРАЗУМЕНИЕ ЗА ИКОНОМИЧЕСКО ПАРТНЬОРСТВО</w:t>
      </w:r>
    </w:p>
    <w:p>
      <w:pPr>
        <w:jc w:val="center"/>
        <w:rPr>
          <w:b/>
          <w:noProof/>
          <w:sz w:val="28"/>
          <w:szCs w:val="28"/>
        </w:rPr>
      </w:pPr>
      <w:r>
        <w:rPr>
          <w:b/>
          <w:noProof/>
          <w:sz w:val="28"/>
        </w:rPr>
        <w:t>МЕЖДУ ДЪРЖАВИТЕ ПАРТНЬОРИ ОТ ИЗТОЧНОАФРИКАНСКАТА ОБЩНОСТ, ОТ ЕДНА СТРАНА, И ЕВРОПЕЙСКИЯ СЪЮЗ И НЕГОВИТЕ ДЪРЖАВИ ЧЛЕНКИ,</w:t>
      </w:r>
    </w:p>
    <w:p>
      <w:pPr>
        <w:spacing w:after="600"/>
        <w:jc w:val="center"/>
        <w:rPr>
          <w:b/>
          <w:noProof/>
          <w:sz w:val="28"/>
          <w:szCs w:val="28"/>
        </w:rPr>
      </w:pPr>
      <w:r>
        <w:rPr>
          <w:b/>
          <w:noProof/>
          <w:sz w:val="28"/>
        </w:rPr>
        <w:t>ОТ ДРУГА СТРАНА</w:t>
      </w:r>
    </w:p>
    <w:p>
      <w:pPr>
        <w:spacing w:after="360"/>
        <w:jc w:val="center"/>
        <w:rPr>
          <w:b/>
          <w:noProof/>
        </w:rPr>
      </w:pPr>
      <w:bookmarkStart w:id="2" w:name="_Toc401595107"/>
      <w:bookmarkEnd w:id="0"/>
      <w:r>
        <w:rPr>
          <w:b/>
          <w:noProof/>
        </w:rPr>
        <w:t>СТРАНИ ПО СПОРАЗУМЕНИЕТО</w:t>
      </w:r>
    </w:p>
    <w:bookmarkEnd w:id="2"/>
    <w:p>
      <w:pPr>
        <w:rPr>
          <w:noProof/>
        </w:rPr>
      </w:pPr>
      <w:r>
        <w:rPr>
          <w:noProof/>
        </w:rPr>
        <w:t>РЕПУБЛИКА БУРУНДИ</w:t>
      </w:r>
    </w:p>
    <w:p>
      <w:pPr>
        <w:rPr>
          <w:noProof/>
        </w:rPr>
      </w:pPr>
      <w:r>
        <w:rPr>
          <w:noProof/>
        </w:rPr>
        <w:t>РЕПУБЛИКА КЕНИЯ</w:t>
      </w:r>
    </w:p>
    <w:p>
      <w:pPr>
        <w:rPr>
          <w:noProof/>
        </w:rPr>
      </w:pPr>
      <w:r>
        <w:rPr>
          <w:noProof/>
        </w:rPr>
        <w:t>РЕПУБЛИКА РУАНДА</w:t>
      </w:r>
    </w:p>
    <w:p>
      <w:pPr>
        <w:rPr>
          <w:noProof/>
        </w:rPr>
      </w:pPr>
      <w:r>
        <w:rPr>
          <w:noProof/>
        </w:rPr>
        <w:t>ОБЕДИНЕНА РЕПУБЛИКА ТАНЗАНИЯ</w:t>
      </w:r>
    </w:p>
    <w:p>
      <w:pPr>
        <w:rPr>
          <w:noProof/>
        </w:rPr>
      </w:pPr>
      <w:r>
        <w:rPr>
          <w:noProof/>
        </w:rPr>
        <w:t>РЕПУБЛИКА УГАНДА</w:t>
      </w:r>
    </w:p>
    <w:p>
      <w:pPr>
        <w:rPr>
          <w:noProof/>
        </w:rPr>
      </w:pPr>
      <w:r>
        <w:rPr>
          <w:noProof/>
        </w:rPr>
        <w:t>(наричани по-долу „държавите партньори от ИАО“),</w:t>
      </w:r>
    </w:p>
    <w:p>
      <w:pPr>
        <w:rPr>
          <w:noProof/>
        </w:rPr>
      </w:pPr>
      <w:r>
        <w:rPr>
          <w:noProof/>
        </w:rPr>
        <w:t>от една страна, и</w:t>
      </w:r>
    </w:p>
    <w:p>
      <w:pPr>
        <w:rPr>
          <w:noProof/>
        </w:rPr>
      </w:pPr>
      <w:r>
        <w:rPr>
          <w:noProof/>
        </w:rPr>
        <w:t>КРАЛСТВО БЕЛГИЯ,</w:t>
      </w:r>
    </w:p>
    <w:p>
      <w:pPr>
        <w:rPr>
          <w:noProof/>
        </w:rPr>
      </w:pPr>
      <w:r>
        <w:rPr>
          <w:noProof/>
        </w:rPr>
        <w:t>РЕПУБЛИКА БЪЛГАРИЯ,</w:t>
      </w:r>
    </w:p>
    <w:p>
      <w:pPr>
        <w:rPr>
          <w:noProof/>
        </w:rPr>
      </w:pPr>
      <w:r>
        <w:rPr>
          <w:noProof/>
        </w:rPr>
        <w:t>ЧЕШКАТА РЕПУБЛИКА,</w:t>
      </w:r>
    </w:p>
    <w:p>
      <w:pPr>
        <w:rPr>
          <w:noProof/>
        </w:rPr>
      </w:pPr>
      <w:r>
        <w:rPr>
          <w:noProof/>
        </w:rPr>
        <w:t>КРАЛСТВО ДАНИЯ,</w:t>
      </w:r>
    </w:p>
    <w:p>
      <w:pPr>
        <w:rPr>
          <w:noProof/>
        </w:rPr>
      </w:pPr>
      <w:r>
        <w:rPr>
          <w:noProof/>
        </w:rPr>
        <w:t>ФЕДЕРАЛНА РЕПУБЛИКА ГЕРМАНИЯ,</w:t>
      </w:r>
    </w:p>
    <w:p>
      <w:pPr>
        <w:rPr>
          <w:noProof/>
        </w:rPr>
      </w:pPr>
      <w:r>
        <w:rPr>
          <w:noProof/>
        </w:rPr>
        <w:t>РЕПУБЛИКА ЕСТОНИЯ,</w:t>
      </w:r>
    </w:p>
    <w:p>
      <w:pPr>
        <w:rPr>
          <w:noProof/>
        </w:rPr>
      </w:pPr>
      <w:r>
        <w:rPr>
          <w:noProof/>
        </w:rPr>
        <w:t>ИРЛАНДИЯ,</w:t>
      </w:r>
    </w:p>
    <w:p>
      <w:pPr>
        <w:rPr>
          <w:noProof/>
        </w:rPr>
      </w:pPr>
      <w:r>
        <w:rPr>
          <w:noProof/>
        </w:rPr>
        <w:t>РЕПУБЛИКА ГЪРЦИЯ,</w:t>
      </w:r>
    </w:p>
    <w:p>
      <w:pPr>
        <w:rPr>
          <w:noProof/>
        </w:rPr>
      </w:pPr>
      <w:r>
        <w:rPr>
          <w:noProof/>
        </w:rPr>
        <w:t>КРАЛСТВО ИСПАНИЯ,</w:t>
      </w:r>
    </w:p>
    <w:p>
      <w:pPr>
        <w:rPr>
          <w:noProof/>
        </w:rPr>
      </w:pPr>
      <w:r>
        <w:rPr>
          <w:noProof/>
        </w:rPr>
        <w:t>ФРЕНСКАТА РЕПУБЛИКА,</w:t>
      </w:r>
    </w:p>
    <w:p>
      <w:pPr>
        <w:rPr>
          <w:noProof/>
        </w:rPr>
      </w:pPr>
      <w:r>
        <w:rPr>
          <w:noProof/>
        </w:rPr>
        <w:t>РЕПУБЛИКА ХЪРВАТИЯ,</w:t>
      </w:r>
    </w:p>
    <w:p>
      <w:pPr>
        <w:rPr>
          <w:noProof/>
        </w:rPr>
      </w:pPr>
      <w:r>
        <w:rPr>
          <w:noProof/>
        </w:rPr>
        <w:t>ИТАЛИАНСКАТА РЕПУБЛИКА,</w:t>
      </w:r>
    </w:p>
    <w:p>
      <w:pPr>
        <w:rPr>
          <w:noProof/>
        </w:rPr>
      </w:pPr>
      <w:r>
        <w:rPr>
          <w:noProof/>
        </w:rPr>
        <w:t>РЕПУБЛИКА КИПЪР,</w:t>
      </w:r>
    </w:p>
    <w:p>
      <w:pPr>
        <w:rPr>
          <w:noProof/>
        </w:rPr>
      </w:pPr>
      <w:r>
        <w:rPr>
          <w:noProof/>
        </w:rPr>
        <w:t>РЕПУБЛИКА ЛАТВИЯ,</w:t>
      </w:r>
    </w:p>
    <w:p>
      <w:pPr>
        <w:rPr>
          <w:noProof/>
        </w:rPr>
      </w:pPr>
      <w:r>
        <w:rPr>
          <w:noProof/>
        </w:rPr>
        <w:t>РЕПУБЛИКА ЛИТВА,</w:t>
      </w:r>
    </w:p>
    <w:p>
      <w:pPr>
        <w:rPr>
          <w:noProof/>
        </w:rPr>
      </w:pPr>
      <w:r>
        <w:rPr>
          <w:noProof/>
        </w:rPr>
        <w:t>ВЕЛИКОТО ХЕРЦОГСТВО ЛЮКСЕМБУРГ,</w:t>
      </w:r>
    </w:p>
    <w:p>
      <w:pPr>
        <w:rPr>
          <w:noProof/>
        </w:rPr>
      </w:pPr>
      <w:r>
        <w:rPr>
          <w:noProof/>
        </w:rPr>
        <w:t>УНГАРИЯ,</w:t>
      </w:r>
    </w:p>
    <w:p>
      <w:pPr>
        <w:rPr>
          <w:noProof/>
        </w:rPr>
      </w:pPr>
      <w:r>
        <w:rPr>
          <w:noProof/>
        </w:rPr>
        <w:t>РЕПУБЛИКА МАЛТА,</w:t>
      </w:r>
    </w:p>
    <w:p>
      <w:pPr>
        <w:rPr>
          <w:noProof/>
        </w:rPr>
      </w:pPr>
      <w:r>
        <w:rPr>
          <w:noProof/>
        </w:rPr>
        <w:lastRenderedPageBreak/>
        <w:t>КРАЛСТВО НИДЕРЛАНДИЯ,</w:t>
      </w:r>
    </w:p>
    <w:p>
      <w:pPr>
        <w:rPr>
          <w:noProof/>
        </w:rPr>
      </w:pPr>
      <w:r>
        <w:rPr>
          <w:noProof/>
        </w:rPr>
        <w:t>РЕПУБЛИКА АВСТРИЯ,</w:t>
      </w:r>
    </w:p>
    <w:p>
      <w:pPr>
        <w:rPr>
          <w:noProof/>
        </w:rPr>
      </w:pPr>
      <w:r>
        <w:rPr>
          <w:noProof/>
        </w:rPr>
        <w:t>РЕПУБЛИКА ПОЛША,</w:t>
      </w:r>
    </w:p>
    <w:p>
      <w:pPr>
        <w:rPr>
          <w:noProof/>
        </w:rPr>
      </w:pPr>
      <w:r>
        <w:rPr>
          <w:noProof/>
        </w:rPr>
        <w:t>ПОРТУГАЛСКАТА РЕПУБЛИКА,</w:t>
      </w:r>
    </w:p>
    <w:p>
      <w:pPr>
        <w:rPr>
          <w:noProof/>
        </w:rPr>
      </w:pPr>
      <w:r>
        <w:rPr>
          <w:noProof/>
        </w:rPr>
        <w:t>РУМЪНИЯ,</w:t>
      </w:r>
    </w:p>
    <w:p>
      <w:pPr>
        <w:rPr>
          <w:noProof/>
        </w:rPr>
      </w:pPr>
      <w:r>
        <w:rPr>
          <w:noProof/>
        </w:rPr>
        <w:t>РЕПУБЛИКА СЛОВЕНИЯ,</w:t>
      </w:r>
    </w:p>
    <w:p>
      <w:pPr>
        <w:rPr>
          <w:noProof/>
        </w:rPr>
      </w:pPr>
      <w:r>
        <w:rPr>
          <w:noProof/>
        </w:rPr>
        <w:t>СЛОВАШКАТА РЕПУБЛИКА,</w:t>
      </w:r>
    </w:p>
    <w:p>
      <w:pPr>
        <w:rPr>
          <w:noProof/>
        </w:rPr>
      </w:pPr>
      <w:r>
        <w:rPr>
          <w:noProof/>
        </w:rPr>
        <w:t>РЕПУБЛИКА ФИНЛАНДИЯ,</w:t>
      </w:r>
    </w:p>
    <w:p>
      <w:pPr>
        <w:rPr>
          <w:noProof/>
        </w:rPr>
      </w:pPr>
      <w:r>
        <w:rPr>
          <w:noProof/>
        </w:rPr>
        <w:t>КРАЛСТВО ШВЕЦИЯ,</w:t>
      </w:r>
    </w:p>
    <w:p>
      <w:pPr>
        <w:rPr>
          <w:noProof/>
        </w:rPr>
      </w:pPr>
      <w:r>
        <w:rPr>
          <w:noProof/>
        </w:rPr>
        <w:t>ОБЕДИНЕНОТО КРАЛСТВО ВЕЛИКОБРИТАНИЯ И СЕВЕРНА ИРЛАНДИЯ,</w:t>
      </w:r>
    </w:p>
    <w:p>
      <w:pPr>
        <w:rPr>
          <w:noProof/>
        </w:rPr>
      </w:pPr>
      <w:r>
        <w:rPr>
          <w:noProof/>
        </w:rPr>
        <w:t>И</w:t>
      </w:r>
    </w:p>
    <w:p>
      <w:pPr>
        <w:rPr>
          <w:noProof/>
        </w:rPr>
      </w:pPr>
      <w:r>
        <w:rPr>
          <w:noProof/>
        </w:rPr>
        <w:t>ЕВРОПЕЙСКИЯТ СЪЮЗ</w:t>
      </w:r>
    </w:p>
    <w:p>
      <w:pPr>
        <w:rPr>
          <w:noProof/>
        </w:rPr>
      </w:pPr>
      <w:r>
        <w:rPr>
          <w:noProof/>
        </w:rPr>
        <w:t>(наричан по-долу „ЕС“),</w:t>
      </w:r>
    </w:p>
    <w:p>
      <w:pPr>
        <w:rPr>
          <w:noProof/>
        </w:rPr>
      </w:pPr>
      <w:r>
        <w:rPr>
          <w:noProof/>
        </w:rPr>
        <w:t>от друга страна,</w:t>
      </w:r>
    </w:p>
    <w:p>
      <w:pPr>
        <w:rPr>
          <w:noProof/>
        </w:rPr>
      </w:pPr>
      <w:r>
        <w:rPr>
          <w:noProof/>
        </w:rPr>
        <w:t>КАТО ПРИПОМНЯТ ангажиментите си в рамките на Споразумението за Световната търговска организация, наричано по-долу „Споразумението за СТО“,</w:t>
      </w:r>
    </w:p>
    <w:p>
      <w:pPr>
        <w:rPr>
          <w:noProof/>
        </w:rPr>
      </w:pPr>
      <w:r>
        <w:rPr>
          <w:noProof/>
        </w:rPr>
        <w:t>КАТО ВЗЕХА ПРЕДВИД Споразумението за създаване на групата държави от Африка, Карибите и Тихоокеанския басейн (АКТБ), подписано в Джорджтаун на 6 юни 1975 г.,</w:t>
      </w:r>
    </w:p>
    <w:p>
      <w:pPr>
        <w:rPr>
          <w:noProof/>
        </w:rPr>
      </w:pPr>
      <w:r>
        <w:rPr>
          <w:noProof/>
        </w:rPr>
        <w:t>КАТО ВЗЕХА ПРЕДВИД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подписано в Котону на 23 юни 2000 г., изменено за първи път в Люксембург на 25 юни 2005 г. и за втори път в Уагадугу на 22 юни 2010 г., наричано по-долу „Споразумението от Котону“,</w:t>
      </w:r>
    </w:p>
    <w:p>
      <w:pPr>
        <w:rPr>
          <w:noProof/>
        </w:rPr>
      </w:pPr>
      <w:r>
        <w:rPr>
          <w:noProof/>
        </w:rPr>
        <w:t>КАТО ВЗЕХА ПРЕДВИД Договора за създаване на Източноафриканската общност (ИАО), подписан в Аруша на 30 ноември 1999 г., и неговия Протокол за създаване на митнически съюз на Източноафриканската общност,</w:t>
      </w:r>
    </w:p>
    <w:p>
      <w:pPr>
        <w:rPr>
          <w:noProof/>
        </w:rPr>
      </w:pPr>
      <w:r>
        <w:rPr>
          <w:noProof/>
        </w:rPr>
        <w:t>КАТО ИЗРАЗЯВАТ ОТНОВО желанието си за по-голямо единство в Африка и за постигане на целите на Договора за създаване на Африканската икономическа общност,</w:t>
      </w:r>
    </w:p>
    <w:p>
      <w:pPr>
        <w:rPr>
          <w:noProof/>
        </w:rPr>
      </w:pPr>
      <w:r>
        <w:rPr>
          <w:noProof/>
        </w:rPr>
        <w:t xml:space="preserve">КАТО ВЗЕХА ПРЕДВИД Договора за Европейския съюз (ДЕС) и Договора за функционирането на Европейския съюз (ДФЕС), </w:t>
      </w:r>
    </w:p>
    <w:p>
      <w:pPr>
        <w:rPr>
          <w:noProof/>
        </w:rPr>
      </w:pPr>
      <w:r>
        <w:rPr>
          <w:noProof/>
        </w:rPr>
        <w:t>КАТО ИМАТ ПРЕДВИД, че държавите партньори от ИАО и ЕС и неговите държави членки са постигнали съгласие, че тяхното търговско и икономическо сътрудничество ще има за цел насърчаването на плавното и постепенно интегриране на държавите от АКТБ в световната икономика, като надлежно се отчита техният политически избор, равнища на развитие и приоритети за развитие, и във връзка с това се насърчава тяхното устойчиво развитие и се допринася за премахването на бедността в държавите партньори от ИАО,</w:t>
      </w:r>
    </w:p>
    <w:p>
      <w:pPr>
        <w:rPr>
          <w:noProof/>
        </w:rPr>
      </w:pPr>
      <w:r>
        <w:rPr>
          <w:noProof/>
        </w:rPr>
        <w:t xml:space="preserve">КАТО ПОТВЪРЖДАВАТ ОТНОВО, че Споразумението за икономическо партньорство (СИП) ще бъде съвместимо също с целите и принципите на </w:t>
      </w:r>
      <w:r>
        <w:rPr>
          <w:noProof/>
        </w:rPr>
        <w:lastRenderedPageBreak/>
        <w:t>Споразумението от Котону, и по-специално с разпоредбите на част 3, дял ІІ от него, посветени на икономическото и търговското сътрудничество,</w:t>
      </w:r>
    </w:p>
    <w:p>
      <w:pPr>
        <w:rPr>
          <w:noProof/>
        </w:rPr>
      </w:pPr>
      <w:r>
        <w:rPr>
          <w:noProof/>
        </w:rPr>
        <w:t>КАТО ПОТВЪРЖДАВАТ ОТНОВО, че СИП ще служи като инструмент за развитие и ще насърчава устойчивия растеж, ще повишава производителността и капацитета на държавите партньори от ИАО по отношение на предлагането, ще насърчава структурното преобразуване на икономиките на държавите партньори от ИАО и тяхната диверсификация и конкурентоспособност и ще води до развитие на търговията, привличане на инвестиции, технологии и създаване на работни места в държавите партньори от ИАО,</w:t>
      </w:r>
    </w:p>
    <w:p>
      <w:pPr>
        <w:rPr>
          <w:noProof/>
        </w:rPr>
      </w:pPr>
      <w:r>
        <w:rPr>
          <w:noProof/>
        </w:rPr>
        <w:t xml:space="preserve">КАТО ИЗРАЗЯВАТ ОТНОВО необходимостта да се гарантира, че се отделя специално внимание на регионалната интеграция и предоставянето на специално и диференцирано третиране на всички държави партньори от ИАО, като при това се запазва специалното третиране на най-слаборазвитите държави партньори от ИАО, </w:t>
      </w:r>
    </w:p>
    <w:p>
      <w:pPr>
        <w:rPr>
          <w:noProof/>
        </w:rPr>
      </w:pPr>
      <w:r>
        <w:rPr>
          <w:noProof/>
        </w:rPr>
        <w:t>КАТО ПРИЗНАВАТ, че за повишаване на жизнения стандарт в държавите партньори от ИАО се изискват съществени инвестиции,</w:t>
      </w:r>
    </w:p>
    <w:p>
      <w:pPr>
        <w:spacing w:after="480"/>
        <w:rPr>
          <w:noProof/>
        </w:rPr>
      </w:pPr>
      <w:r>
        <w:rPr>
          <w:noProof/>
        </w:rPr>
        <w:t>СЕ СПОРАЗУМЯХА ЗА СЛЕДНОТО:</w:t>
      </w:r>
      <w:bookmarkStart w:id="3" w:name="_Toc202345613"/>
      <w:bookmarkStart w:id="4" w:name="_Toc401595108"/>
    </w:p>
    <w:p>
      <w:pPr>
        <w:jc w:val="center"/>
        <w:rPr>
          <w:b/>
          <w:noProof/>
        </w:rPr>
      </w:pPr>
      <w:r>
        <w:rPr>
          <w:b/>
          <w:noProof/>
        </w:rPr>
        <w:t>ЧАСТ I: ОБЩИ РАЗПОРЕДБИ</w:t>
      </w:r>
      <w:bookmarkEnd w:id="3"/>
      <w:bookmarkEnd w:id="4"/>
    </w:p>
    <w:p>
      <w:pPr>
        <w:pStyle w:val="Titrearticle"/>
        <w:rPr>
          <w:b/>
          <w:noProof/>
        </w:rPr>
      </w:pPr>
      <w:r>
        <w:rPr>
          <w:b/>
          <w:noProof/>
        </w:rPr>
        <w:t>ЧЛЕН 1</w:t>
      </w:r>
    </w:p>
    <w:p>
      <w:pPr>
        <w:jc w:val="center"/>
        <w:rPr>
          <w:b/>
          <w:noProof/>
        </w:rPr>
      </w:pPr>
      <w:r>
        <w:rPr>
          <w:b/>
          <w:noProof/>
        </w:rPr>
        <w:t>Обхват на споразумението</w:t>
      </w:r>
    </w:p>
    <w:p>
      <w:pPr>
        <w:rPr>
          <w:noProof/>
        </w:rPr>
      </w:pPr>
      <w:r>
        <w:rPr>
          <w:noProof/>
        </w:rPr>
        <w:t>Страните сключват споразумение за икономическо партньорство (СИП). Настоящото споразумение обхваща следното:</w:t>
      </w:r>
    </w:p>
    <w:p>
      <w:pPr>
        <w:pStyle w:val="Point0"/>
        <w:rPr>
          <w:noProof/>
        </w:rPr>
      </w:pPr>
      <w:r>
        <w:rPr>
          <w:noProof/>
        </w:rPr>
        <w:t>а)</w:t>
      </w:r>
      <w:r>
        <w:rPr>
          <w:noProof/>
        </w:rPr>
        <w:tab/>
        <w:t>Общи разпоредби</w:t>
      </w:r>
    </w:p>
    <w:p>
      <w:pPr>
        <w:pStyle w:val="Point0"/>
        <w:rPr>
          <w:noProof/>
        </w:rPr>
      </w:pPr>
      <w:r>
        <w:rPr>
          <w:noProof/>
        </w:rPr>
        <w:t>б)</w:t>
      </w:r>
      <w:r>
        <w:rPr>
          <w:noProof/>
        </w:rPr>
        <w:tab/>
        <w:t>Търговия със стоки</w:t>
      </w:r>
    </w:p>
    <w:p>
      <w:pPr>
        <w:pStyle w:val="Point0"/>
        <w:rPr>
          <w:noProof/>
        </w:rPr>
      </w:pPr>
      <w:r>
        <w:rPr>
          <w:noProof/>
        </w:rPr>
        <w:t>в)</w:t>
      </w:r>
      <w:r>
        <w:rPr>
          <w:noProof/>
        </w:rPr>
        <w:tab/>
        <w:t>Рибарство</w:t>
      </w:r>
    </w:p>
    <w:p>
      <w:pPr>
        <w:pStyle w:val="Point0"/>
        <w:rPr>
          <w:noProof/>
        </w:rPr>
      </w:pPr>
      <w:r>
        <w:rPr>
          <w:noProof/>
        </w:rPr>
        <w:t>г)</w:t>
      </w:r>
      <w:r>
        <w:rPr>
          <w:noProof/>
        </w:rPr>
        <w:tab/>
        <w:t>Селско стопанство</w:t>
      </w:r>
    </w:p>
    <w:p>
      <w:pPr>
        <w:pStyle w:val="Point0"/>
        <w:rPr>
          <w:noProof/>
        </w:rPr>
      </w:pPr>
      <w:r>
        <w:rPr>
          <w:noProof/>
        </w:rPr>
        <w:t>д)</w:t>
      </w:r>
      <w:r>
        <w:rPr>
          <w:noProof/>
        </w:rPr>
        <w:tab/>
        <w:t>Икономическо сътрудничество и сътрудничество за развитие</w:t>
      </w:r>
    </w:p>
    <w:p>
      <w:pPr>
        <w:pStyle w:val="Point0"/>
        <w:rPr>
          <w:noProof/>
        </w:rPr>
      </w:pPr>
      <w:r>
        <w:rPr>
          <w:noProof/>
        </w:rPr>
        <w:t>е)</w:t>
      </w:r>
      <w:r>
        <w:rPr>
          <w:noProof/>
        </w:rPr>
        <w:tab/>
        <w:t>Институционални разпоредби</w:t>
      </w:r>
    </w:p>
    <w:p>
      <w:pPr>
        <w:pStyle w:val="Point0"/>
        <w:rPr>
          <w:noProof/>
        </w:rPr>
      </w:pPr>
      <w:r>
        <w:rPr>
          <w:noProof/>
        </w:rPr>
        <w:t>ж)</w:t>
      </w:r>
      <w:r>
        <w:rPr>
          <w:noProof/>
        </w:rPr>
        <w:tab/>
        <w:t>Предотвратяване и уреждане на спорове</w:t>
      </w:r>
    </w:p>
    <w:p>
      <w:pPr>
        <w:pStyle w:val="Point0"/>
        <w:rPr>
          <w:noProof/>
        </w:rPr>
      </w:pPr>
      <w:r>
        <w:rPr>
          <w:noProof/>
        </w:rPr>
        <w:t>з)</w:t>
      </w:r>
      <w:r>
        <w:rPr>
          <w:noProof/>
        </w:rPr>
        <w:tab/>
        <w:t>Общи изключения</w:t>
      </w:r>
    </w:p>
    <w:p>
      <w:pPr>
        <w:pStyle w:val="Point0"/>
        <w:rPr>
          <w:noProof/>
        </w:rPr>
      </w:pPr>
      <w:r>
        <w:rPr>
          <w:noProof/>
        </w:rPr>
        <w:t>и)</w:t>
      </w:r>
      <w:r>
        <w:rPr>
          <w:noProof/>
        </w:rPr>
        <w:tab/>
        <w:t>Общи и заключителни разпоредби</w:t>
      </w:r>
    </w:p>
    <w:p>
      <w:pPr>
        <w:pStyle w:val="Point0"/>
        <w:rPr>
          <w:noProof/>
        </w:rPr>
      </w:pPr>
      <w:r>
        <w:rPr>
          <w:noProof/>
        </w:rPr>
        <w:t>й)</w:t>
      </w:r>
      <w:r>
        <w:rPr>
          <w:noProof/>
        </w:rPr>
        <w:tab/>
        <w:t>Приложения и протоколи към споразумението</w:t>
      </w:r>
    </w:p>
    <w:p>
      <w:pPr>
        <w:pStyle w:val="Titrearticle"/>
        <w:rPr>
          <w:rFonts w:eastAsia="Times New Roman"/>
          <w:b/>
          <w:noProof/>
          <w:szCs w:val="24"/>
        </w:rPr>
      </w:pPr>
      <w:r>
        <w:rPr>
          <w:b/>
          <w:noProof/>
        </w:rPr>
        <w:t>ЧЛЕН 2</w:t>
      </w:r>
    </w:p>
    <w:p>
      <w:pPr>
        <w:jc w:val="center"/>
        <w:rPr>
          <w:rFonts w:eastAsia="Times New Roman"/>
          <w:b/>
          <w:noProof/>
          <w:szCs w:val="24"/>
        </w:rPr>
      </w:pPr>
      <w:r>
        <w:rPr>
          <w:b/>
          <w:noProof/>
        </w:rPr>
        <w:t>Цели</w:t>
      </w:r>
    </w:p>
    <w:p>
      <w:pPr>
        <w:pStyle w:val="ManualNumPar1"/>
        <w:rPr>
          <w:noProof/>
        </w:rPr>
      </w:pPr>
      <w:r>
        <w:rPr>
          <w:noProof/>
        </w:rPr>
        <w:t>1.</w:t>
      </w:r>
      <w:r>
        <w:rPr>
          <w:noProof/>
        </w:rPr>
        <w:tab/>
        <w:t>Целите на настоящото споразумение са:</w:t>
      </w:r>
    </w:p>
    <w:p>
      <w:pPr>
        <w:pStyle w:val="Point1"/>
        <w:rPr>
          <w:noProof/>
        </w:rPr>
      </w:pPr>
      <w:r>
        <w:rPr>
          <w:noProof/>
        </w:rPr>
        <w:lastRenderedPageBreak/>
        <w:t>а)</w:t>
      </w:r>
      <w:r>
        <w:rPr>
          <w:noProof/>
        </w:rPr>
        <w:tab/>
        <w:t>да допринесе за икономическия растеж и развитие чрез създаване на засилено и стратегическо партньорство за търговия и развитие, което съответства на целта за устойчиво развитие;</w:t>
      </w:r>
    </w:p>
    <w:p>
      <w:pPr>
        <w:pStyle w:val="Point1"/>
        <w:rPr>
          <w:noProof/>
        </w:rPr>
      </w:pPr>
      <w:r>
        <w:rPr>
          <w:noProof/>
        </w:rPr>
        <w:t>б)</w:t>
      </w:r>
      <w:r>
        <w:rPr>
          <w:noProof/>
        </w:rPr>
        <w:tab/>
        <w:t>да насърчи регионалната интеграция, икономическото сътрудничество и доброто управление в ИАО;</w:t>
      </w:r>
    </w:p>
    <w:p>
      <w:pPr>
        <w:pStyle w:val="Point1"/>
        <w:rPr>
          <w:noProof/>
        </w:rPr>
      </w:pPr>
      <w:r>
        <w:rPr>
          <w:noProof/>
        </w:rPr>
        <w:t>в)</w:t>
      </w:r>
      <w:r>
        <w:rPr>
          <w:noProof/>
        </w:rPr>
        <w:tab/>
        <w:t>да насърчи постепенната интеграция на ИАО в световната икономика, в съответствие с нейния политически избор и приоритети за развитие;</w:t>
      </w:r>
    </w:p>
    <w:p>
      <w:pPr>
        <w:pStyle w:val="Point1"/>
        <w:rPr>
          <w:noProof/>
        </w:rPr>
      </w:pPr>
      <w:r>
        <w:rPr>
          <w:noProof/>
        </w:rPr>
        <w:t>г)</w:t>
      </w:r>
      <w:r>
        <w:rPr>
          <w:noProof/>
        </w:rPr>
        <w:tab/>
        <w:t>да насърчи структурното преобразуване на икономиките на ИАО и тяхната диверсификация и конкурентоспособност чрез увеличаване на капацитета по отношение на производството, предлагането и търговията;</w:t>
      </w:r>
    </w:p>
    <w:p>
      <w:pPr>
        <w:pStyle w:val="Point1"/>
        <w:rPr>
          <w:noProof/>
        </w:rPr>
      </w:pPr>
      <w:r>
        <w:rPr>
          <w:noProof/>
        </w:rPr>
        <w:t>д)</w:t>
      </w:r>
      <w:r>
        <w:rPr>
          <w:noProof/>
        </w:rPr>
        <w:tab/>
        <w:t>да подобри капацитета на ИАО в областта на търговската политика и въпросите, свързани с търговията;</w:t>
      </w:r>
    </w:p>
    <w:p>
      <w:pPr>
        <w:pStyle w:val="Point1"/>
        <w:rPr>
          <w:noProof/>
        </w:rPr>
      </w:pPr>
      <w:r>
        <w:rPr>
          <w:noProof/>
        </w:rPr>
        <w:t>е)</w:t>
      </w:r>
      <w:r>
        <w:rPr>
          <w:noProof/>
        </w:rPr>
        <w:tab/>
        <w:t>да създаде и въведе ефикасна, предвидима и прозрачна регионална нормативна рамка за търговията и инвестициите в държавите партньори от ИАО, като по този начин се отрази благоприятно на условията за нарастване на инвестициите и инициативите в частния сектор; както и</w:t>
      </w:r>
    </w:p>
    <w:p>
      <w:pPr>
        <w:pStyle w:val="Point1"/>
        <w:rPr>
          <w:noProof/>
          <w:snapToGrid w:val="0"/>
        </w:rPr>
      </w:pPr>
      <w:r>
        <w:rPr>
          <w:noProof/>
        </w:rPr>
        <w:t>ж)</w:t>
      </w:r>
      <w:r>
        <w:rPr>
          <w:noProof/>
        </w:rPr>
        <w:tab/>
        <w:t>да укрепи съществуващите връзки между страните на основата на солидарността и взаимния интерес. За тази цел, в съответствие с правата и задълженията на страните в рамките на СТО, настоящото споразумение подобрява търговските и икономическите отношения, оказва подкрепа за развитието на една нова търговска динамика между страните посредством последователната и асиметрична либерализация на търговията между тях и засилва, разширява и задълбочава сътрудничеството във всички области от значение за търговията и инвестициите.</w:t>
      </w:r>
    </w:p>
    <w:p>
      <w:pPr>
        <w:pStyle w:val="ManualNumPar1"/>
        <w:rPr>
          <w:rFonts w:eastAsia="Times New Roman"/>
          <w:noProof/>
          <w:szCs w:val="24"/>
        </w:rPr>
      </w:pPr>
      <w:r>
        <w:rPr>
          <w:noProof/>
        </w:rPr>
        <w:t>2.</w:t>
      </w:r>
      <w:r>
        <w:rPr>
          <w:noProof/>
        </w:rPr>
        <w:tab/>
        <w:t>В съответствие с членове 34 и 35 от Споразумението от Котону целите на настоящото споразумение също така са:</w:t>
      </w:r>
    </w:p>
    <w:p>
      <w:pPr>
        <w:pStyle w:val="Point1"/>
        <w:rPr>
          <w:noProof/>
        </w:rPr>
      </w:pPr>
      <w:r>
        <w:rPr>
          <w:noProof/>
        </w:rPr>
        <w:t>а)</w:t>
      </w:r>
      <w:r>
        <w:rPr>
          <w:noProof/>
        </w:rPr>
        <w:tab/>
        <w:t>да създаде споразумение, съобразено с член ХХІV от Общото споразумение за митата и търговията от 1994 г. („ГАТТ от 1994 г.“);</w:t>
      </w:r>
    </w:p>
    <w:p>
      <w:pPr>
        <w:pStyle w:val="Point1"/>
        <w:rPr>
          <w:noProof/>
        </w:rPr>
      </w:pPr>
      <w:r>
        <w:rPr>
          <w:noProof/>
        </w:rPr>
        <w:t>б)</w:t>
      </w:r>
      <w:r>
        <w:rPr>
          <w:noProof/>
        </w:rPr>
        <w:tab/>
        <w:t>да улесни продължаването на търговията от страна на държавите партньори от ИАО при условия, които не са по-неблагоприятни от условията в рамките на Споразумението от Котону;</w:t>
      </w:r>
    </w:p>
    <w:p>
      <w:pPr>
        <w:pStyle w:val="Point1"/>
        <w:rPr>
          <w:rFonts w:eastAsia="Times New Roman"/>
          <w:noProof/>
          <w:snapToGrid w:val="0"/>
          <w:szCs w:val="24"/>
        </w:rPr>
      </w:pPr>
      <w:r>
        <w:rPr>
          <w:noProof/>
        </w:rPr>
        <w:t>в)</w:t>
      </w:r>
      <w:r>
        <w:rPr>
          <w:noProof/>
        </w:rPr>
        <w:tab/>
        <w:t>да установи рамката и обхвата на евентуалните преговори по други въпроси, включително относно търговията с услуги, въпросите, свързани с търговията, както са посочени в Споразумението от Котону, както и всяка друга област от интерес за двете страни.</w:t>
      </w:r>
    </w:p>
    <w:p>
      <w:pPr>
        <w:pStyle w:val="Titrearticle"/>
        <w:rPr>
          <w:rFonts w:eastAsia="Times New Roman"/>
          <w:b/>
          <w:noProof/>
          <w:snapToGrid w:val="0"/>
          <w:szCs w:val="24"/>
        </w:rPr>
      </w:pPr>
      <w:r>
        <w:rPr>
          <w:b/>
          <w:noProof/>
        </w:rPr>
        <w:t>ЧЛЕН 3</w:t>
      </w:r>
    </w:p>
    <w:p>
      <w:pPr>
        <w:jc w:val="center"/>
        <w:rPr>
          <w:rFonts w:eastAsia="Times New Roman"/>
          <w:b/>
          <w:noProof/>
          <w:snapToGrid w:val="0"/>
          <w:szCs w:val="24"/>
        </w:rPr>
      </w:pPr>
      <w:r>
        <w:rPr>
          <w:b/>
          <w:noProof/>
        </w:rPr>
        <w:t>Клауза за ново разглеждане</w:t>
      </w:r>
    </w:p>
    <w:p>
      <w:pPr>
        <w:rPr>
          <w:rFonts w:eastAsia="Times New Roman"/>
          <w:noProof/>
          <w:szCs w:val="24"/>
        </w:rPr>
      </w:pPr>
      <w:r>
        <w:rPr>
          <w:noProof/>
        </w:rPr>
        <w:t>Страните се ангажират в срок от пет (5) години след влизането в сила на настоящото споразумение да приключат преговорите в изброените по-долу области:</w:t>
      </w:r>
    </w:p>
    <w:p>
      <w:pPr>
        <w:pStyle w:val="Point0"/>
        <w:rPr>
          <w:noProof/>
        </w:rPr>
      </w:pPr>
      <w:r>
        <w:rPr>
          <w:noProof/>
        </w:rPr>
        <w:t>а)</w:t>
      </w:r>
      <w:r>
        <w:rPr>
          <w:noProof/>
        </w:rPr>
        <w:tab/>
        <w:t>търговия с услуги;</w:t>
      </w:r>
    </w:p>
    <w:p>
      <w:pPr>
        <w:pStyle w:val="Point0"/>
        <w:rPr>
          <w:rFonts w:eastAsia="Times New Roman"/>
          <w:noProof/>
          <w:szCs w:val="24"/>
        </w:rPr>
      </w:pPr>
      <w:r>
        <w:rPr>
          <w:noProof/>
        </w:rPr>
        <w:t>б)</w:t>
      </w:r>
      <w:r>
        <w:rPr>
          <w:noProof/>
        </w:rPr>
        <w:tab/>
        <w:t>въпроси, свързани с търговията, а именно:</w:t>
      </w:r>
    </w:p>
    <w:p>
      <w:pPr>
        <w:pStyle w:val="Point1"/>
        <w:rPr>
          <w:noProof/>
        </w:rPr>
      </w:pPr>
      <w:r>
        <w:rPr>
          <w:noProof/>
        </w:rPr>
        <w:lastRenderedPageBreak/>
        <w:t>i)</w:t>
      </w:r>
      <w:r>
        <w:rPr>
          <w:noProof/>
        </w:rPr>
        <w:tab/>
        <w:t>политика в областта на конкуренцията;</w:t>
      </w:r>
    </w:p>
    <w:p>
      <w:pPr>
        <w:pStyle w:val="Point1"/>
        <w:rPr>
          <w:noProof/>
        </w:rPr>
      </w:pPr>
      <w:r>
        <w:rPr>
          <w:noProof/>
        </w:rPr>
        <w:t>ii)</w:t>
      </w:r>
      <w:r>
        <w:rPr>
          <w:noProof/>
        </w:rPr>
        <w:tab/>
        <w:t>инвестиции и развитие на частния сектор;</w:t>
      </w:r>
    </w:p>
    <w:p>
      <w:pPr>
        <w:pStyle w:val="Point1"/>
        <w:rPr>
          <w:noProof/>
        </w:rPr>
      </w:pPr>
      <w:r>
        <w:rPr>
          <w:noProof/>
        </w:rPr>
        <w:t>iii)</w:t>
      </w:r>
      <w:r>
        <w:rPr>
          <w:noProof/>
        </w:rPr>
        <w:tab/>
        <w:t>търговия, околна среда и устойчиво развитие;</w:t>
      </w:r>
    </w:p>
    <w:p>
      <w:pPr>
        <w:pStyle w:val="Point1"/>
        <w:rPr>
          <w:noProof/>
        </w:rPr>
      </w:pPr>
      <w:r>
        <w:rPr>
          <w:noProof/>
        </w:rPr>
        <w:t>iv)</w:t>
      </w:r>
      <w:r>
        <w:rPr>
          <w:noProof/>
        </w:rPr>
        <w:tab/>
        <w:t>права на интелектуална собственост;</w:t>
      </w:r>
    </w:p>
    <w:p>
      <w:pPr>
        <w:pStyle w:val="Point1"/>
        <w:rPr>
          <w:noProof/>
        </w:rPr>
      </w:pPr>
      <w:r>
        <w:rPr>
          <w:noProof/>
        </w:rPr>
        <w:t>v)</w:t>
      </w:r>
      <w:r>
        <w:rPr>
          <w:noProof/>
        </w:rPr>
        <w:tab/>
        <w:t>прозрачност на обществените поръчки;</w:t>
      </w:r>
    </w:p>
    <w:p>
      <w:pPr>
        <w:pStyle w:val="Point0"/>
        <w:rPr>
          <w:rFonts w:eastAsia="Times New Roman"/>
          <w:noProof/>
          <w:szCs w:val="24"/>
        </w:rPr>
      </w:pPr>
      <w:r>
        <w:rPr>
          <w:noProof/>
        </w:rPr>
        <w:t>в)</w:t>
      </w:r>
      <w:r>
        <w:rPr>
          <w:noProof/>
        </w:rPr>
        <w:tab/>
        <w:t>всяка друга област, за която страните постигнат съгласие.</w:t>
      </w:r>
    </w:p>
    <w:p>
      <w:pPr>
        <w:pStyle w:val="Titrearticle"/>
        <w:rPr>
          <w:rFonts w:eastAsia="Times New Roman"/>
          <w:b/>
          <w:noProof/>
          <w:szCs w:val="24"/>
        </w:rPr>
      </w:pPr>
      <w:r>
        <w:rPr>
          <w:b/>
          <w:noProof/>
        </w:rPr>
        <w:t>ЧЛЕН 4</w:t>
      </w:r>
    </w:p>
    <w:p>
      <w:pPr>
        <w:jc w:val="center"/>
        <w:rPr>
          <w:rFonts w:eastAsia="Times New Roman"/>
          <w:b/>
          <w:noProof/>
          <w:szCs w:val="24"/>
        </w:rPr>
      </w:pPr>
      <w:r>
        <w:rPr>
          <w:b/>
          <w:noProof/>
        </w:rPr>
        <w:t>Принципи</w:t>
      </w:r>
    </w:p>
    <w:p>
      <w:pPr>
        <w:rPr>
          <w:rFonts w:eastAsia="Times New Roman"/>
          <w:noProof/>
          <w:szCs w:val="24"/>
        </w:rPr>
      </w:pPr>
      <w:r>
        <w:rPr>
          <w:noProof/>
        </w:rPr>
        <w:t>Настоящото споразумение се основава на следните принципи:</w:t>
      </w:r>
    </w:p>
    <w:p>
      <w:pPr>
        <w:pStyle w:val="Point0"/>
        <w:rPr>
          <w:rFonts w:eastAsia="Times New Roman"/>
          <w:noProof/>
          <w:szCs w:val="24"/>
        </w:rPr>
      </w:pPr>
      <w:r>
        <w:rPr>
          <w:noProof/>
        </w:rPr>
        <w:t>а)</w:t>
      </w:r>
      <w:r>
        <w:rPr>
          <w:noProof/>
        </w:rPr>
        <w:tab/>
        <w:t>надграждане на постиженията на Споразумението от Котону;</w:t>
      </w:r>
    </w:p>
    <w:p>
      <w:pPr>
        <w:pStyle w:val="Point0"/>
        <w:rPr>
          <w:rFonts w:eastAsia="Times New Roman"/>
          <w:noProof/>
          <w:szCs w:val="24"/>
        </w:rPr>
      </w:pPr>
      <w:r>
        <w:rPr>
          <w:noProof/>
        </w:rPr>
        <w:t>б)</w:t>
      </w:r>
      <w:r>
        <w:rPr>
          <w:noProof/>
        </w:rPr>
        <w:tab/>
        <w:t>укрепване на интеграцията в региона на ИАО;</w:t>
      </w:r>
    </w:p>
    <w:p>
      <w:pPr>
        <w:pStyle w:val="Point0"/>
        <w:rPr>
          <w:rFonts w:eastAsia="Times New Roman"/>
          <w:noProof/>
          <w:szCs w:val="24"/>
        </w:rPr>
      </w:pPr>
      <w:r>
        <w:rPr>
          <w:noProof/>
        </w:rPr>
        <w:t>в)</w:t>
      </w:r>
      <w:r>
        <w:rPr>
          <w:noProof/>
        </w:rPr>
        <w:tab/>
        <w:t>осигуряване на асиметричен подход в полза на държавите партньори от ИАО при либерализацията на търговията и при прилагането на мерките, свързани с търговията, и на инструментите за защита на търговията;</w:t>
      </w:r>
    </w:p>
    <w:p>
      <w:pPr>
        <w:pStyle w:val="Point0"/>
        <w:rPr>
          <w:rFonts w:eastAsia="Times New Roman"/>
          <w:noProof/>
          <w:szCs w:val="24"/>
        </w:rPr>
      </w:pPr>
      <w:r>
        <w:rPr>
          <w:noProof/>
        </w:rPr>
        <w:t>г)</w:t>
      </w:r>
      <w:r>
        <w:rPr>
          <w:noProof/>
        </w:rPr>
        <w:tab/>
        <w:t>предоставяне на възможност на държавите партньори от ИАО да запазят регионалните преференции по отношение на други африкански държави и региони, без задължение да ги предоставят и на ЕС; както и</w:t>
      </w:r>
    </w:p>
    <w:p>
      <w:pPr>
        <w:pStyle w:val="Point0"/>
        <w:rPr>
          <w:rFonts w:eastAsia="Calibri"/>
          <w:noProof/>
          <w:szCs w:val="24"/>
        </w:rPr>
      </w:pPr>
      <w:r>
        <w:rPr>
          <w:noProof/>
        </w:rPr>
        <w:t>д)</w:t>
      </w:r>
      <w:r>
        <w:rPr>
          <w:noProof/>
        </w:rPr>
        <w:tab/>
        <w:t>допринасяне за повишаване на капацитета на държавите партньори от ИАО по отношение на производството, предлагането и търговията.</w:t>
      </w:r>
    </w:p>
    <w:p>
      <w:pPr>
        <w:jc w:val="center"/>
        <w:rPr>
          <w:rFonts w:eastAsia="Times New Roman"/>
          <w:b/>
          <w:bCs/>
          <w:noProof/>
          <w:kern w:val="32"/>
          <w:szCs w:val="24"/>
        </w:rPr>
      </w:pPr>
      <w:bookmarkStart w:id="5" w:name="_Toc202345614"/>
      <w:bookmarkStart w:id="6" w:name="_Toc401595109"/>
      <w:r>
        <w:rPr>
          <w:b/>
          <w:noProof/>
        </w:rPr>
        <w:t>ЧАСТ II: ТЪРГОВИЯ СЪС СТОКИ</w:t>
      </w:r>
      <w:bookmarkEnd w:id="5"/>
      <w:bookmarkEnd w:id="6"/>
    </w:p>
    <w:p>
      <w:pPr>
        <w:pStyle w:val="Titrearticle"/>
        <w:rPr>
          <w:rFonts w:eastAsia="Times New Roman"/>
          <w:b/>
          <w:noProof/>
          <w:szCs w:val="24"/>
        </w:rPr>
      </w:pPr>
      <w:r>
        <w:rPr>
          <w:b/>
          <w:noProof/>
        </w:rPr>
        <w:t>ЧЛЕН 5</w:t>
      </w:r>
    </w:p>
    <w:p>
      <w:pPr>
        <w:jc w:val="center"/>
        <w:rPr>
          <w:rFonts w:eastAsia="Times New Roman"/>
          <w:b/>
          <w:noProof/>
          <w:szCs w:val="24"/>
        </w:rPr>
      </w:pPr>
      <w:r>
        <w:rPr>
          <w:b/>
          <w:noProof/>
        </w:rPr>
        <w:t>Обхват и цели</w:t>
      </w:r>
    </w:p>
    <w:p>
      <w:pPr>
        <w:pStyle w:val="ManualNumPar1"/>
        <w:rPr>
          <w:rFonts w:eastAsia="Times New Roman"/>
          <w:noProof/>
          <w:szCs w:val="24"/>
        </w:rPr>
      </w:pPr>
      <w:r>
        <w:rPr>
          <w:noProof/>
        </w:rPr>
        <w:t>1.</w:t>
      </w:r>
      <w:r>
        <w:rPr>
          <w:noProof/>
        </w:rPr>
        <w:tab/>
        <w:t>Разпоредбите на настоящата част се прилагат за всички стоки с произход от ЕС и от държавите партньори от ИАО.</w:t>
      </w:r>
    </w:p>
    <w:p>
      <w:pPr>
        <w:pStyle w:val="ManualNumPar1"/>
        <w:rPr>
          <w:rFonts w:eastAsia="Times New Roman"/>
          <w:noProof/>
          <w:szCs w:val="24"/>
        </w:rPr>
      </w:pPr>
      <w:r>
        <w:rPr>
          <w:noProof/>
        </w:rPr>
        <w:t>2.</w:t>
      </w:r>
      <w:r>
        <w:rPr>
          <w:noProof/>
        </w:rPr>
        <w:tab/>
        <w:t>Целите в областта на търговията със стоки са:</w:t>
      </w:r>
    </w:p>
    <w:p>
      <w:pPr>
        <w:pStyle w:val="Point1"/>
        <w:rPr>
          <w:noProof/>
        </w:rPr>
      </w:pPr>
      <w:r>
        <w:rPr>
          <w:noProof/>
        </w:rPr>
        <w:t>а)</w:t>
      </w:r>
      <w:r>
        <w:rPr>
          <w:noProof/>
        </w:rPr>
        <w:tab/>
        <w:t>предоставяне на условия за изцяло освободен от мита и квоти достъп до пазара на ЕС за стоки с произход от държавите партньори от ИАО на основата на сигурност, дългосрочност и предвидимост в съответствие с установените в настоящото споразумение правила;</w:t>
      </w:r>
    </w:p>
    <w:p>
      <w:pPr>
        <w:pStyle w:val="Point1"/>
        <w:rPr>
          <w:noProof/>
        </w:rPr>
      </w:pPr>
      <w:r>
        <w:rPr>
          <w:noProof/>
        </w:rPr>
        <w:t>б)</w:t>
      </w:r>
      <w:r>
        <w:rPr>
          <w:noProof/>
        </w:rPr>
        <w:tab/>
        <w:t>постепенно и плавно либерализиране на пазарите на държавите партньори от ИАО за стоки с произход от ЕС в съответствие с установените в настоящото споразумение правила; както и</w:t>
      </w:r>
    </w:p>
    <w:p>
      <w:pPr>
        <w:pStyle w:val="Point1"/>
        <w:rPr>
          <w:rFonts w:eastAsia="Times New Roman"/>
          <w:noProof/>
          <w:szCs w:val="24"/>
        </w:rPr>
      </w:pPr>
      <w:r>
        <w:rPr>
          <w:noProof/>
        </w:rPr>
        <w:t>в)</w:t>
      </w:r>
      <w:r>
        <w:rPr>
          <w:noProof/>
        </w:rPr>
        <w:tab/>
        <w:t>запазване и подобряване на условията за достъп до пазара, за да се гарантира, че държавите партньори от ИАО се възползват напълно от СИП.</w:t>
      </w:r>
      <w:bookmarkStart w:id="7" w:name="_Toc202345616"/>
    </w:p>
    <w:p>
      <w:pPr>
        <w:jc w:val="center"/>
        <w:rPr>
          <w:b/>
          <w:noProof/>
          <w:sz w:val="28"/>
          <w:szCs w:val="28"/>
        </w:rPr>
      </w:pPr>
      <w:bookmarkStart w:id="8" w:name="_Toc401595111"/>
      <w:r>
        <w:rPr>
          <w:b/>
          <w:noProof/>
          <w:sz w:val="28"/>
        </w:rPr>
        <w:t>ДЯЛ I: МИТА И СВОБОДНО ДВИЖЕНИЕ НА СТОКИ</w:t>
      </w:r>
      <w:bookmarkEnd w:id="7"/>
      <w:bookmarkEnd w:id="8"/>
    </w:p>
    <w:p>
      <w:pPr>
        <w:pStyle w:val="Titrearticle"/>
        <w:rPr>
          <w:rFonts w:eastAsia="Times New Roman"/>
          <w:b/>
          <w:noProof/>
          <w:szCs w:val="24"/>
        </w:rPr>
      </w:pPr>
      <w:r>
        <w:rPr>
          <w:b/>
          <w:noProof/>
        </w:rPr>
        <w:lastRenderedPageBreak/>
        <w:t>ЧЛЕН 6</w:t>
      </w:r>
    </w:p>
    <w:p>
      <w:pPr>
        <w:jc w:val="center"/>
        <w:rPr>
          <w:rFonts w:eastAsia="Times New Roman"/>
          <w:b/>
          <w:noProof/>
          <w:szCs w:val="24"/>
        </w:rPr>
      </w:pPr>
      <w:r>
        <w:rPr>
          <w:b/>
          <w:noProof/>
        </w:rPr>
        <w:t>Мита</w:t>
      </w:r>
    </w:p>
    <w:p>
      <w:pPr>
        <w:pStyle w:val="ManualNumPar1"/>
        <w:rPr>
          <w:rFonts w:eastAsia="Times New Roman"/>
          <w:noProof/>
          <w:szCs w:val="24"/>
        </w:rPr>
      </w:pPr>
      <w:r>
        <w:rPr>
          <w:noProof/>
        </w:rPr>
        <w:t>1.</w:t>
      </w:r>
      <w:r>
        <w:rPr>
          <w:noProof/>
        </w:rPr>
        <w:tab/>
        <w:t>Понятието „мито“ обхваща всеки налог или всякакъв вид такса, налагани върху или във връзка с вноса на стоки, и всякаква форма на допълнителен данък или допълнителна такса във връзка с такъв внос, но не включва:</w:t>
      </w:r>
    </w:p>
    <w:p>
      <w:pPr>
        <w:pStyle w:val="Point1"/>
        <w:rPr>
          <w:noProof/>
        </w:rPr>
      </w:pPr>
      <w:r>
        <w:rPr>
          <w:noProof/>
        </w:rPr>
        <w:t>а)</w:t>
      </w:r>
      <w:r>
        <w:rPr>
          <w:noProof/>
        </w:rPr>
        <w:tab/>
        <w:t>такси, еквивалентни на вътрешни данъци, налагани както върху внесени, така и върху местно произведени стоки, в съответствие с разпоредбите на член 20;</w:t>
      </w:r>
    </w:p>
    <w:p>
      <w:pPr>
        <w:pStyle w:val="Point1"/>
        <w:rPr>
          <w:rFonts w:eastAsia="Times New Roman"/>
          <w:noProof/>
          <w:szCs w:val="24"/>
        </w:rPr>
      </w:pPr>
      <w:r>
        <w:rPr>
          <w:noProof/>
        </w:rPr>
        <w:t>б)</w:t>
      </w:r>
      <w:r>
        <w:rPr>
          <w:noProof/>
        </w:rPr>
        <w:tab/>
        <w:t>антидъмпингови, изравнителни или защитни мерки, налагани в съответствие с разпоредбите на дял VI; както и</w:t>
      </w:r>
    </w:p>
    <w:p>
      <w:pPr>
        <w:pStyle w:val="Point1"/>
        <w:rPr>
          <w:rFonts w:eastAsia="Times New Roman"/>
          <w:noProof/>
          <w:szCs w:val="24"/>
        </w:rPr>
      </w:pPr>
      <w:r>
        <w:rPr>
          <w:noProof/>
        </w:rPr>
        <w:t>в)</w:t>
      </w:r>
      <w:r>
        <w:rPr>
          <w:noProof/>
        </w:rPr>
        <w:tab/>
        <w:t>възнаграждения или други такси, налагани в съответствие с разпоредбите на член 8.</w:t>
      </w:r>
    </w:p>
    <w:p>
      <w:pPr>
        <w:pStyle w:val="ManualNumPar1"/>
        <w:rPr>
          <w:rFonts w:eastAsia="Times New Roman"/>
          <w:noProof/>
          <w:szCs w:val="24"/>
        </w:rPr>
      </w:pPr>
      <w:r>
        <w:rPr>
          <w:noProof/>
        </w:rPr>
        <w:t>2.</w:t>
      </w:r>
      <w:r>
        <w:rPr>
          <w:noProof/>
        </w:rPr>
        <w:tab/>
        <w:t>Базовото мито, към което впоследствие трябва да се приложат последователните намаления, е определеното в графиците за премахване на митата на всяка от страните за всеки продукт.</w:t>
      </w:r>
    </w:p>
    <w:p>
      <w:pPr>
        <w:pStyle w:val="Titrearticle"/>
        <w:rPr>
          <w:rFonts w:eastAsia="Times New Roman"/>
          <w:b/>
          <w:noProof/>
          <w:szCs w:val="24"/>
        </w:rPr>
      </w:pPr>
      <w:r>
        <w:rPr>
          <w:b/>
          <w:noProof/>
        </w:rPr>
        <w:t>ЧЛЕН 7</w:t>
      </w:r>
    </w:p>
    <w:p>
      <w:pPr>
        <w:jc w:val="center"/>
        <w:rPr>
          <w:rFonts w:eastAsia="Times New Roman"/>
          <w:b/>
          <w:noProof/>
          <w:szCs w:val="24"/>
        </w:rPr>
      </w:pPr>
      <w:r>
        <w:rPr>
          <w:b/>
          <w:noProof/>
        </w:rPr>
        <w:t>Класиране на стоките</w:t>
      </w:r>
    </w:p>
    <w:p>
      <w:pPr>
        <w:pStyle w:val="ManualNumPar1"/>
        <w:rPr>
          <w:rFonts w:eastAsia="Times New Roman"/>
          <w:noProof/>
          <w:szCs w:val="24"/>
        </w:rPr>
      </w:pPr>
      <w:r>
        <w:rPr>
          <w:noProof/>
        </w:rPr>
        <w:t>1.</w:t>
      </w:r>
      <w:r>
        <w:rPr>
          <w:noProof/>
        </w:rPr>
        <w:tab/>
        <w:t>Класирането на търгуваните стоки, попадащи в обхвата на настоящото споразумение, е определеното в съответната тарифна номенклатура на всяка от страните в съответствие с Международната конвенция по Хармонизираната система за описание и кодиране на стоките („ХС“).</w:t>
      </w:r>
    </w:p>
    <w:p>
      <w:pPr>
        <w:pStyle w:val="ManualNumPar1"/>
        <w:rPr>
          <w:rFonts w:eastAsia="Times New Roman"/>
          <w:noProof/>
          <w:szCs w:val="24"/>
        </w:rPr>
      </w:pPr>
      <w:r>
        <w:rPr>
          <w:noProof/>
        </w:rPr>
        <w:t>2.</w:t>
      </w:r>
      <w:r>
        <w:rPr>
          <w:noProof/>
        </w:rPr>
        <w:tab/>
        <w:t>Страните обменят цялата необходима информация, в срок от три месеца след тарифно изменение или промяна в ХС, относно прилаганите от тях мита и номенклатурите, съответстващи на продуктите, изброени в приложения I и II.</w:t>
      </w:r>
    </w:p>
    <w:p>
      <w:pPr>
        <w:pStyle w:val="Titrearticle"/>
        <w:rPr>
          <w:rFonts w:eastAsia="Times New Roman"/>
          <w:b/>
          <w:noProof/>
          <w:szCs w:val="24"/>
        </w:rPr>
      </w:pPr>
      <w:r>
        <w:rPr>
          <w:b/>
          <w:noProof/>
        </w:rPr>
        <w:t>ЧЛЕН 8</w:t>
      </w:r>
    </w:p>
    <w:p>
      <w:pPr>
        <w:jc w:val="center"/>
        <w:rPr>
          <w:rFonts w:eastAsia="Times New Roman"/>
          <w:b/>
          <w:noProof/>
          <w:szCs w:val="24"/>
        </w:rPr>
      </w:pPr>
      <w:r>
        <w:rPr>
          <w:b/>
          <w:noProof/>
        </w:rPr>
        <w:t>Възнаграждения и други такси</w:t>
      </w:r>
    </w:p>
    <w:p>
      <w:pPr>
        <w:rPr>
          <w:rFonts w:eastAsia="Times New Roman"/>
          <w:noProof/>
          <w:szCs w:val="24"/>
        </w:rPr>
      </w:pPr>
      <w:r>
        <w:rPr>
          <w:noProof/>
        </w:rPr>
        <w:t>Възнагражденията и другите такси, упоменати в член 6, буква в), са ограничени до размера на приблизителната стойност на извършените услуги и не представляват косвен начин за закрила на местните продукти, нито облагане на вноса за данъчни цели. Не се налагат свързани с търговията възнаграждения и такси за предоставяне на консулски услуги.</w:t>
      </w:r>
    </w:p>
    <w:p>
      <w:pPr>
        <w:pStyle w:val="Titrearticle"/>
        <w:rPr>
          <w:rFonts w:eastAsia="Times New Roman"/>
          <w:b/>
          <w:noProof/>
          <w:szCs w:val="24"/>
        </w:rPr>
      </w:pPr>
      <w:r>
        <w:rPr>
          <w:b/>
          <w:noProof/>
        </w:rPr>
        <w:t>ЧЛЕН 9</w:t>
      </w:r>
    </w:p>
    <w:p>
      <w:pPr>
        <w:jc w:val="center"/>
        <w:rPr>
          <w:rFonts w:eastAsia="Times New Roman"/>
          <w:b/>
          <w:noProof/>
          <w:szCs w:val="24"/>
        </w:rPr>
      </w:pPr>
      <w:r>
        <w:rPr>
          <w:b/>
          <w:noProof/>
        </w:rPr>
        <w:t>Правила за произход</w:t>
      </w:r>
    </w:p>
    <w:p>
      <w:pPr>
        <w:rPr>
          <w:rFonts w:eastAsia="Times New Roman"/>
          <w:noProof/>
          <w:szCs w:val="24"/>
        </w:rPr>
      </w:pPr>
      <w:r>
        <w:rPr>
          <w:noProof/>
        </w:rPr>
        <w:t>За целите на настоящата част понятието „с произход от“ означава, че продуктът отговаря на правилата за произход, определени в протокол 1 към настоящото споразумение.</w:t>
      </w:r>
    </w:p>
    <w:p>
      <w:pPr>
        <w:pStyle w:val="Titrearticle"/>
        <w:rPr>
          <w:rFonts w:eastAsia="Times New Roman"/>
          <w:b/>
          <w:noProof/>
          <w:szCs w:val="24"/>
        </w:rPr>
      </w:pPr>
      <w:r>
        <w:rPr>
          <w:b/>
          <w:noProof/>
        </w:rPr>
        <w:lastRenderedPageBreak/>
        <w:t>ЧЛЕН 10</w:t>
      </w:r>
    </w:p>
    <w:p>
      <w:pPr>
        <w:jc w:val="center"/>
        <w:rPr>
          <w:rFonts w:eastAsia="Times New Roman"/>
          <w:b/>
          <w:noProof/>
          <w:szCs w:val="24"/>
        </w:rPr>
      </w:pPr>
      <w:r>
        <w:rPr>
          <w:b/>
          <w:noProof/>
        </w:rPr>
        <w:t>Мита върху продуктите с произход от държавите партньори от ИАО</w:t>
      </w:r>
    </w:p>
    <w:p>
      <w:pPr>
        <w:rPr>
          <w:rFonts w:eastAsia="Times New Roman"/>
          <w:noProof/>
          <w:szCs w:val="24"/>
        </w:rPr>
      </w:pPr>
      <w:r>
        <w:rPr>
          <w:noProof/>
        </w:rPr>
        <w:t>Продуктите с произход от държавите партньори от ИАО се внасят в ЕС без мито при условията, определени в приложение І.</w:t>
      </w:r>
    </w:p>
    <w:p>
      <w:pPr>
        <w:pStyle w:val="Titrearticle"/>
        <w:rPr>
          <w:rFonts w:eastAsia="Times New Roman"/>
          <w:b/>
          <w:noProof/>
          <w:szCs w:val="24"/>
        </w:rPr>
      </w:pPr>
      <w:r>
        <w:rPr>
          <w:b/>
          <w:noProof/>
        </w:rPr>
        <w:t>ЧЛЕН 11</w:t>
      </w:r>
    </w:p>
    <w:p>
      <w:pPr>
        <w:jc w:val="center"/>
        <w:rPr>
          <w:rFonts w:eastAsia="Times New Roman"/>
          <w:b/>
          <w:noProof/>
          <w:szCs w:val="24"/>
        </w:rPr>
      </w:pPr>
      <w:r>
        <w:rPr>
          <w:b/>
          <w:noProof/>
        </w:rPr>
        <w:t xml:space="preserve">Мита върху продуктите с произход от ЕС </w:t>
      </w:r>
    </w:p>
    <w:p>
      <w:pPr>
        <w:rPr>
          <w:rFonts w:eastAsia="Times New Roman"/>
          <w:noProof/>
          <w:szCs w:val="24"/>
        </w:rPr>
      </w:pPr>
      <w:r>
        <w:rPr>
          <w:noProof/>
        </w:rPr>
        <w:t>Продуктите с произход от ЕС се внасят в държавите партньори от ИАО при условията, посочени в графика за либерализация на митата в приложение II.</w:t>
      </w:r>
    </w:p>
    <w:p>
      <w:pPr>
        <w:pStyle w:val="Titrearticle"/>
        <w:rPr>
          <w:rFonts w:eastAsia="Times New Roman"/>
          <w:b/>
          <w:noProof/>
          <w:szCs w:val="24"/>
        </w:rPr>
      </w:pPr>
      <w:r>
        <w:rPr>
          <w:b/>
          <w:noProof/>
        </w:rPr>
        <w:t>ЧЛЕН 12</w:t>
      </w:r>
    </w:p>
    <w:p>
      <w:pPr>
        <w:jc w:val="center"/>
        <w:rPr>
          <w:rFonts w:eastAsia="Times New Roman"/>
          <w:b/>
          <w:noProof/>
          <w:szCs w:val="24"/>
        </w:rPr>
      </w:pPr>
      <w:r>
        <w:rPr>
          <w:b/>
          <w:noProof/>
        </w:rPr>
        <w:t>Запазване на съществуващото положение</w:t>
      </w:r>
    </w:p>
    <w:p>
      <w:pPr>
        <w:pStyle w:val="ManualNumPar1"/>
        <w:rPr>
          <w:rFonts w:eastAsia="Times New Roman"/>
          <w:noProof/>
          <w:szCs w:val="24"/>
        </w:rPr>
      </w:pPr>
      <w:r>
        <w:rPr>
          <w:noProof/>
        </w:rPr>
        <w:t>1.</w:t>
      </w:r>
      <w:r>
        <w:rPr>
          <w:noProof/>
        </w:rPr>
        <w:tab/>
        <w:t>Страните се споразумяват да не увеличават прилаганите от тях мита за продукти, предмет на либерализация съгласно настоящото споразумение, с изключение на мерките, приети в съответствие с членове 48, 49 и 50.</w:t>
      </w:r>
    </w:p>
    <w:p>
      <w:pPr>
        <w:pStyle w:val="ManualNumPar1"/>
        <w:rPr>
          <w:rFonts w:eastAsia="Times New Roman"/>
          <w:noProof/>
          <w:szCs w:val="24"/>
        </w:rPr>
      </w:pPr>
      <w:r>
        <w:rPr>
          <w:noProof/>
        </w:rPr>
        <w:t>2.</w:t>
      </w:r>
      <w:r>
        <w:rPr>
          <w:noProof/>
        </w:rPr>
        <w:tab/>
        <w:t>С цел да се запазят перспективите за по-всеобхватни процеси на регионална интеграция в Африка, страните могат да решат в рамките на Съвета по СИП да изменят равнището на митата, посочени в приложения IIа, IIб и IIв, които могат да се прилагат по отношение на продукт с произход от ЕС при вноса му в държавите партньори от ИАО. Страните гарантират, че подобни изменения не водят до несъвместимост на настоящото споразумение с изискванията на член XXIV от ГАТТ от 1994 г.</w:t>
      </w:r>
    </w:p>
    <w:p>
      <w:pPr>
        <w:pStyle w:val="Titrearticle"/>
        <w:rPr>
          <w:rFonts w:eastAsia="Times New Roman"/>
          <w:b/>
          <w:noProof/>
          <w:szCs w:val="24"/>
        </w:rPr>
      </w:pPr>
      <w:r>
        <w:rPr>
          <w:b/>
          <w:noProof/>
        </w:rPr>
        <w:t>ЧЛЕН 13</w:t>
      </w:r>
    </w:p>
    <w:p>
      <w:pPr>
        <w:jc w:val="center"/>
        <w:rPr>
          <w:rFonts w:eastAsia="Times New Roman"/>
          <w:b/>
          <w:noProof/>
          <w:szCs w:val="24"/>
        </w:rPr>
      </w:pPr>
      <w:r>
        <w:rPr>
          <w:b/>
          <w:noProof/>
        </w:rPr>
        <w:t>Движение на стоки</w:t>
      </w:r>
    </w:p>
    <w:p>
      <w:pPr>
        <w:pStyle w:val="ManualNumPar1"/>
        <w:rPr>
          <w:rFonts w:eastAsia="Times New Roman"/>
          <w:noProof/>
          <w:szCs w:val="24"/>
        </w:rPr>
      </w:pPr>
      <w:r>
        <w:rPr>
          <w:noProof/>
        </w:rPr>
        <w:t>1.</w:t>
      </w:r>
      <w:r>
        <w:rPr>
          <w:noProof/>
        </w:rPr>
        <w:tab/>
        <w:t>Митата върху стоки с произход от едната от страните се налагат еднократно на територията на другата страна.</w:t>
      </w:r>
    </w:p>
    <w:p>
      <w:pPr>
        <w:pStyle w:val="ManualNumPar1"/>
        <w:rPr>
          <w:rFonts w:eastAsia="Times New Roman"/>
          <w:noProof/>
          <w:szCs w:val="24"/>
        </w:rPr>
      </w:pPr>
      <w:r>
        <w:rPr>
          <w:noProof/>
        </w:rPr>
        <w:t>2.</w:t>
      </w:r>
      <w:r>
        <w:rPr>
          <w:noProof/>
        </w:rPr>
        <w:tab/>
        <w:t>Всяко мито, платено при внос в държава партньор от ИАО, се възстановява напълно за стоки, които напускат държавата партньор от ИАО на първоначалния внос, за да бъдат изпратени за друга държава партньор от ИАО. Митото се плаща в държавата партньор от ИАО, в която се извършва потреблението на стоките.</w:t>
      </w:r>
    </w:p>
    <w:p>
      <w:pPr>
        <w:pStyle w:val="ManualNumPar1"/>
        <w:rPr>
          <w:rFonts w:eastAsia="Times New Roman"/>
          <w:noProof/>
          <w:szCs w:val="24"/>
        </w:rPr>
      </w:pPr>
      <w:r>
        <w:rPr>
          <w:noProof/>
        </w:rPr>
        <w:t>3.</w:t>
      </w:r>
      <w:r>
        <w:rPr>
          <w:noProof/>
        </w:rPr>
        <w:tab/>
        <w:t>Страните се споразумяват да си сътрудничат с оглед улесняване на движението на стоки и опростяване на митническите процедури.</w:t>
      </w:r>
    </w:p>
    <w:p>
      <w:pPr>
        <w:pStyle w:val="Titrearticle"/>
        <w:rPr>
          <w:rFonts w:eastAsia="Times New Roman"/>
          <w:b/>
          <w:noProof/>
          <w:szCs w:val="24"/>
        </w:rPr>
      </w:pPr>
      <w:r>
        <w:rPr>
          <w:b/>
          <w:noProof/>
        </w:rPr>
        <w:t>ЧЛЕН 14</w:t>
      </w:r>
    </w:p>
    <w:p>
      <w:pPr>
        <w:jc w:val="center"/>
        <w:rPr>
          <w:rFonts w:eastAsia="Times New Roman"/>
          <w:b/>
          <w:noProof/>
          <w:szCs w:val="24"/>
        </w:rPr>
      </w:pPr>
      <w:r>
        <w:rPr>
          <w:b/>
          <w:noProof/>
        </w:rPr>
        <w:t xml:space="preserve">Мита и данъци върху износа </w:t>
      </w:r>
    </w:p>
    <w:p>
      <w:pPr>
        <w:pStyle w:val="ManualNumPar1"/>
        <w:rPr>
          <w:rFonts w:eastAsia="Times New Roman"/>
          <w:noProof/>
          <w:szCs w:val="24"/>
        </w:rPr>
      </w:pPr>
      <w:r>
        <w:rPr>
          <w:noProof/>
        </w:rPr>
        <w:t>1.</w:t>
      </w:r>
      <w:r>
        <w:rPr>
          <w:noProof/>
        </w:rPr>
        <w:tab/>
        <w:t xml:space="preserve">Никоя от страните не въвежда нови мита или данъци във връзка с износа на стоки за другата страна, които превишават тези, които са налагани по отношение на сходни продукти, предназначени за продажба на вътрешния пазар. </w:t>
      </w:r>
    </w:p>
    <w:p>
      <w:pPr>
        <w:pStyle w:val="ManualNumPar1"/>
        <w:rPr>
          <w:rFonts w:eastAsia="Times New Roman"/>
          <w:noProof/>
          <w:szCs w:val="24"/>
        </w:rPr>
      </w:pPr>
      <w:r>
        <w:rPr>
          <w:noProof/>
        </w:rPr>
        <w:lastRenderedPageBreak/>
        <w:t>2.</w:t>
      </w:r>
      <w:r>
        <w:rPr>
          <w:noProof/>
        </w:rPr>
        <w:tab/>
        <w:t xml:space="preserve">Независимо от параграф 1, държавите партньори от ИАО могат да наложат, след като уведомят ЕС, временно мито или данък във връзка с износа на стоки при следните обстоятелства: </w:t>
      </w:r>
    </w:p>
    <w:p>
      <w:pPr>
        <w:pStyle w:val="Point1"/>
        <w:rPr>
          <w:noProof/>
        </w:rPr>
      </w:pPr>
      <w:r>
        <w:rPr>
          <w:noProof/>
        </w:rPr>
        <w:t>а)</w:t>
      </w:r>
      <w:r>
        <w:rPr>
          <w:noProof/>
        </w:rPr>
        <w:tab/>
        <w:t xml:space="preserve">за насърчаване на развитието на местната промишленост; </w:t>
      </w:r>
    </w:p>
    <w:p>
      <w:pPr>
        <w:pStyle w:val="Point1"/>
        <w:rPr>
          <w:noProof/>
        </w:rPr>
      </w:pPr>
      <w:r>
        <w:rPr>
          <w:noProof/>
        </w:rPr>
        <w:t>б)</w:t>
      </w:r>
      <w:r>
        <w:rPr>
          <w:noProof/>
        </w:rPr>
        <w:tab/>
        <w:t xml:space="preserve">за запазване на стабилността на националната валута, когато нарастването на световните цени на основна стока за износ създава риск от повишаване на стойността на валутата, или </w:t>
      </w:r>
    </w:p>
    <w:p>
      <w:pPr>
        <w:pStyle w:val="Point1"/>
        <w:rPr>
          <w:rFonts w:eastAsia="Times New Roman"/>
          <w:noProof/>
          <w:szCs w:val="24"/>
        </w:rPr>
      </w:pPr>
      <w:r>
        <w:rPr>
          <w:noProof/>
        </w:rPr>
        <w:t>в)</w:t>
      </w:r>
      <w:r>
        <w:rPr>
          <w:noProof/>
        </w:rPr>
        <w:tab/>
        <w:t xml:space="preserve">за защита на приходите, продоволствената сигурност и околната среда. </w:t>
      </w:r>
    </w:p>
    <w:p>
      <w:pPr>
        <w:pStyle w:val="ManualNumPar1"/>
        <w:rPr>
          <w:rFonts w:eastAsia="Times New Roman"/>
          <w:noProof/>
          <w:szCs w:val="24"/>
        </w:rPr>
      </w:pPr>
      <w:r>
        <w:rPr>
          <w:noProof/>
        </w:rPr>
        <w:t>3.</w:t>
      </w:r>
      <w:r>
        <w:rPr>
          <w:noProof/>
        </w:rPr>
        <w:tab/>
        <w:t xml:space="preserve">Такива данъци следва да бъдат прилагани спрямо ограничен брой продукти за ограничен период от време и се преразглеждат от Съвета по СИП след 48 месеца с оглед на необходимостта от тяхното подновяване. </w:t>
      </w:r>
    </w:p>
    <w:p>
      <w:pPr>
        <w:pStyle w:val="ManualNumPar1"/>
        <w:rPr>
          <w:rFonts w:eastAsia="Times New Roman"/>
          <w:noProof/>
          <w:szCs w:val="24"/>
        </w:rPr>
      </w:pPr>
      <w:r>
        <w:rPr>
          <w:noProof/>
        </w:rPr>
        <w:t>4.</w:t>
      </w:r>
      <w:r>
        <w:rPr>
          <w:noProof/>
        </w:rPr>
        <w:tab/>
        <w:t xml:space="preserve">Всяко по-благоприятно третиране, състоящо се от или във връзка с данъци, прилагани от държавите партньори от ИАО върху износа на всякакви продукти, предназначени за основна търговска и икономическа сила, от датата на влизане в сила на настоящото споразумение се предоставя на сходния продукт, предназначен за територията на ЕС. </w:t>
      </w:r>
    </w:p>
    <w:p>
      <w:pPr>
        <w:pStyle w:val="ManualNumPar1"/>
        <w:rPr>
          <w:rFonts w:eastAsia="Times New Roman"/>
          <w:noProof/>
          <w:szCs w:val="24"/>
        </w:rPr>
      </w:pPr>
      <w:r>
        <w:rPr>
          <w:noProof/>
        </w:rPr>
        <w:t>5.</w:t>
      </w:r>
      <w:r>
        <w:rPr>
          <w:noProof/>
        </w:rPr>
        <w:tab/>
        <w:t>За целите на членове 14 и 15 „основна търговска и икономическа сила“ означава всяка развита държава или всяка държава, чийто дял в световния износ на стоки възлиза на над 1 % през годината преди влизането в сила на споразумението за свободна търговия, посочено в член 15, или всяка група държави, действащи индивидуално, колективно или посредством споразумение за свободна търговия, чийто общ дял в световния износ на стоки възлиза на над 1,5 % през годината преди влизането в сила на споразумението за свободна търговия, посочено в член 15</w:t>
      </w:r>
      <w:r>
        <w:rPr>
          <w:rStyle w:val="FootnoteReference"/>
          <w:noProof/>
        </w:rPr>
        <w:footnoteReference w:id="1"/>
      </w:r>
      <w:r>
        <w:rPr>
          <w:noProof/>
        </w:rPr>
        <w:t>.</w:t>
      </w:r>
    </w:p>
    <w:p>
      <w:pPr>
        <w:pStyle w:val="Titrearticle"/>
        <w:rPr>
          <w:rFonts w:eastAsia="Times New Roman"/>
          <w:b/>
          <w:noProof/>
          <w:szCs w:val="24"/>
        </w:rPr>
      </w:pPr>
      <w:r>
        <w:rPr>
          <w:b/>
          <w:noProof/>
        </w:rPr>
        <w:t>ЧЛЕН 15</w:t>
      </w:r>
    </w:p>
    <w:p>
      <w:pPr>
        <w:jc w:val="center"/>
        <w:rPr>
          <w:rFonts w:eastAsia="Times New Roman"/>
          <w:b/>
          <w:noProof/>
          <w:szCs w:val="24"/>
        </w:rPr>
      </w:pPr>
      <w:r>
        <w:rPr>
          <w:b/>
          <w:noProof/>
        </w:rPr>
        <w:t>По-благоприятно третиране по силата на споразумение за свободна търговия</w:t>
      </w:r>
    </w:p>
    <w:p>
      <w:pPr>
        <w:pStyle w:val="ManualNumPar1"/>
        <w:rPr>
          <w:rFonts w:eastAsia="Times New Roman"/>
          <w:noProof/>
          <w:szCs w:val="24"/>
        </w:rPr>
      </w:pPr>
      <w:r>
        <w:rPr>
          <w:noProof/>
        </w:rPr>
        <w:t>1.</w:t>
      </w:r>
      <w:r>
        <w:rPr>
          <w:noProof/>
        </w:rPr>
        <w:tab/>
        <w:t>По отношение на стоките, попадащи в обхвата на настоящата част, ЕС предоставя на държавите партньори от ИАО всяко по-благоприятно третиране, приложимо в резултат на присъединяването на ЕС към споразумение за свободна търговия с трета страна след подписването на настоящото споразумение.</w:t>
      </w:r>
    </w:p>
    <w:p>
      <w:pPr>
        <w:pStyle w:val="ManualNumPar1"/>
        <w:rPr>
          <w:rFonts w:eastAsia="Times New Roman"/>
          <w:noProof/>
          <w:szCs w:val="24"/>
        </w:rPr>
      </w:pPr>
      <w:r>
        <w:rPr>
          <w:noProof/>
        </w:rPr>
        <w:t>2.</w:t>
      </w:r>
      <w:r>
        <w:rPr>
          <w:noProof/>
        </w:rPr>
        <w:tab/>
        <w:t>По отношение на стоките, попадащи в обхвата на настоящата част, държавите партньори от ИАО предоставят на ЕС всяко по-благоприятно третиране, приложимо в резултат на присъединяването на държавите партньори от ИАО към споразумение за свободна търговия с основна търговска и икономическа сила след подписването на настоящото споразумение. Ако ЕС може да докаже, че е получил по-малко благоприятно третиране от предоставеното от държавите партньори от ИАО на която и да било друга основна търговска и икономическа сила, страните, доколкото е възможно, се консултират и съвместно решават как най-добре да приложат разпоредбите на настоящия параграф за всеки отделен случай.</w:t>
      </w:r>
    </w:p>
    <w:p>
      <w:pPr>
        <w:pStyle w:val="ManualNumPar1"/>
        <w:rPr>
          <w:rFonts w:eastAsia="Times New Roman"/>
          <w:noProof/>
          <w:szCs w:val="24"/>
        </w:rPr>
      </w:pPr>
      <w:r>
        <w:rPr>
          <w:noProof/>
        </w:rPr>
        <w:lastRenderedPageBreak/>
        <w:t>3.</w:t>
      </w:r>
      <w:r>
        <w:rPr>
          <w:noProof/>
        </w:rPr>
        <w:tab/>
        <w:t>Разпоредбите на настоящата част не се тълкуват така, че да създават за страните задължение да разширят реципрочно преференциално третиране, приложимо в резултат на участието на някоя от тях в споразумение за свободна търговия с трета страна към датата на подписване на настоящото споразумение.</w:t>
      </w:r>
    </w:p>
    <w:p>
      <w:pPr>
        <w:pStyle w:val="ManualNumPar1"/>
        <w:rPr>
          <w:rFonts w:eastAsia="Times New Roman"/>
          <w:noProof/>
          <w:szCs w:val="24"/>
        </w:rPr>
      </w:pPr>
      <w:r>
        <w:rPr>
          <w:noProof/>
        </w:rPr>
        <w:t>4.</w:t>
      </w:r>
      <w:r>
        <w:rPr>
          <w:noProof/>
        </w:rPr>
        <w:tab/>
        <w:t>Разпоредбите на параграф 2 не се прилагат по отношение на търговски споразумения между държавите партньори от ИАО и групата държави от Африка, Карибите и Тихоокеанския басейн или други африкански държави и региони.</w:t>
      </w:r>
    </w:p>
    <w:p>
      <w:pPr>
        <w:pStyle w:val="ManualNumPar1"/>
        <w:rPr>
          <w:rFonts w:eastAsia="Times New Roman"/>
          <w:noProof/>
          <w:szCs w:val="24"/>
        </w:rPr>
      </w:pPr>
      <w:r>
        <w:rPr>
          <w:noProof/>
        </w:rPr>
        <w:t>5.</w:t>
      </w:r>
      <w:r>
        <w:rPr>
          <w:noProof/>
        </w:rPr>
        <w:tab/>
        <w:t xml:space="preserve">За целите на настоящия член „споразумение за свободна търговия“ означава споразумение, което съществено либерализира търговията и в значителна степен премахва дискриминационните мерки и/или забранява въвеждането на нови или по-дискриминационни мерки между страните при влизане в сила на посоченото споразумение или в разумен срок. </w:t>
      </w:r>
    </w:p>
    <w:p>
      <w:pPr>
        <w:pStyle w:val="Titrearticle"/>
        <w:rPr>
          <w:rFonts w:eastAsia="Times New Roman"/>
          <w:b/>
          <w:noProof/>
          <w:szCs w:val="24"/>
        </w:rPr>
      </w:pPr>
      <w:r>
        <w:rPr>
          <w:b/>
          <w:noProof/>
        </w:rPr>
        <w:t>ЧЛЕН 16</w:t>
      </w:r>
    </w:p>
    <w:p>
      <w:pPr>
        <w:jc w:val="center"/>
        <w:rPr>
          <w:rFonts w:eastAsia="Times New Roman"/>
          <w:b/>
          <w:noProof/>
          <w:szCs w:val="24"/>
        </w:rPr>
      </w:pPr>
      <w:r>
        <w:rPr>
          <w:b/>
          <w:noProof/>
        </w:rPr>
        <w:t>Специални разпоредби относно административното сътрудничество</w:t>
      </w:r>
    </w:p>
    <w:p>
      <w:pPr>
        <w:pStyle w:val="ManualNumPar1"/>
        <w:rPr>
          <w:rFonts w:eastAsia="Times New Roman"/>
          <w:noProof/>
          <w:szCs w:val="24"/>
        </w:rPr>
      </w:pPr>
      <w:r>
        <w:rPr>
          <w:noProof/>
        </w:rPr>
        <w:t>1.</w:t>
      </w:r>
      <w:r>
        <w:rPr>
          <w:noProof/>
        </w:rPr>
        <w:tab/>
        <w:t>Страните се споразумяват, че административното сътрудничество е от съществено значение за прилагането и контрола на преференциалното третиране, предоставено по силата на настоящата част, и подчертават своята ангажираност в борбата с нередностите и измамите в сферата на митниците и свързаните с тях области.</w:t>
      </w:r>
    </w:p>
    <w:p>
      <w:pPr>
        <w:pStyle w:val="ManualNumPar1"/>
        <w:rPr>
          <w:rFonts w:eastAsia="Times New Roman"/>
          <w:noProof/>
          <w:szCs w:val="24"/>
        </w:rPr>
      </w:pPr>
      <w:r>
        <w:rPr>
          <w:noProof/>
        </w:rPr>
        <w:t>2.</w:t>
      </w:r>
      <w:r>
        <w:rPr>
          <w:noProof/>
        </w:rPr>
        <w:tab/>
        <w:t>В случаите, в които едната страна е установила въз основа на обективна информация липса на административно сътрудничество и/или нередности или измами, същата страна може временно да преустанови съответното преференциално третиране на въпросния(те) продукт(и) в съответствие с настоящия член.</w:t>
      </w:r>
    </w:p>
    <w:p>
      <w:pPr>
        <w:pStyle w:val="ManualNumPar1"/>
        <w:rPr>
          <w:rFonts w:eastAsia="Times New Roman"/>
          <w:noProof/>
          <w:szCs w:val="24"/>
        </w:rPr>
      </w:pPr>
      <w:r>
        <w:rPr>
          <w:noProof/>
        </w:rPr>
        <w:t>3.</w:t>
      </w:r>
      <w:r>
        <w:rPr>
          <w:noProof/>
        </w:rPr>
        <w:tab/>
        <w:t xml:space="preserve">За целите на настоящия член липса на административно сътрудничество се определя, </w:t>
      </w:r>
      <w:r>
        <w:rPr>
          <w:i/>
          <w:noProof/>
        </w:rPr>
        <w:t>inter alia</w:t>
      </w:r>
      <w:r>
        <w:rPr>
          <w:noProof/>
        </w:rPr>
        <w:t>, като:</w:t>
      </w:r>
    </w:p>
    <w:p>
      <w:pPr>
        <w:pStyle w:val="Point1"/>
        <w:rPr>
          <w:noProof/>
        </w:rPr>
      </w:pPr>
      <w:r>
        <w:rPr>
          <w:noProof/>
        </w:rPr>
        <w:t>а)</w:t>
      </w:r>
      <w:r>
        <w:rPr>
          <w:noProof/>
        </w:rPr>
        <w:tab/>
        <w:t>системно неспазване на задълженията за проверка на статута на произход на съответния(те) продукт(и);</w:t>
      </w:r>
    </w:p>
    <w:p>
      <w:pPr>
        <w:pStyle w:val="Point1"/>
        <w:rPr>
          <w:noProof/>
        </w:rPr>
      </w:pPr>
      <w:r>
        <w:rPr>
          <w:noProof/>
        </w:rPr>
        <w:t>б)</w:t>
      </w:r>
      <w:r>
        <w:rPr>
          <w:noProof/>
        </w:rPr>
        <w:tab/>
        <w:t>системен отказ или неоснователно забавяне на провеждането на последваща проверка на доказателството за произход и/или на съобщаването на резултатите от нея;</w:t>
      </w:r>
    </w:p>
    <w:p>
      <w:pPr>
        <w:pStyle w:val="Point1"/>
        <w:rPr>
          <w:rFonts w:eastAsia="Times New Roman"/>
          <w:noProof/>
          <w:szCs w:val="24"/>
        </w:rPr>
      </w:pPr>
      <w:r>
        <w:rPr>
          <w:noProof/>
        </w:rPr>
        <w:t>в)</w:t>
      </w:r>
      <w:r>
        <w:rPr>
          <w:noProof/>
        </w:rPr>
        <w:tab/>
        <w:t>системен отказ или неоснователно забавяне при получаването на разрешение за провеждане на дейности по административно сътрудничество с цел проверка на истинността на документите или точността на информацията, свързана с предоставянето на въпросното преференциално третиране.</w:t>
      </w:r>
    </w:p>
    <w:p>
      <w:pPr>
        <w:pStyle w:val="ManualNumPar1"/>
        <w:rPr>
          <w:rFonts w:eastAsia="Times New Roman"/>
          <w:noProof/>
          <w:szCs w:val="24"/>
        </w:rPr>
      </w:pPr>
      <w:r>
        <w:rPr>
          <w:noProof/>
        </w:rPr>
        <w:t>4.</w:t>
      </w:r>
      <w:r>
        <w:rPr>
          <w:noProof/>
        </w:rPr>
        <w:tab/>
        <w:t xml:space="preserve">Нередност или измама може да се установи, </w:t>
      </w:r>
      <w:r>
        <w:rPr>
          <w:i/>
          <w:noProof/>
        </w:rPr>
        <w:t>inter alia</w:t>
      </w:r>
      <w:r>
        <w:rPr>
          <w:noProof/>
        </w:rPr>
        <w:t>, когато се стигне до рязко нарастване, без задоволително обяснение, на вноса на стоки, надвишаващо обичайното равнище на производство и капацитета за износ на другата страна, което е свързано с обективна информация относно нередности или измама.</w:t>
      </w:r>
    </w:p>
    <w:p>
      <w:pPr>
        <w:pStyle w:val="ManualNumPar1"/>
        <w:rPr>
          <w:rFonts w:eastAsia="Times New Roman"/>
          <w:noProof/>
          <w:szCs w:val="24"/>
        </w:rPr>
      </w:pPr>
      <w:r>
        <w:rPr>
          <w:noProof/>
        </w:rPr>
        <w:lastRenderedPageBreak/>
        <w:t>5.</w:t>
      </w:r>
      <w:r>
        <w:rPr>
          <w:noProof/>
        </w:rPr>
        <w:tab/>
        <w:t>Прилагането на временно преустановяване е обусловено от следните условия:</w:t>
      </w:r>
    </w:p>
    <w:p>
      <w:pPr>
        <w:pStyle w:val="Point1"/>
        <w:rPr>
          <w:noProof/>
        </w:rPr>
      </w:pPr>
      <w:r>
        <w:rPr>
          <w:noProof/>
        </w:rPr>
        <w:t>а)</w:t>
      </w:r>
      <w:r>
        <w:rPr>
          <w:noProof/>
        </w:rPr>
        <w:tab/>
        <w:t>Страната, която е установила въз основа на обективна информация липса на административно сътрудничество и/или наличие на нередности или измама, уведомява без неоснователно забавяне Комитета на висшите служители за своята констатация, както и за обективната информация по случая, и започва консултации в рамките на Комитета на висшите служители въз основа на цялата имаща отношение информация и обективните констатации с цел намиране на приемливо за двете страни решение.</w:t>
      </w:r>
    </w:p>
    <w:p>
      <w:pPr>
        <w:pStyle w:val="Point1"/>
        <w:rPr>
          <w:noProof/>
        </w:rPr>
      </w:pPr>
      <w:r>
        <w:rPr>
          <w:noProof/>
        </w:rPr>
        <w:t>б)</w:t>
      </w:r>
      <w:r>
        <w:rPr>
          <w:noProof/>
        </w:rPr>
        <w:tab/>
        <w:t>Когато страните са започнали консултации в рамките на Комитета на висшите служители, както е посочено по-горе, и не са успели да се споразумеят за приемливо решение в продължение на три (3) месеца след уведомяването, засегнатата страна може временно да преустанови преференциалното третиране на съответния(те) продукт(и). Съветът по СИП се уведомява без неоснователно забавяне за всяко временно преустановяване.</w:t>
      </w:r>
    </w:p>
    <w:p>
      <w:pPr>
        <w:pStyle w:val="Point1"/>
        <w:rPr>
          <w:rFonts w:eastAsia="Times New Roman"/>
          <w:noProof/>
          <w:szCs w:val="24"/>
        </w:rPr>
      </w:pPr>
      <w:r>
        <w:rPr>
          <w:noProof/>
        </w:rPr>
        <w:t>в)</w:t>
      </w:r>
      <w:r>
        <w:rPr>
          <w:noProof/>
        </w:rPr>
        <w:tab/>
        <w:t>Временните преустановявания съгласно настоящия член се ограничават до необходимото за защита на финансовите интереси на засегнатата страна. Те не надвишават период от шест (6) месеца, който може да бъде подновен. Те подлежат на периодични консултации в рамките на Комитета на висшите служители, и по-специално с оглед на тяхната отмяна веднага щом отпаднат условията за прилагането им.</w:t>
      </w:r>
    </w:p>
    <w:p>
      <w:pPr>
        <w:pStyle w:val="ManualNumPar1"/>
        <w:rPr>
          <w:rFonts w:eastAsia="Times New Roman"/>
          <w:noProof/>
          <w:szCs w:val="24"/>
        </w:rPr>
      </w:pPr>
      <w:r>
        <w:rPr>
          <w:noProof/>
        </w:rPr>
        <w:t>6.</w:t>
      </w:r>
      <w:r>
        <w:rPr>
          <w:noProof/>
        </w:rPr>
        <w:tab/>
        <w:t>Едновременно с уведомяването на Комитета на висшите служители съгласно параграф 5, буква a) от настоящия член, засегнатата страна публикува известие до вносителите в своя официален вестник. В известието за вносителите следва да се посочи, че е налице констатация за съответния продукт въз основа на обективна информация за липса на административно сътрудничество и/или за наличие на нередности или измами.</w:t>
      </w:r>
    </w:p>
    <w:p>
      <w:pPr>
        <w:pStyle w:val="Titrearticle"/>
        <w:rPr>
          <w:rFonts w:eastAsia="Times New Roman"/>
          <w:b/>
          <w:noProof/>
          <w:szCs w:val="24"/>
        </w:rPr>
      </w:pPr>
      <w:r>
        <w:rPr>
          <w:b/>
          <w:noProof/>
        </w:rPr>
        <w:t>ЧЛЕН 17</w:t>
      </w:r>
    </w:p>
    <w:p>
      <w:pPr>
        <w:jc w:val="center"/>
        <w:rPr>
          <w:rFonts w:eastAsia="Times New Roman"/>
          <w:b/>
          <w:noProof/>
          <w:szCs w:val="24"/>
        </w:rPr>
      </w:pPr>
      <w:r>
        <w:rPr>
          <w:b/>
          <w:noProof/>
        </w:rPr>
        <w:t>Отстраняване на административни грешки</w:t>
      </w:r>
    </w:p>
    <w:p>
      <w:pPr>
        <w:rPr>
          <w:noProof/>
        </w:rPr>
      </w:pPr>
      <w:r>
        <w:rPr>
          <w:noProof/>
        </w:rPr>
        <w:t>В случай на грешка от страна на компетентните органи при правилното управление на преференциалната система при износ, и по-специално при прилагането на разпоредбите в протокол 1 относно определението на понятието „продукти с произход“ и методите на административно сътрудничество, когато тази грешка води до последствия по отношение на вносните мита, страната, изправена пред такива последствия, може да поиска от Комитета на висшите служители да разгледа възможностите за приемане на всички подходящи мерки с оглед разрешаване на възникналия проблем.</w:t>
      </w:r>
    </w:p>
    <w:p>
      <w:pPr>
        <w:pStyle w:val="Titrearticle"/>
        <w:rPr>
          <w:rFonts w:eastAsia="Times New Roman"/>
          <w:b/>
          <w:noProof/>
          <w:szCs w:val="24"/>
        </w:rPr>
      </w:pPr>
      <w:r>
        <w:rPr>
          <w:b/>
          <w:noProof/>
        </w:rPr>
        <w:t>ЧЛЕН 18</w:t>
      </w:r>
    </w:p>
    <w:p>
      <w:pPr>
        <w:jc w:val="center"/>
        <w:rPr>
          <w:rFonts w:eastAsia="Times New Roman"/>
          <w:b/>
          <w:noProof/>
          <w:szCs w:val="24"/>
        </w:rPr>
      </w:pPr>
      <w:r>
        <w:rPr>
          <w:b/>
          <w:noProof/>
        </w:rPr>
        <w:t>Митническо остойностяване</w:t>
      </w:r>
    </w:p>
    <w:p>
      <w:pPr>
        <w:pStyle w:val="ManualNumPar1"/>
        <w:rPr>
          <w:rFonts w:eastAsia="Times New Roman"/>
          <w:noProof/>
          <w:szCs w:val="24"/>
        </w:rPr>
      </w:pPr>
      <w:r>
        <w:rPr>
          <w:noProof/>
        </w:rPr>
        <w:t>1.</w:t>
      </w:r>
      <w:r>
        <w:rPr>
          <w:noProof/>
        </w:rPr>
        <w:tab/>
        <w:t>Член VІІ от ГАТТ от 1994 г. и Споразумението относно прилагането на член VII от ГАТТ от 1994 г. уреждат правилата за митническото остойностяване, прилагани по отношение на търговията между страните.</w:t>
      </w:r>
    </w:p>
    <w:p>
      <w:pPr>
        <w:pStyle w:val="ManualNumPar1"/>
        <w:rPr>
          <w:rFonts w:eastAsia="Times New Roman"/>
          <w:noProof/>
          <w:szCs w:val="24"/>
        </w:rPr>
      </w:pPr>
      <w:r>
        <w:rPr>
          <w:noProof/>
        </w:rPr>
        <w:lastRenderedPageBreak/>
        <w:t>2.</w:t>
      </w:r>
      <w:r>
        <w:rPr>
          <w:noProof/>
        </w:rPr>
        <w:tab/>
        <w:t>Страните си сътрудничат с цел постигане на общ подход към въпросите, свързани с митническото остойностяване.</w:t>
      </w:r>
    </w:p>
    <w:p>
      <w:pPr>
        <w:jc w:val="center"/>
        <w:rPr>
          <w:b/>
          <w:noProof/>
          <w:sz w:val="28"/>
          <w:szCs w:val="28"/>
        </w:rPr>
      </w:pPr>
      <w:bookmarkStart w:id="9" w:name="_Toc202345617"/>
      <w:bookmarkStart w:id="10" w:name="_Toc401595112"/>
      <w:r>
        <w:rPr>
          <w:b/>
          <w:noProof/>
          <w:sz w:val="28"/>
        </w:rPr>
        <w:t>ДЯЛ II: НЕТАРИФНИ МЕРКИ</w:t>
      </w:r>
      <w:bookmarkEnd w:id="9"/>
      <w:bookmarkEnd w:id="10"/>
    </w:p>
    <w:p>
      <w:pPr>
        <w:pStyle w:val="Titrearticle"/>
        <w:rPr>
          <w:rFonts w:eastAsia="Times New Roman"/>
          <w:b/>
          <w:noProof/>
          <w:szCs w:val="24"/>
        </w:rPr>
      </w:pPr>
      <w:r>
        <w:rPr>
          <w:b/>
          <w:noProof/>
        </w:rPr>
        <w:t>ЧЛЕН 19</w:t>
      </w:r>
    </w:p>
    <w:p>
      <w:pPr>
        <w:jc w:val="center"/>
        <w:rPr>
          <w:rFonts w:eastAsia="Times New Roman"/>
          <w:b/>
          <w:noProof/>
          <w:szCs w:val="24"/>
        </w:rPr>
      </w:pPr>
      <w:r>
        <w:rPr>
          <w:b/>
          <w:noProof/>
        </w:rPr>
        <w:t>Забрана за количествени ограничения</w:t>
      </w:r>
    </w:p>
    <w:p>
      <w:pPr>
        <w:pStyle w:val="ManualNumPar1"/>
        <w:rPr>
          <w:rFonts w:eastAsia="Times New Roman"/>
          <w:noProof/>
          <w:szCs w:val="24"/>
        </w:rPr>
      </w:pPr>
      <w:r>
        <w:rPr>
          <w:noProof/>
        </w:rPr>
        <w:t>1.</w:t>
      </w:r>
      <w:r>
        <w:rPr>
          <w:noProof/>
        </w:rPr>
        <w:tab/>
        <w:t>Всички забрани или ограничения по отношение на вноса, износа или продажбата за износ между страните, различни от митата, данъците, възнагражденията и другите такси, предвидени в член 6, независимо дали се налагат на практика посредством квоти, лицензии за внос или износ или други мерки, се премахват при влизането в сила на настоящото споразумение. В търговията между страните не се въвеждат нови мерки от такъв характер. Разпоредбите на настоящия член се прилагат, без да се засягат разпоредбите на дял VІ от настоящата част.</w:t>
      </w:r>
    </w:p>
    <w:p>
      <w:pPr>
        <w:pStyle w:val="ManualNumPar1"/>
        <w:rPr>
          <w:rFonts w:eastAsia="Times New Roman"/>
          <w:noProof/>
          <w:szCs w:val="24"/>
        </w:rPr>
      </w:pPr>
      <w:r>
        <w:rPr>
          <w:noProof/>
        </w:rPr>
        <w:t>2.</w:t>
      </w:r>
      <w:r>
        <w:rPr>
          <w:noProof/>
        </w:rPr>
        <w:tab/>
        <w:t>Разпоредбите на параграф 1 от настоящия член не обхващат следното:</w:t>
      </w:r>
    </w:p>
    <w:p>
      <w:pPr>
        <w:pStyle w:val="Point1"/>
        <w:rPr>
          <w:rFonts w:eastAsia="Times New Roman"/>
          <w:noProof/>
          <w:szCs w:val="24"/>
        </w:rPr>
      </w:pPr>
      <w:r>
        <w:rPr>
          <w:noProof/>
        </w:rPr>
        <w:t>а)</w:t>
      </w:r>
      <w:r>
        <w:rPr>
          <w:noProof/>
        </w:rPr>
        <w:tab/>
        <w:t>забрани или ограничения по отношение на износа, прилагани на временна основа, с цел предотвратяване или преодоляване на критичен недостиг на хранителни стоки или други продукти, които са от съществено значение за договарящата страна износител;</w:t>
      </w:r>
    </w:p>
    <w:p>
      <w:pPr>
        <w:pStyle w:val="Point1"/>
        <w:rPr>
          <w:rFonts w:eastAsia="Times New Roman"/>
          <w:noProof/>
          <w:szCs w:val="24"/>
        </w:rPr>
      </w:pPr>
      <w:r>
        <w:rPr>
          <w:noProof/>
        </w:rPr>
        <w:t>б)</w:t>
      </w:r>
      <w:r>
        <w:rPr>
          <w:noProof/>
        </w:rPr>
        <w:tab/>
        <w:t>забрани или ограничения по отношение на вноса и износа, необходими за прилагането на стандарти или правила относно класиране, окачествяване или пускане на пазара на стоки в рамките на международната търговия.</w:t>
      </w:r>
    </w:p>
    <w:p>
      <w:pPr>
        <w:pStyle w:val="Titrearticle"/>
        <w:rPr>
          <w:rFonts w:eastAsia="Times New Roman"/>
          <w:b/>
          <w:noProof/>
          <w:szCs w:val="24"/>
        </w:rPr>
      </w:pPr>
      <w:r>
        <w:rPr>
          <w:b/>
          <w:noProof/>
        </w:rPr>
        <w:t>ЧЛЕН 20</w:t>
      </w:r>
    </w:p>
    <w:p>
      <w:pPr>
        <w:jc w:val="center"/>
        <w:rPr>
          <w:rFonts w:eastAsia="Times New Roman"/>
          <w:b/>
          <w:noProof/>
          <w:szCs w:val="24"/>
        </w:rPr>
      </w:pPr>
      <w:r>
        <w:rPr>
          <w:b/>
          <w:noProof/>
        </w:rPr>
        <w:t>Национално третиране по отношение на вътрешното облагане и съответната нормативна уредба</w:t>
      </w:r>
    </w:p>
    <w:p>
      <w:pPr>
        <w:pStyle w:val="ManualNumPar1"/>
        <w:rPr>
          <w:rFonts w:eastAsia="Times New Roman"/>
          <w:noProof/>
          <w:szCs w:val="24"/>
        </w:rPr>
      </w:pPr>
      <w:r>
        <w:rPr>
          <w:noProof/>
        </w:rPr>
        <w:t>1.</w:t>
      </w:r>
      <w:r>
        <w:rPr>
          <w:noProof/>
        </w:rPr>
        <w:tab/>
        <w:t>Внасяните продукти с произход от една от страните не могат да бъдат облагани пряко или косвено с никакви вътрешни данъци или други вътрешни такси, надвишаващи тези, които са пряко или косвено прилагани по отношение на сходни местни продукти на другата страна. Освен това страните не налагат по никакъв друг начин вътрешни данъци или други вътрешни такси с цел предоставяне на защита на своето производство.</w:t>
      </w:r>
    </w:p>
    <w:p>
      <w:pPr>
        <w:pStyle w:val="ManualNumPar1"/>
        <w:rPr>
          <w:rFonts w:eastAsia="Times New Roman"/>
          <w:noProof/>
          <w:szCs w:val="24"/>
        </w:rPr>
      </w:pPr>
      <w:r>
        <w:rPr>
          <w:noProof/>
        </w:rPr>
        <w:t>2.</w:t>
      </w:r>
      <w:r>
        <w:rPr>
          <w:noProof/>
        </w:rPr>
        <w:tab/>
        <w:t>Внасяните продукти с произход от едната от страните се ползват с третиране, не по-малко благоприятно от третирането, предоставяно на сходни местни продукти на другата страна в рамките на всички законови и подзаконови нормативни актове и изисквания, които се прилагат по отношение на тяхната вътрешна продажба, предлагане за продажба, покупка, транспортиране, търговско разпространение или употреба. Разпоредбите на настоящия параграф не възпрепятстват прилагането на диференцирани вътрешни транспортни такси, които се основават изключително на стопанската дейност на транспортните средства, а не на произхода на продукта.</w:t>
      </w:r>
    </w:p>
    <w:p>
      <w:pPr>
        <w:pStyle w:val="ManualNumPar1"/>
        <w:rPr>
          <w:rFonts w:eastAsia="Times New Roman"/>
          <w:noProof/>
          <w:szCs w:val="24"/>
        </w:rPr>
      </w:pPr>
      <w:r>
        <w:rPr>
          <w:noProof/>
        </w:rPr>
        <w:t>3.</w:t>
      </w:r>
      <w:r>
        <w:rPr>
          <w:noProof/>
        </w:rPr>
        <w:tab/>
        <w:t xml:space="preserve">Никоя от страните не може да установява или да поддържа каквито и да било вътрешни количествени правила относно смесването, преработването или </w:t>
      </w:r>
      <w:r>
        <w:rPr>
          <w:noProof/>
        </w:rPr>
        <w:lastRenderedPageBreak/>
        <w:t>употребата на продукти в определени количества или пропорции, които пряко или косвено изискват определено количество или пропорция от даден продукт, обект на регламентиране, да бъде доставяно от местни източници. Освен това никоя страна не може да прилага вътрешни количествени нормативни актове с цел предоставяне на защита на своето производство.</w:t>
      </w:r>
    </w:p>
    <w:p>
      <w:pPr>
        <w:pStyle w:val="ManualNumPar1"/>
        <w:rPr>
          <w:rFonts w:eastAsia="Times New Roman"/>
          <w:noProof/>
          <w:szCs w:val="24"/>
        </w:rPr>
      </w:pPr>
      <w:r>
        <w:rPr>
          <w:noProof/>
        </w:rPr>
        <w:t>4.</w:t>
      </w:r>
      <w:r>
        <w:rPr>
          <w:noProof/>
        </w:rPr>
        <w:tab/>
        <w:t>Разпоредбите на настоящия член не са пречка за изплащането на субсидии изключително на националните производители, включително плащания на националните производители, произтичащи от постъпления от вътрешни данъци или такси, прилагани в съответствие с разпоредбите на настоящия член, и субсидиране, осъществено посредством закупуване на национални продукти от държавата.</w:t>
      </w:r>
    </w:p>
    <w:p>
      <w:pPr>
        <w:pStyle w:val="ManualNumPar1"/>
        <w:rPr>
          <w:rFonts w:eastAsia="Times New Roman"/>
          <w:noProof/>
          <w:szCs w:val="24"/>
        </w:rPr>
      </w:pPr>
      <w:r>
        <w:rPr>
          <w:noProof/>
        </w:rPr>
        <w:t>5.</w:t>
      </w:r>
      <w:r>
        <w:rPr>
          <w:noProof/>
        </w:rPr>
        <w:tab/>
        <w:t>Разпоредбите в настоящия член не се прилагат за законови и подзаконови нормативни актове, процедури или практики, свързани с обществените поръчки.</w:t>
      </w:r>
    </w:p>
    <w:p>
      <w:pPr>
        <w:pStyle w:val="Titrearticle"/>
        <w:rPr>
          <w:rFonts w:eastAsia="Times New Roman"/>
          <w:b/>
          <w:noProof/>
          <w:szCs w:val="24"/>
        </w:rPr>
      </w:pPr>
      <w:r>
        <w:rPr>
          <w:b/>
          <w:noProof/>
        </w:rPr>
        <w:t>ЧЛЕН 21</w:t>
      </w:r>
    </w:p>
    <w:p>
      <w:pPr>
        <w:jc w:val="center"/>
        <w:rPr>
          <w:rFonts w:eastAsia="Times New Roman"/>
          <w:b/>
          <w:noProof/>
          <w:szCs w:val="24"/>
        </w:rPr>
      </w:pPr>
      <w:r>
        <w:rPr>
          <w:b/>
          <w:noProof/>
        </w:rPr>
        <w:t>Добро управление в областта на данъчното облагане</w:t>
      </w:r>
    </w:p>
    <w:p>
      <w:pPr>
        <w:rPr>
          <w:rFonts w:eastAsia="Times New Roman"/>
          <w:noProof/>
          <w:szCs w:val="24"/>
        </w:rPr>
      </w:pPr>
      <w:r>
        <w:rPr>
          <w:noProof/>
        </w:rPr>
        <w:t>Страните признават значението на сътрудничеството по отношение на принципите на добро управление в областта на данъчното облагане, осъществявано от съответните компетентни органи в съответствие с националните им законови и подзаконови актове в тази област.</w:t>
      </w:r>
    </w:p>
    <w:p>
      <w:pPr>
        <w:jc w:val="center"/>
        <w:rPr>
          <w:b/>
          <w:noProof/>
          <w:sz w:val="28"/>
          <w:szCs w:val="28"/>
        </w:rPr>
      </w:pPr>
      <w:bookmarkStart w:id="11" w:name="_Toc401595113"/>
      <w:bookmarkStart w:id="12" w:name="_Toc202345618"/>
      <w:r>
        <w:rPr>
          <w:b/>
          <w:noProof/>
          <w:sz w:val="28"/>
        </w:rPr>
        <w:t>ДЯЛ III: МИТНИЧЕСКО СЪТРУДНИЧЕСТВО И УЛЕСНЯВАНЕ НА ТЪРГОВИЯТА</w:t>
      </w:r>
      <w:bookmarkEnd w:id="11"/>
    </w:p>
    <w:p>
      <w:pPr>
        <w:pStyle w:val="Titrearticle"/>
        <w:rPr>
          <w:rFonts w:eastAsia="Times New Roman"/>
          <w:b/>
          <w:noProof/>
          <w:color w:val="000000"/>
          <w:szCs w:val="24"/>
        </w:rPr>
      </w:pPr>
      <w:r>
        <w:rPr>
          <w:b/>
          <w:noProof/>
          <w:color w:val="000000"/>
        </w:rPr>
        <w:t>ЧЛЕН 22</w:t>
      </w:r>
    </w:p>
    <w:p>
      <w:pPr>
        <w:jc w:val="center"/>
        <w:rPr>
          <w:rFonts w:eastAsia="Times New Roman"/>
          <w:b/>
          <w:noProof/>
          <w:color w:val="000000"/>
          <w:spacing w:val="-7"/>
          <w:szCs w:val="24"/>
        </w:rPr>
      </w:pPr>
      <w:r>
        <w:rPr>
          <w:b/>
          <w:noProof/>
        </w:rPr>
        <w:t>Обхват и цели</w:t>
      </w:r>
    </w:p>
    <w:p>
      <w:pPr>
        <w:pStyle w:val="ManualNumPar1"/>
        <w:rPr>
          <w:rFonts w:eastAsia="Times New Roman"/>
          <w:noProof/>
          <w:color w:val="000000"/>
          <w:szCs w:val="24"/>
        </w:rPr>
      </w:pPr>
      <w:r>
        <w:rPr>
          <w:noProof/>
          <w:color w:val="000000"/>
        </w:rPr>
        <w:t>1.</w:t>
      </w:r>
      <w:r>
        <w:rPr>
          <w:noProof/>
        </w:rPr>
        <w:tab/>
        <w:t>Страните признават важната роля на митническото сътрудничество и улесняването на търговията в динамичния контекст на световната търговия и се споразумяват:</w:t>
      </w:r>
    </w:p>
    <w:p>
      <w:pPr>
        <w:pStyle w:val="Point1"/>
        <w:rPr>
          <w:rFonts w:eastAsia="Times New Roman"/>
          <w:noProof/>
          <w:szCs w:val="24"/>
        </w:rPr>
      </w:pPr>
      <w:r>
        <w:rPr>
          <w:noProof/>
          <w:color w:val="000000"/>
        </w:rPr>
        <w:t>а)</w:t>
      </w:r>
      <w:r>
        <w:rPr>
          <w:noProof/>
        </w:rPr>
        <w:tab/>
        <w:t>да засилят сътрудничеството си и да гарантират, че относимите законодателство и процедури, както и административният капацитет на техните администрации постигат целта за насърчаване на улесняването на търговията;</w:t>
      </w:r>
    </w:p>
    <w:p>
      <w:pPr>
        <w:pStyle w:val="Point1"/>
        <w:rPr>
          <w:rFonts w:eastAsia="Calibri" w:cs="Courier New"/>
          <w:noProof/>
          <w:color w:val="000000"/>
          <w:spacing w:val="-3"/>
          <w:szCs w:val="24"/>
        </w:rPr>
      </w:pPr>
      <w:r>
        <w:rPr>
          <w:noProof/>
        </w:rPr>
        <w:t>б)</w:t>
      </w:r>
      <w:r>
        <w:rPr>
          <w:noProof/>
        </w:rPr>
        <w:tab/>
        <w:t>че държавите партньори от ИАО се нуждаят от преходни периоди и изграждане на капацитет, за да прилагат безпроблемно разпоредбите на настоящия дял.</w:t>
      </w:r>
    </w:p>
    <w:p>
      <w:pPr>
        <w:pStyle w:val="ManualNumPar1"/>
        <w:rPr>
          <w:rFonts w:eastAsia="Times New Roman"/>
          <w:noProof/>
          <w:color w:val="000000"/>
          <w:spacing w:val="-3"/>
          <w:szCs w:val="24"/>
        </w:rPr>
      </w:pPr>
      <w:r>
        <w:rPr>
          <w:noProof/>
          <w:color w:val="000000"/>
          <w:spacing w:val="-3"/>
        </w:rPr>
        <w:t>2.</w:t>
      </w:r>
      <w:r>
        <w:rPr>
          <w:noProof/>
        </w:rPr>
        <w:tab/>
      </w:r>
      <w:r>
        <w:rPr>
          <w:noProof/>
          <w:color w:val="000000"/>
          <w:spacing w:val="-3"/>
        </w:rPr>
        <w:t>Целите на настоящия дял са:</w:t>
      </w:r>
    </w:p>
    <w:p>
      <w:pPr>
        <w:pStyle w:val="Point1"/>
        <w:rPr>
          <w:rFonts w:eastAsia="Times New Roman"/>
          <w:noProof/>
          <w:szCs w:val="24"/>
        </w:rPr>
      </w:pPr>
      <w:r>
        <w:rPr>
          <w:noProof/>
          <w:color w:val="000000"/>
          <w:spacing w:val="-3"/>
        </w:rPr>
        <w:t>а)</w:t>
      </w:r>
      <w:r>
        <w:rPr>
          <w:noProof/>
        </w:rPr>
        <w:tab/>
        <w:t>улесняване на търговията между страните;</w:t>
      </w:r>
    </w:p>
    <w:p>
      <w:pPr>
        <w:pStyle w:val="Point1"/>
        <w:rPr>
          <w:rFonts w:eastAsia="Times New Roman"/>
          <w:noProof/>
          <w:szCs w:val="24"/>
        </w:rPr>
      </w:pPr>
      <w:r>
        <w:rPr>
          <w:noProof/>
        </w:rPr>
        <w:t>б)</w:t>
      </w:r>
      <w:r>
        <w:rPr>
          <w:noProof/>
        </w:rPr>
        <w:tab/>
        <w:t>насърчаване на хармонизацията на митническото законодателство и процедури на регионално равнище;</w:t>
      </w:r>
    </w:p>
    <w:p>
      <w:pPr>
        <w:pStyle w:val="Point1"/>
        <w:rPr>
          <w:rFonts w:eastAsia="Times New Roman"/>
          <w:noProof/>
          <w:szCs w:val="24"/>
        </w:rPr>
      </w:pPr>
      <w:r>
        <w:rPr>
          <w:noProof/>
        </w:rPr>
        <w:t>в)</w:t>
      </w:r>
      <w:r>
        <w:rPr>
          <w:noProof/>
        </w:rPr>
        <w:tab/>
        <w:t>предоставяне на подкрепа на държавите партньори от ИАО, за да се засили процесът по улесняване на търговията;</w:t>
      </w:r>
    </w:p>
    <w:p>
      <w:pPr>
        <w:pStyle w:val="Point1"/>
        <w:rPr>
          <w:rFonts w:eastAsia="Times New Roman"/>
          <w:noProof/>
          <w:szCs w:val="24"/>
        </w:rPr>
      </w:pPr>
      <w:r>
        <w:rPr>
          <w:noProof/>
        </w:rPr>
        <w:lastRenderedPageBreak/>
        <w:t>г)</w:t>
      </w:r>
      <w:r>
        <w:rPr>
          <w:noProof/>
        </w:rPr>
        <w:tab/>
        <w:t>предоставяне на подкрепа на митническите администрации на държавите партньори от ИАО за прилагане на настоящото споразумение и други международни най-добри митнически практики;</w:t>
      </w:r>
    </w:p>
    <w:p>
      <w:pPr>
        <w:pStyle w:val="Point1"/>
        <w:rPr>
          <w:rFonts w:eastAsia="Calibri"/>
          <w:noProof/>
          <w:color w:val="000000"/>
          <w:spacing w:val="-13"/>
          <w:szCs w:val="24"/>
        </w:rPr>
      </w:pPr>
      <w:r>
        <w:rPr>
          <w:noProof/>
        </w:rPr>
        <w:t>д)</w:t>
      </w:r>
      <w:r>
        <w:rPr>
          <w:noProof/>
        </w:rPr>
        <w:tab/>
        <w:t>засилване на сътрудничеството между митническите власти на страните и други свързани с тях гранични служби.</w:t>
      </w:r>
    </w:p>
    <w:p>
      <w:pPr>
        <w:pStyle w:val="Titrearticle"/>
        <w:rPr>
          <w:rFonts w:eastAsia="Times New Roman"/>
          <w:b/>
          <w:noProof/>
          <w:color w:val="000000"/>
          <w:szCs w:val="24"/>
        </w:rPr>
      </w:pPr>
      <w:r>
        <w:rPr>
          <w:b/>
          <w:noProof/>
          <w:color w:val="000000"/>
        </w:rPr>
        <w:t>ЧЛЕН 23</w:t>
      </w:r>
    </w:p>
    <w:p>
      <w:pPr>
        <w:jc w:val="center"/>
        <w:rPr>
          <w:rFonts w:eastAsia="Times New Roman"/>
          <w:b/>
          <w:noProof/>
          <w:color w:val="000000"/>
          <w:spacing w:val="-5"/>
          <w:szCs w:val="24"/>
        </w:rPr>
      </w:pPr>
      <w:r>
        <w:rPr>
          <w:b/>
          <w:noProof/>
          <w:color w:val="000000"/>
          <w:spacing w:val="-5"/>
        </w:rPr>
        <w:t>Митническо сътрудничество и административна взаимопомощ</w:t>
      </w:r>
    </w:p>
    <w:p>
      <w:pPr>
        <w:pStyle w:val="ManualNumPar1"/>
        <w:rPr>
          <w:rFonts w:eastAsia="Times New Roman"/>
          <w:noProof/>
          <w:color w:val="000000"/>
          <w:spacing w:val="-3"/>
          <w:szCs w:val="24"/>
        </w:rPr>
      </w:pPr>
      <w:r>
        <w:rPr>
          <w:noProof/>
          <w:color w:val="000000"/>
        </w:rPr>
        <w:t>1.</w:t>
      </w:r>
      <w:r>
        <w:rPr>
          <w:noProof/>
        </w:rPr>
        <w:tab/>
      </w:r>
      <w:r>
        <w:rPr>
          <w:noProof/>
          <w:color w:val="000000"/>
        </w:rPr>
        <w:t>С цел да се осигури спазването на разпоредбите на настоящия дял и да се отговори ефикасно на определените в член 22 цели, страните:</w:t>
      </w:r>
    </w:p>
    <w:p>
      <w:pPr>
        <w:pStyle w:val="Point1"/>
        <w:rPr>
          <w:rFonts w:eastAsia="Times New Roman"/>
          <w:noProof/>
          <w:szCs w:val="24"/>
        </w:rPr>
      </w:pPr>
      <w:r>
        <w:rPr>
          <w:noProof/>
          <w:color w:val="000000"/>
          <w:spacing w:val="-3"/>
        </w:rPr>
        <w:t>а)</w:t>
      </w:r>
      <w:r>
        <w:rPr>
          <w:noProof/>
        </w:rPr>
        <w:tab/>
        <w:t>обменят информация относно митническото законодателство и процедури;</w:t>
      </w:r>
    </w:p>
    <w:p>
      <w:pPr>
        <w:pStyle w:val="Point1"/>
        <w:rPr>
          <w:rFonts w:eastAsia="Times New Roman"/>
          <w:noProof/>
          <w:szCs w:val="24"/>
        </w:rPr>
      </w:pPr>
      <w:r>
        <w:rPr>
          <w:noProof/>
        </w:rPr>
        <w:t>б)</w:t>
      </w:r>
      <w:r>
        <w:rPr>
          <w:noProof/>
        </w:rPr>
        <w:tab/>
        <w:t>разработват съвместни инициативи в договорени помежду им области;</w:t>
      </w:r>
    </w:p>
    <w:p>
      <w:pPr>
        <w:pStyle w:val="Point1"/>
        <w:rPr>
          <w:rFonts w:eastAsia="Calibri"/>
          <w:noProof/>
          <w:color w:val="000000"/>
          <w:spacing w:val="-9"/>
          <w:szCs w:val="24"/>
        </w:rPr>
      </w:pPr>
      <w:r>
        <w:rPr>
          <w:noProof/>
        </w:rPr>
        <w:t>в)</w:t>
      </w:r>
      <w:r>
        <w:rPr>
          <w:noProof/>
        </w:rPr>
        <w:tab/>
        <w:t>си сътрудничат в следните сфери:</w:t>
      </w:r>
    </w:p>
    <w:p>
      <w:pPr>
        <w:pStyle w:val="Point2"/>
        <w:rPr>
          <w:noProof/>
          <w:spacing w:val="-4"/>
        </w:rPr>
      </w:pPr>
      <w:r>
        <w:rPr>
          <w:noProof/>
        </w:rPr>
        <w:t>i)</w:t>
      </w:r>
      <w:r>
        <w:rPr>
          <w:noProof/>
        </w:rPr>
        <w:tab/>
        <w:t>модернизация на митническите системи и процедури, както и намаляване на времето за митническо оформяне;</w:t>
      </w:r>
    </w:p>
    <w:p>
      <w:pPr>
        <w:pStyle w:val="Point2"/>
        <w:rPr>
          <w:noProof/>
        </w:rPr>
      </w:pPr>
      <w:r>
        <w:rPr>
          <w:noProof/>
        </w:rPr>
        <w:t>ii)</w:t>
      </w:r>
      <w:r>
        <w:rPr>
          <w:noProof/>
        </w:rPr>
        <w:tab/>
        <w:t>опростяване и хармонизиране на митническите процедури и търговските формалности, включително на тези, свързани с вноса, износа и транзита;</w:t>
      </w:r>
    </w:p>
    <w:p>
      <w:pPr>
        <w:pStyle w:val="Point2"/>
        <w:rPr>
          <w:noProof/>
        </w:rPr>
      </w:pPr>
      <w:r>
        <w:rPr>
          <w:noProof/>
        </w:rPr>
        <w:t>iii)</w:t>
      </w:r>
      <w:r>
        <w:rPr>
          <w:noProof/>
        </w:rPr>
        <w:tab/>
        <w:t>засилване на регионалните системи за транзит;</w:t>
      </w:r>
    </w:p>
    <w:p>
      <w:pPr>
        <w:pStyle w:val="Point2"/>
        <w:rPr>
          <w:noProof/>
        </w:rPr>
      </w:pPr>
      <w:r>
        <w:rPr>
          <w:noProof/>
        </w:rPr>
        <w:t>iv)</w:t>
      </w:r>
      <w:r>
        <w:rPr>
          <w:noProof/>
        </w:rPr>
        <w:tab/>
        <w:t>подобряване на прозрачността в съответствие с член 24, параграф 3;</w:t>
      </w:r>
    </w:p>
    <w:p>
      <w:pPr>
        <w:pStyle w:val="Point2"/>
        <w:rPr>
          <w:noProof/>
        </w:rPr>
      </w:pPr>
      <w:r>
        <w:rPr>
          <w:noProof/>
        </w:rPr>
        <w:t>v)</w:t>
      </w:r>
      <w:r>
        <w:rPr>
          <w:noProof/>
        </w:rPr>
        <w:tab/>
        <w:t xml:space="preserve">изграждане на капацитет, включително финансова и техническа помощ за държавите партньори от ИАО; </w:t>
      </w:r>
    </w:p>
    <w:p>
      <w:pPr>
        <w:pStyle w:val="Point2"/>
        <w:rPr>
          <w:noProof/>
        </w:rPr>
      </w:pPr>
      <w:r>
        <w:rPr>
          <w:noProof/>
        </w:rPr>
        <w:t>vi)</w:t>
      </w:r>
      <w:r>
        <w:rPr>
          <w:noProof/>
        </w:rPr>
        <w:tab/>
        <w:t>други въпроси в областта на митниците, договорени между страните;</w:t>
      </w:r>
    </w:p>
    <w:p>
      <w:pPr>
        <w:pStyle w:val="Point1"/>
        <w:rPr>
          <w:rFonts w:eastAsia="Times New Roman"/>
          <w:noProof/>
          <w:szCs w:val="24"/>
        </w:rPr>
      </w:pPr>
      <w:r>
        <w:rPr>
          <w:noProof/>
          <w:color w:val="000000"/>
          <w:spacing w:val="-3"/>
        </w:rPr>
        <w:t>г)</w:t>
      </w:r>
      <w:r>
        <w:rPr>
          <w:noProof/>
        </w:rPr>
        <w:tab/>
        <w:t>приемат, доколкото е възможно, общи позиции в рамките на международни организации в областта на митниците и улесняването на търговията, като СТО, Световната митническа организация (СМО), Организацията на обединените нации (ООН) и Конференцията на Обединените нации за търговия и развитие (УНКТАД);</w:t>
      </w:r>
    </w:p>
    <w:p>
      <w:pPr>
        <w:pStyle w:val="Point1"/>
        <w:rPr>
          <w:rFonts w:eastAsia="Calibri"/>
          <w:noProof/>
          <w:szCs w:val="24"/>
        </w:rPr>
      </w:pPr>
      <w:r>
        <w:rPr>
          <w:noProof/>
        </w:rPr>
        <w:t>д)</w:t>
      </w:r>
      <w:r>
        <w:rPr>
          <w:noProof/>
        </w:rPr>
        <w:tab/>
        <w:t>насърчават координацията между всички имащи отношение служби, както на вътрешната територия, така и извън нея.</w:t>
      </w:r>
    </w:p>
    <w:p>
      <w:pPr>
        <w:pStyle w:val="ManualNumPar1"/>
        <w:rPr>
          <w:rFonts w:eastAsia="Times New Roman"/>
          <w:noProof/>
          <w:color w:val="000000"/>
          <w:szCs w:val="24"/>
        </w:rPr>
      </w:pPr>
      <w:r>
        <w:rPr>
          <w:noProof/>
          <w:color w:val="000000"/>
        </w:rPr>
        <w:t>2.</w:t>
      </w:r>
      <w:r>
        <w:rPr>
          <w:noProof/>
        </w:rPr>
        <w:tab/>
      </w:r>
      <w:r>
        <w:rPr>
          <w:noProof/>
          <w:color w:val="000000"/>
          <w:spacing w:val="-3"/>
        </w:rPr>
        <w:t>Независимо от параграф 1, страните си предоставят административна взаимопомощ по митническите въпроси в съответствие с разпоредбите на протокол 2.</w:t>
      </w:r>
    </w:p>
    <w:p>
      <w:pPr>
        <w:pStyle w:val="Titrearticle"/>
        <w:rPr>
          <w:rFonts w:eastAsia="Times New Roman"/>
          <w:b/>
          <w:noProof/>
          <w:color w:val="000000"/>
          <w:szCs w:val="24"/>
        </w:rPr>
      </w:pPr>
      <w:r>
        <w:rPr>
          <w:b/>
          <w:noProof/>
          <w:color w:val="000000"/>
        </w:rPr>
        <w:t>ЧЛЕН 24</w:t>
      </w:r>
    </w:p>
    <w:p>
      <w:pPr>
        <w:jc w:val="center"/>
        <w:rPr>
          <w:rFonts w:eastAsia="Times New Roman"/>
          <w:b/>
          <w:noProof/>
          <w:color w:val="000000"/>
          <w:spacing w:val="-6"/>
          <w:szCs w:val="24"/>
        </w:rPr>
      </w:pPr>
      <w:r>
        <w:rPr>
          <w:b/>
          <w:noProof/>
          <w:color w:val="000000"/>
          <w:spacing w:val="-6"/>
        </w:rPr>
        <w:t>Митническо законодателство и процедури</w:t>
      </w:r>
    </w:p>
    <w:p>
      <w:pPr>
        <w:pStyle w:val="ManualNumPar1"/>
        <w:rPr>
          <w:rFonts w:eastAsia="Times New Roman"/>
          <w:noProof/>
          <w:color w:val="000000"/>
          <w:spacing w:val="-2"/>
          <w:szCs w:val="24"/>
        </w:rPr>
      </w:pPr>
      <w:r>
        <w:rPr>
          <w:noProof/>
          <w:color w:val="000000"/>
        </w:rPr>
        <w:t>1.</w:t>
      </w:r>
      <w:r>
        <w:rPr>
          <w:noProof/>
        </w:rPr>
        <w:tab/>
      </w:r>
      <w:r>
        <w:rPr>
          <w:noProof/>
          <w:color w:val="000000"/>
        </w:rPr>
        <w:t xml:space="preserve">Страните се споразумяват, че съответните им търговски и митнически законодателства и процедури се основават на международните инструменти и стандарти, приложими в областта на митниците и търговията, включително </w:t>
      </w:r>
      <w:r>
        <w:rPr>
          <w:noProof/>
          <w:color w:val="000000"/>
        </w:rPr>
        <w:lastRenderedPageBreak/>
        <w:t>съществените елементи на преразгледаната Конвенция от Киото за опростяване и уеднаквяване на митническите процедури, съществените елементи на Рамката от стандарти на СМО за сигурност и улесняване на глобалната търговия, базата данни на СМО и Конвенцията по ХС.</w:t>
      </w:r>
    </w:p>
    <w:p>
      <w:pPr>
        <w:pStyle w:val="ManualNumPar1"/>
        <w:rPr>
          <w:rFonts w:eastAsia="Times New Roman"/>
          <w:noProof/>
          <w:color w:val="000000"/>
          <w:spacing w:val="-17"/>
          <w:szCs w:val="24"/>
        </w:rPr>
      </w:pPr>
      <w:r>
        <w:rPr>
          <w:noProof/>
          <w:color w:val="000000"/>
          <w:spacing w:val="-2"/>
        </w:rPr>
        <w:t>2.</w:t>
      </w:r>
      <w:r>
        <w:rPr>
          <w:noProof/>
        </w:rPr>
        <w:tab/>
      </w:r>
      <w:r>
        <w:rPr>
          <w:noProof/>
          <w:color w:val="000000"/>
          <w:spacing w:val="-2"/>
        </w:rPr>
        <w:t>Страните се споразумяват, че съответните им търговски и митнически законодателства и процедури се основават на:</w:t>
      </w:r>
    </w:p>
    <w:p>
      <w:pPr>
        <w:pStyle w:val="Point1"/>
        <w:rPr>
          <w:rFonts w:eastAsia="Times New Roman"/>
          <w:noProof/>
          <w:szCs w:val="24"/>
        </w:rPr>
      </w:pPr>
      <w:r>
        <w:rPr>
          <w:noProof/>
          <w:color w:val="000000"/>
          <w:spacing w:val="-2"/>
        </w:rPr>
        <w:t>а)</w:t>
      </w:r>
      <w:r>
        <w:rPr>
          <w:noProof/>
        </w:rPr>
        <w:tab/>
        <w:t>необходимостта от закрила и улесняване на законната търговия посредством ефективно прилагане и спазване на изискванията, предвидени в митническото законодателство;</w:t>
      </w:r>
    </w:p>
    <w:p>
      <w:pPr>
        <w:pStyle w:val="Point1"/>
        <w:rPr>
          <w:rFonts w:eastAsia="Times New Roman"/>
          <w:noProof/>
          <w:szCs w:val="24"/>
        </w:rPr>
      </w:pPr>
      <w:r>
        <w:rPr>
          <w:noProof/>
        </w:rPr>
        <w:t>б)</w:t>
      </w:r>
      <w:r>
        <w:rPr>
          <w:noProof/>
        </w:rPr>
        <w:tab/>
        <w:t>необходимостта от избягване на излишната и дискриминационна тежест за икономическите оператори, необходимостта от защита срещу измамите и корупцията, както и необходимостта да бъдат допълнително улеснени операторите, които постигат високи равнища на съответствие с митническото законодателство и процедури;</w:t>
      </w:r>
    </w:p>
    <w:p>
      <w:pPr>
        <w:pStyle w:val="Point1"/>
        <w:rPr>
          <w:rFonts w:eastAsia="Times New Roman"/>
          <w:noProof/>
          <w:szCs w:val="24"/>
        </w:rPr>
      </w:pPr>
      <w:r>
        <w:rPr>
          <w:noProof/>
        </w:rPr>
        <w:t>в)</w:t>
      </w:r>
      <w:r>
        <w:rPr>
          <w:noProof/>
        </w:rPr>
        <w:tab/>
        <w:t>необходимостта от използване на единен административен документ или негов електронен еквивалент с цел изготвяне на митнически декларации съответно в ЕС и в държавите партньори от ИАО;</w:t>
      </w:r>
    </w:p>
    <w:p>
      <w:pPr>
        <w:pStyle w:val="Point1"/>
        <w:rPr>
          <w:rFonts w:eastAsia="Times New Roman"/>
          <w:noProof/>
          <w:szCs w:val="24"/>
        </w:rPr>
      </w:pPr>
      <w:r>
        <w:rPr>
          <w:noProof/>
        </w:rPr>
        <w:t>г)</w:t>
      </w:r>
      <w:r>
        <w:rPr>
          <w:noProof/>
        </w:rPr>
        <w:tab/>
        <w:t>съвременни митнически практики, в това число оценка на риска, опростени процедури за въвеждане и освобождаване на стоките, контрол след освобождаването и одит;</w:t>
      </w:r>
    </w:p>
    <w:p>
      <w:pPr>
        <w:pStyle w:val="Point1"/>
        <w:rPr>
          <w:rFonts w:eastAsia="Times New Roman"/>
          <w:noProof/>
          <w:szCs w:val="24"/>
        </w:rPr>
      </w:pPr>
      <w:r>
        <w:rPr>
          <w:noProof/>
        </w:rPr>
        <w:t>д)</w:t>
      </w:r>
      <w:r>
        <w:rPr>
          <w:noProof/>
        </w:rPr>
        <w:tab/>
        <w:t>постепенното развиване на системите, в това число и на системите, основаващи се на информационните технологии, за операции по внос и транзит, за да се улесни обменът на информация между икономическите оператори, митническите администрации и другите служби;</w:t>
      </w:r>
    </w:p>
    <w:p>
      <w:pPr>
        <w:pStyle w:val="Point1"/>
        <w:rPr>
          <w:rFonts w:eastAsia="Times New Roman"/>
          <w:noProof/>
          <w:szCs w:val="24"/>
        </w:rPr>
      </w:pPr>
      <w:r>
        <w:rPr>
          <w:noProof/>
        </w:rPr>
        <w:t>е)</w:t>
      </w:r>
      <w:r>
        <w:rPr>
          <w:noProof/>
        </w:rPr>
        <w:tab/>
        <w:t>принципа, че санкциите, налагани при несъществени нарушения на митнически разпоредби или процедурни изисквания, са пропорционални и че тяхното прилагане не води до неоснователно забавяне на митническото оформяне;</w:t>
      </w:r>
    </w:p>
    <w:p>
      <w:pPr>
        <w:pStyle w:val="Point1"/>
        <w:rPr>
          <w:rFonts w:eastAsia="Times New Roman"/>
          <w:noProof/>
          <w:szCs w:val="24"/>
        </w:rPr>
      </w:pPr>
      <w:r>
        <w:rPr>
          <w:noProof/>
        </w:rPr>
        <w:t>ж)</w:t>
      </w:r>
      <w:r>
        <w:rPr>
          <w:noProof/>
        </w:rPr>
        <w:tab/>
        <w:t>система от задължителни правила по митническите въпроси, по-специално по отношение на тарифното класиране и правилата за произход, в съответствие с правилата, определени в регионалното и/или националните законодателства;</w:t>
      </w:r>
    </w:p>
    <w:p>
      <w:pPr>
        <w:pStyle w:val="Point1"/>
        <w:rPr>
          <w:rFonts w:eastAsia="Times New Roman"/>
          <w:noProof/>
          <w:szCs w:val="24"/>
        </w:rPr>
      </w:pPr>
      <w:r>
        <w:rPr>
          <w:noProof/>
        </w:rPr>
        <w:t>з)</w:t>
      </w:r>
      <w:r>
        <w:rPr>
          <w:noProof/>
        </w:rPr>
        <w:tab/>
        <w:t>необходимостта от прилагане на възнаграждения и такси, съизмерими с услугите, предоставени във връзка с конкретна сделка, а не изчислени на адвалорна основа. Не се налагат възнаграждения и такси за предоставяне на консулски услуги във връзка с търговия със стоки;</w:t>
      </w:r>
    </w:p>
    <w:p>
      <w:pPr>
        <w:pStyle w:val="Point1"/>
        <w:rPr>
          <w:rFonts w:eastAsia="Times New Roman"/>
          <w:noProof/>
          <w:szCs w:val="24"/>
        </w:rPr>
      </w:pPr>
      <w:r>
        <w:rPr>
          <w:noProof/>
        </w:rPr>
        <w:t>и)</w:t>
      </w:r>
      <w:r>
        <w:rPr>
          <w:noProof/>
        </w:rPr>
        <w:tab/>
        <w:t>премахването на всички изисквания за задължително използване на предекспедиционни проверки, както е определено в Споразумението на СТО за предекспедиционна проверка, или на еквивалентни такива;</w:t>
      </w:r>
    </w:p>
    <w:p>
      <w:pPr>
        <w:pStyle w:val="Point1"/>
        <w:rPr>
          <w:rFonts w:eastAsia="Times New Roman"/>
          <w:noProof/>
          <w:color w:val="000000"/>
          <w:szCs w:val="24"/>
        </w:rPr>
      </w:pPr>
      <w:r>
        <w:rPr>
          <w:noProof/>
        </w:rPr>
        <w:t>й)</w:t>
      </w:r>
      <w:r>
        <w:rPr>
          <w:noProof/>
        </w:rPr>
        <w:tab/>
        <w:t>премахването на всички изисквания за задължително използване на митнически посредници, както и наличие на прозрачни, недискриминационни и пропорционални правила за тяхното лицензиране.</w:t>
      </w:r>
    </w:p>
    <w:p>
      <w:pPr>
        <w:pStyle w:val="ManualNumPar1"/>
        <w:rPr>
          <w:rFonts w:eastAsia="Times New Roman"/>
          <w:noProof/>
          <w:color w:val="000000"/>
          <w:szCs w:val="24"/>
        </w:rPr>
      </w:pPr>
      <w:r>
        <w:rPr>
          <w:noProof/>
          <w:color w:val="000000"/>
        </w:rPr>
        <w:lastRenderedPageBreak/>
        <w:t>3.</w:t>
      </w:r>
      <w:r>
        <w:rPr>
          <w:noProof/>
        </w:rPr>
        <w:tab/>
      </w:r>
      <w:r>
        <w:rPr>
          <w:noProof/>
          <w:color w:val="000000"/>
        </w:rPr>
        <w:t>С цел подобряване на работните методи и гарантиране на прозрачността и ефикасността на митническите операции страните:</w:t>
      </w:r>
    </w:p>
    <w:p>
      <w:pPr>
        <w:pStyle w:val="Point1"/>
        <w:rPr>
          <w:rFonts w:eastAsia="Times New Roman"/>
          <w:noProof/>
          <w:color w:val="000000"/>
          <w:szCs w:val="24"/>
        </w:rPr>
      </w:pPr>
      <w:r>
        <w:rPr>
          <w:noProof/>
          <w:color w:val="000000"/>
        </w:rPr>
        <w:t>а)</w:t>
      </w:r>
      <w:r>
        <w:rPr>
          <w:noProof/>
        </w:rPr>
        <w:tab/>
      </w:r>
      <w:r>
        <w:rPr>
          <w:noProof/>
          <w:color w:val="000000"/>
        </w:rPr>
        <w:t>предприемат по-нататъшни стъпки за опростяване и стандартизиране на документацията и търговските формалности, за да стане възможно бързото освобождаване и митническото оформяне на стоките;</w:t>
      </w:r>
    </w:p>
    <w:p>
      <w:pPr>
        <w:pStyle w:val="Point1"/>
        <w:rPr>
          <w:rFonts w:eastAsia="Times New Roman"/>
          <w:noProof/>
          <w:color w:val="000000"/>
          <w:szCs w:val="24"/>
        </w:rPr>
      </w:pPr>
      <w:r>
        <w:rPr>
          <w:noProof/>
          <w:color w:val="000000"/>
        </w:rPr>
        <w:t>б)</w:t>
      </w:r>
      <w:r>
        <w:rPr>
          <w:noProof/>
        </w:rPr>
        <w:tab/>
      </w:r>
      <w:r>
        <w:rPr>
          <w:noProof/>
          <w:color w:val="000000"/>
        </w:rPr>
        <w:t>осигуряват ефикасни, бързи и недискриминационни процедури, които предоставят възможност за обжалване на административните действия, постановления и решения на митническите и другите служби, които засягат вноса, износа или транзитно преминаващите стоки. Тези процедури следва да бъдат лесно достъпни за всички предприятия;</w:t>
      </w:r>
    </w:p>
    <w:p>
      <w:pPr>
        <w:pStyle w:val="Point1"/>
        <w:rPr>
          <w:rFonts w:eastAsia="Times New Roman"/>
          <w:noProof/>
          <w:szCs w:val="24"/>
        </w:rPr>
      </w:pPr>
      <w:r>
        <w:rPr>
          <w:noProof/>
          <w:color w:val="000000"/>
        </w:rPr>
        <w:t>в)</w:t>
      </w:r>
      <w:r>
        <w:rPr>
          <w:noProof/>
        </w:rPr>
        <w:tab/>
      </w:r>
      <w:r>
        <w:rPr>
          <w:noProof/>
          <w:color w:val="000000"/>
        </w:rPr>
        <w:t>гарантират поддържането на интегритет посредством прилагането на мерки, които отразяват принципите на съответните международни конвенции и инструменти.</w:t>
      </w:r>
    </w:p>
    <w:p>
      <w:pPr>
        <w:pStyle w:val="Titrearticle"/>
        <w:rPr>
          <w:rFonts w:eastAsia="Times New Roman"/>
          <w:b/>
          <w:noProof/>
          <w:color w:val="000000"/>
          <w:szCs w:val="24"/>
        </w:rPr>
      </w:pPr>
      <w:r>
        <w:rPr>
          <w:b/>
          <w:noProof/>
          <w:color w:val="000000"/>
        </w:rPr>
        <w:t>ЧЛЕН 25</w:t>
      </w:r>
    </w:p>
    <w:p>
      <w:pPr>
        <w:jc w:val="center"/>
        <w:rPr>
          <w:rFonts w:eastAsia="Times New Roman"/>
          <w:noProof/>
          <w:color w:val="000000"/>
          <w:spacing w:val="-6"/>
          <w:szCs w:val="24"/>
        </w:rPr>
      </w:pPr>
      <w:r>
        <w:rPr>
          <w:b/>
          <w:noProof/>
          <w:color w:val="000000"/>
          <w:spacing w:val="-6"/>
        </w:rPr>
        <w:t>Улесняване на транзитното преминаване</w:t>
      </w:r>
    </w:p>
    <w:p>
      <w:pPr>
        <w:pStyle w:val="ManualNumPar1"/>
        <w:rPr>
          <w:rFonts w:eastAsia="Times New Roman"/>
          <w:noProof/>
          <w:color w:val="000000"/>
          <w:szCs w:val="24"/>
        </w:rPr>
      </w:pPr>
      <w:r>
        <w:rPr>
          <w:noProof/>
          <w:color w:val="000000"/>
        </w:rPr>
        <w:t>1.</w:t>
      </w:r>
      <w:r>
        <w:rPr>
          <w:noProof/>
        </w:rPr>
        <w:tab/>
      </w:r>
      <w:r>
        <w:rPr>
          <w:noProof/>
          <w:color w:val="000000"/>
        </w:rPr>
        <w:t>Страните гарантират свободното транзитно преминаване през тяхната територия по най-удобните маршрути. Всяко налагане на ограничение, контрол или изисквания трябва да бъде недискриминационно, пропорционално и прилагано по еднакъв начин.</w:t>
      </w:r>
    </w:p>
    <w:p>
      <w:pPr>
        <w:pStyle w:val="ManualNumPar1"/>
        <w:rPr>
          <w:rFonts w:eastAsia="Times New Roman"/>
          <w:noProof/>
          <w:color w:val="000000"/>
          <w:szCs w:val="24"/>
        </w:rPr>
      </w:pPr>
      <w:r>
        <w:rPr>
          <w:noProof/>
          <w:color w:val="000000"/>
        </w:rPr>
        <w:t>2.</w:t>
      </w:r>
      <w:r>
        <w:rPr>
          <w:noProof/>
        </w:rPr>
        <w:tab/>
      </w:r>
      <w:r>
        <w:rPr>
          <w:noProof/>
          <w:color w:val="000000"/>
        </w:rPr>
        <w:t>Дадена страна може да изисква транзитният трафик през нейната територия да влиза през отделна митница и да се извършва по определени маршрути. Ако дадена страна изисква използването на такива маршрути, тя следва да прави това в пълно съответствие с член V, параграф 3 от ГАТТ от 1994 г.</w:t>
      </w:r>
    </w:p>
    <w:p>
      <w:pPr>
        <w:pStyle w:val="ManualNumPar1"/>
        <w:rPr>
          <w:rFonts w:eastAsia="Times New Roman"/>
          <w:noProof/>
          <w:color w:val="000000"/>
          <w:szCs w:val="24"/>
        </w:rPr>
      </w:pPr>
      <w:r>
        <w:rPr>
          <w:noProof/>
          <w:color w:val="000000"/>
        </w:rPr>
        <w:t>3.</w:t>
      </w:r>
      <w:r>
        <w:rPr>
          <w:noProof/>
        </w:rPr>
        <w:tab/>
      </w:r>
      <w:r>
        <w:rPr>
          <w:noProof/>
          <w:color w:val="000000"/>
        </w:rPr>
        <w:t>Без да се засяга провеждането на законосъобразни митнически проверки, страните предоставят не по-малко благоприятно третиране на транзитно преминаващите стоки през тяхната територия от третирането, предоставяно на местните стоки.</w:t>
      </w:r>
    </w:p>
    <w:p>
      <w:pPr>
        <w:pStyle w:val="ManualNumPar1"/>
        <w:rPr>
          <w:rFonts w:eastAsia="Times New Roman"/>
          <w:noProof/>
          <w:color w:val="000000"/>
          <w:szCs w:val="24"/>
        </w:rPr>
      </w:pPr>
      <w:r>
        <w:rPr>
          <w:noProof/>
          <w:color w:val="000000"/>
        </w:rPr>
        <w:t>4.</w:t>
      </w:r>
      <w:r>
        <w:rPr>
          <w:noProof/>
        </w:rPr>
        <w:tab/>
      </w:r>
      <w:r>
        <w:rPr>
          <w:noProof/>
          <w:color w:val="000000"/>
        </w:rPr>
        <w:t>Страните въвеждат режими на транспортиране под митнически контрол, които позволяват транзита на стоки без плащане на мита или други такси с равностоен ефект, при условие че бъде предоставена подходяща гаранция в съответствие с регионалните и/или националните митнически законодателства.</w:t>
      </w:r>
    </w:p>
    <w:p>
      <w:pPr>
        <w:pStyle w:val="ManualNumPar1"/>
        <w:rPr>
          <w:rFonts w:eastAsia="Times New Roman"/>
          <w:noProof/>
          <w:color w:val="000000"/>
          <w:szCs w:val="24"/>
        </w:rPr>
      </w:pPr>
      <w:r>
        <w:rPr>
          <w:noProof/>
          <w:color w:val="000000"/>
        </w:rPr>
        <w:t>5.</w:t>
      </w:r>
      <w:r>
        <w:rPr>
          <w:noProof/>
        </w:rPr>
        <w:tab/>
      </w:r>
      <w:r>
        <w:rPr>
          <w:noProof/>
          <w:color w:val="000000"/>
        </w:rPr>
        <w:t>Страните насърчават и прилагат регионалните договорености в областта на транзита.</w:t>
      </w:r>
    </w:p>
    <w:p>
      <w:pPr>
        <w:pStyle w:val="ManualNumPar1"/>
        <w:rPr>
          <w:rFonts w:eastAsia="Times New Roman"/>
          <w:noProof/>
          <w:color w:val="000000"/>
          <w:szCs w:val="24"/>
        </w:rPr>
      </w:pPr>
      <w:r>
        <w:rPr>
          <w:noProof/>
          <w:color w:val="000000"/>
        </w:rPr>
        <w:t>6.</w:t>
      </w:r>
      <w:r>
        <w:rPr>
          <w:noProof/>
        </w:rPr>
        <w:tab/>
      </w:r>
      <w:r>
        <w:rPr>
          <w:noProof/>
          <w:color w:val="000000"/>
        </w:rPr>
        <w:t>Страните насърчават сътрудничеството между всички заинтересовани служби, както на вътрешната територия, така и извън нея.</w:t>
      </w:r>
    </w:p>
    <w:p>
      <w:pPr>
        <w:pStyle w:val="ManualNumPar1"/>
        <w:rPr>
          <w:rFonts w:eastAsia="Times New Roman"/>
          <w:noProof/>
          <w:szCs w:val="24"/>
        </w:rPr>
      </w:pPr>
      <w:r>
        <w:rPr>
          <w:noProof/>
          <w:color w:val="000000"/>
        </w:rPr>
        <w:t>7.</w:t>
      </w:r>
      <w:r>
        <w:rPr>
          <w:noProof/>
        </w:rPr>
        <w:tab/>
      </w:r>
      <w:r>
        <w:rPr>
          <w:noProof/>
          <w:color w:val="000000"/>
        </w:rPr>
        <w:t>Законодателството на страните се основава на международните стандарти и инструменти в областта на транзита.</w:t>
      </w:r>
    </w:p>
    <w:p>
      <w:pPr>
        <w:pStyle w:val="Titrearticle"/>
        <w:rPr>
          <w:rFonts w:eastAsia="Times New Roman"/>
          <w:b/>
          <w:noProof/>
          <w:color w:val="000000"/>
          <w:szCs w:val="24"/>
        </w:rPr>
      </w:pPr>
      <w:r>
        <w:rPr>
          <w:b/>
          <w:noProof/>
          <w:color w:val="000000"/>
        </w:rPr>
        <w:t>ЧЛЕН 26</w:t>
      </w:r>
    </w:p>
    <w:p>
      <w:pPr>
        <w:jc w:val="center"/>
        <w:rPr>
          <w:rFonts w:eastAsia="Times New Roman"/>
          <w:b/>
          <w:noProof/>
          <w:color w:val="000000"/>
          <w:spacing w:val="-6"/>
          <w:szCs w:val="24"/>
        </w:rPr>
      </w:pPr>
      <w:r>
        <w:rPr>
          <w:b/>
          <w:noProof/>
          <w:color w:val="000000"/>
          <w:spacing w:val="-6"/>
        </w:rPr>
        <w:t>Отношения с деловите среди</w:t>
      </w:r>
    </w:p>
    <w:p>
      <w:pPr>
        <w:rPr>
          <w:rFonts w:eastAsia="Times New Roman"/>
          <w:noProof/>
          <w:color w:val="000000"/>
          <w:spacing w:val="-4"/>
          <w:szCs w:val="24"/>
        </w:rPr>
      </w:pPr>
      <w:r>
        <w:rPr>
          <w:noProof/>
        </w:rPr>
        <w:t>Страните се споразумяват да:</w:t>
      </w:r>
    </w:p>
    <w:p>
      <w:pPr>
        <w:pStyle w:val="Point0"/>
        <w:rPr>
          <w:noProof/>
          <w:spacing w:val="-11"/>
        </w:rPr>
      </w:pPr>
      <w:r>
        <w:rPr>
          <w:noProof/>
        </w:rPr>
        <w:lastRenderedPageBreak/>
        <w:t>а)</w:t>
      </w:r>
      <w:r>
        <w:rPr>
          <w:noProof/>
        </w:rPr>
        <w:tab/>
        <w:t>гарантират, че всички законодателни актове, процедури, възнаграждения и такси се оповестяват публично, доколкото е възможно, посредством електронни или други подходящи средства, и когато е възможно, предоставят необходимите разяснения;</w:t>
      </w:r>
    </w:p>
    <w:p>
      <w:pPr>
        <w:pStyle w:val="Point0"/>
        <w:rPr>
          <w:noProof/>
          <w:spacing w:val="-11"/>
        </w:rPr>
      </w:pPr>
      <w:r>
        <w:rPr>
          <w:noProof/>
        </w:rPr>
        <w:t>б)</w:t>
      </w:r>
      <w:r>
        <w:rPr>
          <w:noProof/>
        </w:rPr>
        <w:tab/>
        <w:t>провеждат своевременни и редовни консултации с представители на търговските среди по законодателни предложения и процедури, свързани с въпросите на митниците и търговията;</w:t>
      </w:r>
    </w:p>
    <w:p>
      <w:pPr>
        <w:pStyle w:val="Point0"/>
        <w:rPr>
          <w:noProof/>
          <w:spacing w:val="-1"/>
        </w:rPr>
      </w:pPr>
      <w:r>
        <w:rPr>
          <w:noProof/>
        </w:rPr>
        <w:t>в)</w:t>
      </w:r>
      <w:r>
        <w:rPr>
          <w:noProof/>
        </w:rPr>
        <w:tab/>
        <w:t>въвеждат нови или изменени законодателни актове и процедури по начин, който позволява на търговците да се подготвят добре, за да ги спазват;</w:t>
      </w:r>
    </w:p>
    <w:p>
      <w:pPr>
        <w:pStyle w:val="Point0"/>
        <w:rPr>
          <w:noProof/>
        </w:rPr>
      </w:pPr>
      <w:r>
        <w:rPr>
          <w:noProof/>
        </w:rPr>
        <w:t>г)</w:t>
      </w:r>
      <w:r>
        <w:rPr>
          <w:noProof/>
        </w:rPr>
        <w:tab/>
        <w:t>оповестяват публично съответните известия от административен характер, включително изискванията на органите и процедурите при въвеждане на стоки, работното време и правилата за дейността на митническите служби на пристанищата и граничните пунктове, както и данни за звената за контакт, към които да се отправят искания за информация;</w:t>
      </w:r>
    </w:p>
    <w:p>
      <w:pPr>
        <w:pStyle w:val="Point0"/>
        <w:rPr>
          <w:noProof/>
          <w:spacing w:val="-11"/>
        </w:rPr>
      </w:pPr>
      <w:r>
        <w:rPr>
          <w:noProof/>
        </w:rPr>
        <w:t>д)</w:t>
      </w:r>
      <w:r>
        <w:rPr>
          <w:noProof/>
        </w:rPr>
        <w:tab/>
        <w:t>насърчават сътрудничеството между операторите и съответните администрации посредством използването на безпристрастни и обществено достъпни процедури, като меморандуми за разбирателство, основани на обявените такива от СМО;</w:t>
      </w:r>
    </w:p>
    <w:p>
      <w:pPr>
        <w:pStyle w:val="Point0"/>
        <w:rPr>
          <w:noProof/>
          <w:spacing w:val="-9"/>
        </w:rPr>
      </w:pPr>
      <w:r>
        <w:rPr>
          <w:noProof/>
        </w:rPr>
        <w:t>е)</w:t>
      </w:r>
      <w:r>
        <w:rPr>
          <w:noProof/>
        </w:rPr>
        <w:tab/>
        <w:t>гарантират, че съответните им митнически и свързани с тях изисквания и процедури продължават да отговарят на потребностите на търговските среди, следват най-добрите практики и ограничават търговията във възможно най-малка степен.</w:t>
      </w:r>
    </w:p>
    <w:p>
      <w:pPr>
        <w:pStyle w:val="Titrearticle"/>
        <w:rPr>
          <w:rFonts w:eastAsia="Times New Roman"/>
          <w:b/>
          <w:noProof/>
          <w:color w:val="000000"/>
          <w:szCs w:val="24"/>
        </w:rPr>
      </w:pPr>
      <w:r>
        <w:rPr>
          <w:b/>
          <w:noProof/>
          <w:color w:val="000000"/>
        </w:rPr>
        <w:t>ЧЛЕН 27</w:t>
      </w:r>
    </w:p>
    <w:p>
      <w:pPr>
        <w:jc w:val="center"/>
        <w:rPr>
          <w:rFonts w:eastAsia="Times New Roman"/>
          <w:b/>
          <w:noProof/>
          <w:color w:val="000000"/>
          <w:spacing w:val="-5"/>
          <w:szCs w:val="24"/>
        </w:rPr>
      </w:pPr>
      <w:r>
        <w:rPr>
          <w:b/>
          <w:noProof/>
          <w:color w:val="000000"/>
          <w:spacing w:val="-6"/>
        </w:rPr>
        <w:t>Преходни разпоредби</w:t>
      </w:r>
    </w:p>
    <w:p>
      <w:pPr>
        <w:pStyle w:val="ManualNumPar1"/>
        <w:rPr>
          <w:rFonts w:eastAsia="Times New Roman"/>
          <w:noProof/>
          <w:color w:val="000000"/>
          <w:szCs w:val="24"/>
        </w:rPr>
      </w:pPr>
      <w:r>
        <w:rPr>
          <w:noProof/>
          <w:color w:val="000000"/>
        </w:rPr>
        <w:t>1.</w:t>
      </w:r>
      <w:r>
        <w:rPr>
          <w:noProof/>
        </w:rPr>
        <w:tab/>
      </w:r>
      <w:r>
        <w:rPr>
          <w:noProof/>
          <w:color w:val="000000"/>
          <w:spacing w:val="-3"/>
        </w:rPr>
        <w:t>С оглед необходимостта от развитие на капацитета на държавите партньори от ИАО в областта на митниците и улесняването на търговията и без да се засягат техните ангажименти в рамките на СТО, страните се споразумяват, че държавите партньори от ИАО следва да се ползват от преходен период от пет (5) години от влизането в сила на настоящото споразумение, за да изпълнят задълженията си, посочени в членове 23, 24 и 25.</w:t>
      </w:r>
    </w:p>
    <w:p>
      <w:pPr>
        <w:pStyle w:val="ManualNumPar1"/>
        <w:rPr>
          <w:rFonts w:eastAsia="Times New Roman"/>
          <w:noProof/>
          <w:color w:val="000000"/>
          <w:szCs w:val="24"/>
        </w:rPr>
      </w:pPr>
      <w:r>
        <w:rPr>
          <w:noProof/>
          <w:color w:val="000000"/>
        </w:rPr>
        <w:t>2.</w:t>
      </w:r>
      <w:r>
        <w:rPr>
          <w:noProof/>
        </w:rPr>
        <w:tab/>
      </w:r>
      <w:r>
        <w:rPr>
          <w:noProof/>
          <w:color w:val="000000"/>
        </w:rPr>
        <w:t>Този преходен период може да бъде допълнително удължен с разрешение на Съвета по СИП.</w:t>
      </w:r>
    </w:p>
    <w:p>
      <w:pPr>
        <w:pStyle w:val="Titrearticle"/>
        <w:rPr>
          <w:rFonts w:eastAsia="Times New Roman"/>
          <w:b/>
          <w:noProof/>
          <w:color w:val="000000"/>
          <w:szCs w:val="24"/>
        </w:rPr>
      </w:pPr>
      <w:r>
        <w:rPr>
          <w:b/>
          <w:noProof/>
          <w:color w:val="000000"/>
        </w:rPr>
        <w:t>ЧЛЕН 28</w:t>
      </w:r>
    </w:p>
    <w:p>
      <w:pPr>
        <w:jc w:val="center"/>
        <w:rPr>
          <w:rFonts w:eastAsia="Times New Roman"/>
          <w:b/>
          <w:noProof/>
          <w:color w:val="000000"/>
          <w:spacing w:val="-6"/>
          <w:szCs w:val="24"/>
        </w:rPr>
      </w:pPr>
      <w:r>
        <w:rPr>
          <w:b/>
          <w:noProof/>
          <w:color w:val="000000"/>
          <w:spacing w:val="-6"/>
        </w:rPr>
        <w:t>Хармонизиране на митническите стандарти на регионално равнище</w:t>
      </w:r>
    </w:p>
    <w:p>
      <w:pPr>
        <w:rPr>
          <w:rFonts w:eastAsia="Times New Roman"/>
          <w:noProof/>
          <w:color w:val="000000"/>
          <w:spacing w:val="-17"/>
          <w:szCs w:val="24"/>
        </w:rPr>
      </w:pPr>
      <w:r>
        <w:rPr>
          <w:noProof/>
          <w:color w:val="000000"/>
          <w:spacing w:val="-3"/>
        </w:rPr>
        <w:t>Страните признават значението на по-доброто хармонизиране на митническите стандарти и мерките за улесняване на търговията на регионално равнище, включително въвеждането на реформи в областта на митниците и улесняването на търговията, когато е необходимо.</w:t>
      </w:r>
    </w:p>
    <w:p>
      <w:pPr>
        <w:pStyle w:val="Titrearticle"/>
        <w:rPr>
          <w:rFonts w:eastAsia="Arial Unicode MS"/>
          <w:b/>
          <w:noProof/>
          <w:szCs w:val="24"/>
        </w:rPr>
      </w:pPr>
      <w:r>
        <w:rPr>
          <w:b/>
          <w:noProof/>
          <w:color w:val="000000"/>
        </w:rPr>
        <w:t>ЧЛЕН 29</w:t>
      </w:r>
    </w:p>
    <w:p>
      <w:pPr>
        <w:jc w:val="center"/>
        <w:rPr>
          <w:rFonts w:eastAsia="Arial Unicode MS"/>
          <w:b/>
          <w:noProof/>
          <w:szCs w:val="24"/>
        </w:rPr>
      </w:pPr>
      <w:r>
        <w:rPr>
          <w:b/>
          <w:noProof/>
        </w:rPr>
        <w:t>Специален комитет по митниците и улесняването на търговията</w:t>
      </w:r>
    </w:p>
    <w:p>
      <w:pPr>
        <w:pStyle w:val="ManualNumPar1"/>
        <w:rPr>
          <w:rFonts w:eastAsia="Arial Unicode MS"/>
          <w:noProof/>
          <w:szCs w:val="24"/>
        </w:rPr>
      </w:pPr>
      <w:r>
        <w:rPr>
          <w:noProof/>
        </w:rPr>
        <w:lastRenderedPageBreak/>
        <w:t>1.</w:t>
      </w:r>
      <w:r>
        <w:rPr>
          <w:noProof/>
        </w:rPr>
        <w:tab/>
        <w:t xml:space="preserve">Страните създават Специален комитет по митниците и улесняването на търговията, съставен от техни представители, който: </w:t>
      </w:r>
    </w:p>
    <w:p>
      <w:pPr>
        <w:pStyle w:val="Point1"/>
        <w:rPr>
          <w:rFonts w:eastAsia="Times New Roman"/>
          <w:noProof/>
          <w:color w:val="000000"/>
          <w:szCs w:val="24"/>
        </w:rPr>
      </w:pPr>
      <w:r>
        <w:rPr>
          <w:noProof/>
        </w:rPr>
        <w:t>а)</w:t>
      </w:r>
      <w:r>
        <w:rPr>
          <w:noProof/>
        </w:rPr>
        <w:tab/>
        <w:t>заседава на предварително договорена от страните дата и с предварително договорена от тях програма;</w:t>
      </w:r>
    </w:p>
    <w:p>
      <w:pPr>
        <w:pStyle w:val="Point1"/>
        <w:rPr>
          <w:rFonts w:eastAsia="Times New Roman"/>
          <w:noProof/>
          <w:color w:val="000000"/>
          <w:szCs w:val="24"/>
        </w:rPr>
      </w:pPr>
      <w:r>
        <w:rPr>
          <w:noProof/>
          <w:color w:val="000000"/>
        </w:rPr>
        <w:t>б)</w:t>
      </w:r>
      <w:r>
        <w:rPr>
          <w:noProof/>
        </w:rPr>
        <w:tab/>
      </w:r>
      <w:r>
        <w:rPr>
          <w:noProof/>
          <w:color w:val="000000"/>
        </w:rPr>
        <w:t>се председателства на ротационен принцип от всяка от страните;</w:t>
      </w:r>
    </w:p>
    <w:p>
      <w:pPr>
        <w:pStyle w:val="Point1"/>
        <w:rPr>
          <w:rFonts w:eastAsia="Arial Unicode MS"/>
          <w:noProof/>
          <w:szCs w:val="24"/>
        </w:rPr>
      </w:pPr>
      <w:r>
        <w:rPr>
          <w:noProof/>
          <w:color w:val="000000"/>
        </w:rPr>
        <w:t>в)</w:t>
      </w:r>
      <w:r>
        <w:rPr>
          <w:noProof/>
        </w:rPr>
        <w:tab/>
        <w:t>докладва на Съвета по СИП.</w:t>
      </w:r>
    </w:p>
    <w:p>
      <w:pPr>
        <w:pStyle w:val="ManualNumPar1"/>
        <w:rPr>
          <w:rFonts w:eastAsia="Arial Unicode MS"/>
          <w:noProof/>
          <w:szCs w:val="24"/>
        </w:rPr>
      </w:pPr>
      <w:r>
        <w:rPr>
          <w:noProof/>
        </w:rPr>
        <w:t>2.</w:t>
      </w:r>
      <w:r>
        <w:rPr>
          <w:noProof/>
        </w:rPr>
        <w:tab/>
        <w:t>Функциите на Специалния комитет по митниците и улесняването на търговията включват:</w:t>
      </w:r>
    </w:p>
    <w:p>
      <w:pPr>
        <w:pStyle w:val="Point1"/>
        <w:rPr>
          <w:rFonts w:eastAsia="Times New Roman"/>
          <w:noProof/>
          <w:color w:val="000000"/>
          <w:szCs w:val="24"/>
        </w:rPr>
      </w:pPr>
      <w:r>
        <w:rPr>
          <w:noProof/>
        </w:rPr>
        <w:t>а)</w:t>
      </w:r>
      <w:r>
        <w:rPr>
          <w:noProof/>
        </w:rPr>
        <w:tab/>
        <w:t>мониторинг на прилагането и административното осигуряване на настоящия дял и на протокола за правилата за произход;</w:t>
      </w:r>
    </w:p>
    <w:p>
      <w:pPr>
        <w:pStyle w:val="Point1"/>
        <w:rPr>
          <w:rFonts w:eastAsia="Times New Roman"/>
          <w:noProof/>
          <w:color w:val="000000"/>
          <w:szCs w:val="24"/>
        </w:rPr>
      </w:pPr>
      <w:r>
        <w:rPr>
          <w:noProof/>
          <w:color w:val="000000"/>
        </w:rPr>
        <w:t>б)</w:t>
      </w:r>
      <w:r>
        <w:rPr>
          <w:noProof/>
        </w:rPr>
        <w:tab/>
      </w:r>
      <w:r>
        <w:rPr>
          <w:noProof/>
          <w:color w:val="000000"/>
        </w:rPr>
        <w:t>предоставяне на форум за консултации и дискусии по всички въпроси, свързани с митниците, включително правилата за произход, общите митнически процедури, митническото остойностяване, тарифното класиране, транзита и административната взаимопомощ по митнически въпроси;</w:t>
      </w:r>
    </w:p>
    <w:p>
      <w:pPr>
        <w:pStyle w:val="Point1"/>
        <w:rPr>
          <w:rFonts w:eastAsia="Times New Roman"/>
          <w:noProof/>
          <w:color w:val="000000"/>
          <w:szCs w:val="24"/>
        </w:rPr>
      </w:pPr>
      <w:r>
        <w:rPr>
          <w:noProof/>
          <w:color w:val="000000"/>
        </w:rPr>
        <w:t>в)</w:t>
      </w:r>
      <w:r>
        <w:rPr>
          <w:noProof/>
        </w:rPr>
        <w:tab/>
      </w:r>
      <w:r>
        <w:rPr>
          <w:noProof/>
          <w:color w:val="000000"/>
        </w:rPr>
        <w:t>засилване на сътрудничеството за разработване, въвеждане и прилагане на правилата за произход и свързаните с тях митнически процедури, общи митнически процедури и административна взаимопомощ по митнически въпроси;</w:t>
      </w:r>
    </w:p>
    <w:p>
      <w:pPr>
        <w:pStyle w:val="Point1"/>
        <w:rPr>
          <w:rFonts w:eastAsia="Times New Roman"/>
          <w:noProof/>
          <w:color w:val="000000"/>
          <w:szCs w:val="24"/>
        </w:rPr>
      </w:pPr>
      <w:r>
        <w:rPr>
          <w:noProof/>
          <w:color w:val="000000"/>
        </w:rPr>
        <w:t>г)</w:t>
      </w:r>
      <w:r>
        <w:rPr>
          <w:noProof/>
        </w:rPr>
        <w:tab/>
      </w:r>
      <w:r>
        <w:rPr>
          <w:noProof/>
          <w:color w:val="000000"/>
        </w:rPr>
        <w:t>насърчаване на сътрудничество в областта на изграждането на капацитет и техническата помощ;</w:t>
      </w:r>
    </w:p>
    <w:p>
      <w:pPr>
        <w:pStyle w:val="Point1"/>
        <w:rPr>
          <w:rFonts w:eastAsia="Arial Unicode MS"/>
          <w:noProof/>
          <w:szCs w:val="24"/>
        </w:rPr>
      </w:pPr>
      <w:r>
        <w:rPr>
          <w:noProof/>
          <w:color w:val="000000"/>
        </w:rPr>
        <w:t>д)</w:t>
      </w:r>
      <w:r>
        <w:rPr>
          <w:noProof/>
        </w:rPr>
        <w:tab/>
        <w:t>всякакви други договорени между страните въпроси, които са свързани с настоящия дял.</w:t>
      </w:r>
    </w:p>
    <w:p>
      <w:pPr>
        <w:jc w:val="center"/>
        <w:rPr>
          <w:b/>
          <w:noProof/>
          <w:sz w:val="28"/>
          <w:szCs w:val="28"/>
        </w:rPr>
      </w:pPr>
      <w:bookmarkStart w:id="13" w:name="_Toc401595114"/>
      <w:r>
        <w:rPr>
          <w:b/>
          <w:noProof/>
          <w:sz w:val="28"/>
        </w:rPr>
        <w:t>ДЯЛ IV: САНИТАРНИ И ФИТОСАНИТАРНИ МЕРКИ</w:t>
      </w:r>
      <w:bookmarkEnd w:id="13"/>
    </w:p>
    <w:p>
      <w:pPr>
        <w:pStyle w:val="Titrearticle"/>
        <w:rPr>
          <w:rFonts w:eastAsia="Times New Roman"/>
          <w:b/>
          <w:noProof/>
          <w:color w:val="000000"/>
          <w:spacing w:val="-4"/>
          <w:szCs w:val="24"/>
        </w:rPr>
      </w:pPr>
      <w:r>
        <w:rPr>
          <w:b/>
          <w:noProof/>
          <w:color w:val="000000"/>
        </w:rPr>
        <w:t>ЧЛЕН 30</w:t>
      </w:r>
    </w:p>
    <w:p>
      <w:pPr>
        <w:jc w:val="center"/>
        <w:rPr>
          <w:rFonts w:eastAsia="Times New Roman"/>
          <w:b/>
          <w:iCs/>
          <w:noProof/>
          <w:color w:val="000000"/>
          <w:spacing w:val="-7"/>
          <w:szCs w:val="24"/>
        </w:rPr>
      </w:pPr>
      <w:r>
        <w:rPr>
          <w:b/>
          <w:noProof/>
        </w:rPr>
        <w:t>Обхват и определения</w:t>
      </w:r>
    </w:p>
    <w:p>
      <w:pPr>
        <w:pStyle w:val="ManualNumPar1"/>
        <w:rPr>
          <w:rFonts w:eastAsia="Arial Unicode MS"/>
          <w:noProof/>
          <w:szCs w:val="24"/>
        </w:rPr>
      </w:pPr>
      <w:r>
        <w:rPr>
          <w:noProof/>
          <w:color w:val="000000"/>
          <w:spacing w:val="-2"/>
        </w:rPr>
        <w:t>1.</w:t>
      </w:r>
      <w:r>
        <w:rPr>
          <w:noProof/>
        </w:rPr>
        <w:tab/>
        <w:t>Разпоредбите на настоящия дял се прилагат към мерки, обхванати от Споразумението на Световната търговска организация за прилагането на санитарни и фитосанитарни мерки (Споразумението на СТО за СФМ).</w:t>
      </w:r>
    </w:p>
    <w:p>
      <w:pPr>
        <w:pStyle w:val="ManualNumPar1"/>
        <w:rPr>
          <w:rFonts w:eastAsia="Times New Roman"/>
          <w:noProof/>
          <w:color w:val="000000"/>
          <w:szCs w:val="24"/>
        </w:rPr>
      </w:pPr>
      <w:r>
        <w:rPr>
          <w:noProof/>
        </w:rPr>
        <w:t>2.</w:t>
      </w:r>
      <w:r>
        <w:rPr>
          <w:noProof/>
        </w:rPr>
        <w:tab/>
        <w:t>За целите на настоящия дял, освен когато е предвидено друго, се прилагат определенията на Споразумението на СТО за СФМ, Комисията по Кодекс алиментариус, Световната организация за здравеопазване на животните и Международната конвенция по растителна защита.</w:t>
      </w:r>
    </w:p>
    <w:p>
      <w:pPr>
        <w:pStyle w:val="Titrearticle"/>
        <w:rPr>
          <w:rFonts w:eastAsia="Times New Roman"/>
          <w:b/>
          <w:noProof/>
          <w:color w:val="000000"/>
          <w:spacing w:val="-6"/>
          <w:szCs w:val="24"/>
        </w:rPr>
      </w:pPr>
      <w:r>
        <w:rPr>
          <w:b/>
          <w:noProof/>
          <w:color w:val="000000"/>
        </w:rPr>
        <w:t>ЧЛЕН 31</w:t>
      </w:r>
    </w:p>
    <w:p>
      <w:pPr>
        <w:jc w:val="center"/>
        <w:rPr>
          <w:rFonts w:eastAsia="Times New Roman"/>
          <w:iCs/>
          <w:noProof/>
          <w:color w:val="000000"/>
          <w:spacing w:val="-6"/>
          <w:szCs w:val="24"/>
        </w:rPr>
      </w:pPr>
      <w:r>
        <w:rPr>
          <w:b/>
          <w:noProof/>
          <w:color w:val="000000"/>
          <w:spacing w:val="-7"/>
        </w:rPr>
        <w:t>Цели</w:t>
      </w:r>
    </w:p>
    <w:p>
      <w:pPr>
        <w:rPr>
          <w:rFonts w:eastAsia="Times New Roman"/>
          <w:noProof/>
          <w:color w:val="000000"/>
          <w:szCs w:val="24"/>
        </w:rPr>
      </w:pPr>
      <w:r>
        <w:rPr>
          <w:noProof/>
          <w:color w:val="000000"/>
          <w:spacing w:val="-6"/>
        </w:rPr>
        <w:t>Целите в областта на прилагането на санитарните и фитосанитарните мерки са следните:</w:t>
      </w:r>
    </w:p>
    <w:p>
      <w:pPr>
        <w:pStyle w:val="Point0"/>
        <w:rPr>
          <w:noProof/>
          <w:spacing w:val="-14"/>
        </w:rPr>
      </w:pPr>
      <w:r>
        <w:rPr>
          <w:noProof/>
        </w:rPr>
        <w:t>а)</w:t>
      </w:r>
      <w:r>
        <w:rPr>
          <w:noProof/>
        </w:rPr>
        <w:tab/>
        <w:t>улесняване на междурегионалната и вътрешнорегионалната търговия на страните, като същевременно се опазват здравето и живота на хората, животните и растенията в съответствие със Споразумението на СТО за СФМ;</w:t>
      </w:r>
    </w:p>
    <w:p>
      <w:pPr>
        <w:pStyle w:val="Point0"/>
        <w:rPr>
          <w:noProof/>
          <w:spacing w:val="-13"/>
        </w:rPr>
      </w:pPr>
      <w:r>
        <w:rPr>
          <w:noProof/>
        </w:rPr>
        <w:lastRenderedPageBreak/>
        <w:t>б)</w:t>
      </w:r>
      <w:r>
        <w:rPr>
          <w:noProof/>
        </w:rPr>
        <w:tab/>
        <w:t>разглеждане на проблемите, произтичащи от СФМ, по съгласувани приоритетни сектори и продукти, като се обърне дължимото внимание на регионалната интеграция;</w:t>
      </w:r>
    </w:p>
    <w:p>
      <w:pPr>
        <w:pStyle w:val="Point0"/>
        <w:rPr>
          <w:noProof/>
          <w:spacing w:val="-10"/>
        </w:rPr>
      </w:pPr>
      <w:r>
        <w:rPr>
          <w:noProof/>
        </w:rPr>
        <w:t>в)</w:t>
      </w:r>
      <w:r>
        <w:rPr>
          <w:noProof/>
        </w:rPr>
        <w:tab/>
        <w:t>въвеждане на процедури и ред и условия за улесняване на сътрудничеството по санитарни и фитосанитарни въпроси;</w:t>
      </w:r>
    </w:p>
    <w:p>
      <w:pPr>
        <w:pStyle w:val="Point0"/>
        <w:rPr>
          <w:noProof/>
          <w:spacing w:val="-11"/>
        </w:rPr>
      </w:pPr>
      <w:r>
        <w:rPr>
          <w:noProof/>
        </w:rPr>
        <w:t>г)</w:t>
      </w:r>
      <w:r>
        <w:rPr>
          <w:noProof/>
        </w:rPr>
        <w:tab/>
        <w:t>осигуряване на прозрачност по отношение на СФМ, приложими за търговията между и в рамките на страните;</w:t>
      </w:r>
    </w:p>
    <w:p>
      <w:pPr>
        <w:pStyle w:val="Point0"/>
        <w:rPr>
          <w:noProof/>
          <w:spacing w:val="-13"/>
        </w:rPr>
      </w:pPr>
      <w:r>
        <w:rPr>
          <w:noProof/>
        </w:rPr>
        <w:t>д)</w:t>
      </w:r>
      <w:r>
        <w:rPr>
          <w:noProof/>
        </w:rPr>
        <w:tab/>
        <w:t>насърчаване на вътрешнорегионалната хармонизация на мерките с международните стандарти в съответствие със Споразумението на СТО за СФМ и развитието на подходящи политики, законодателни, регулаторни и институционални рамки в държавите партньори от ИАО;</w:t>
      </w:r>
    </w:p>
    <w:p>
      <w:pPr>
        <w:pStyle w:val="Point0"/>
        <w:rPr>
          <w:noProof/>
          <w:spacing w:val="-9"/>
        </w:rPr>
      </w:pPr>
      <w:r>
        <w:rPr>
          <w:noProof/>
        </w:rPr>
        <w:t>е)</w:t>
      </w:r>
      <w:r>
        <w:rPr>
          <w:noProof/>
        </w:rPr>
        <w:tab/>
        <w:t>засилване на ефективното участие на държавите партньори от ИАО в Комисията по Кодекс алиментариус, Световната организация за здравеопазване на животните и Международната конвенция по растителна защита;</w:t>
      </w:r>
    </w:p>
    <w:p>
      <w:pPr>
        <w:pStyle w:val="Point0"/>
        <w:rPr>
          <w:noProof/>
          <w:spacing w:val="-3"/>
        </w:rPr>
      </w:pPr>
      <w:r>
        <w:rPr>
          <w:noProof/>
        </w:rPr>
        <w:t>ж)</w:t>
      </w:r>
      <w:r>
        <w:rPr>
          <w:noProof/>
        </w:rPr>
        <w:tab/>
        <w:t>насърчаване на консултациите и обмена на информация между институциите и лабораториите на държавите партньори от ИАО и на ЕС;</w:t>
      </w:r>
    </w:p>
    <w:p>
      <w:pPr>
        <w:pStyle w:val="Point0"/>
        <w:rPr>
          <w:noProof/>
          <w:spacing w:val="-3"/>
        </w:rPr>
      </w:pPr>
      <w:r>
        <w:rPr>
          <w:noProof/>
        </w:rPr>
        <w:t>з)</w:t>
      </w:r>
      <w:r>
        <w:rPr>
          <w:noProof/>
        </w:rPr>
        <w:tab/>
        <w:t>улесняване на изграждането на капацитет за създаване и прилагане на регионални и национални стандарти в съответствие с международните изисквания, за да се улесни регионалната интеграция;</w:t>
      </w:r>
    </w:p>
    <w:p>
      <w:pPr>
        <w:pStyle w:val="Point0"/>
        <w:rPr>
          <w:noProof/>
          <w:spacing w:val="-3"/>
        </w:rPr>
      </w:pPr>
      <w:r>
        <w:rPr>
          <w:noProof/>
        </w:rPr>
        <w:t>и)</w:t>
      </w:r>
      <w:r>
        <w:rPr>
          <w:noProof/>
        </w:rPr>
        <w:tab/>
        <w:t>изграждане и укрепване на капацитета на държавите партньори от ИАО за изпълнение и наблюдение на СФМ в съответствие с разпоредбите на дял VI от част V относно икономическото сътрудничество и сътрудничеството за развитие; както и</w:t>
      </w:r>
    </w:p>
    <w:p>
      <w:pPr>
        <w:pStyle w:val="Point0"/>
        <w:rPr>
          <w:noProof/>
        </w:rPr>
      </w:pPr>
      <w:r>
        <w:rPr>
          <w:noProof/>
        </w:rPr>
        <w:t>й)</w:t>
      </w:r>
      <w:r>
        <w:rPr>
          <w:noProof/>
        </w:rPr>
        <w:tab/>
        <w:t>насърчаване на трансфера на технологии.</w:t>
      </w:r>
    </w:p>
    <w:p>
      <w:pPr>
        <w:pStyle w:val="Titrearticle"/>
        <w:rPr>
          <w:rFonts w:eastAsia="Times New Roman"/>
          <w:b/>
          <w:noProof/>
          <w:color w:val="000000"/>
          <w:szCs w:val="24"/>
        </w:rPr>
      </w:pPr>
      <w:r>
        <w:rPr>
          <w:b/>
          <w:noProof/>
          <w:color w:val="000000"/>
        </w:rPr>
        <w:t>ЧЛЕН 32</w:t>
      </w:r>
    </w:p>
    <w:p>
      <w:pPr>
        <w:jc w:val="center"/>
        <w:rPr>
          <w:rFonts w:eastAsia="Times New Roman"/>
          <w:b/>
          <w:iCs/>
          <w:noProof/>
          <w:color w:val="000000"/>
          <w:spacing w:val="-7"/>
          <w:szCs w:val="24"/>
        </w:rPr>
      </w:pPr>
      <w:r>
        <w:rPr>
          <w:b/>
          <w:noProof/>
          <w:color w:val="000000"/>
          <w:spacing w:val="-7"/>
        </w:rPr>
        <w:t>Права и задължения</w:t>
      </w:r>
    </w:p>
    <w:p>
      <w:pPr>
        <w:pStyle w:val="ManualNumPar1"/>
        <w:rPr>
          <w:rFonts w:eastAsia="Arial Unicode MS"/>
          <w:noProof/>
          <w:szCs w:val="24"/>
        </w:rPr>
      </w:pPr>
      <w:r>
        <w:rPr>
          <w:noProof/>
          <w:color w:val="000000"/>
          <w:spacing w:val="-2"/>
        </w:rPr>
        <w:t>1.</w:t>
      </w:r>
      <w:r>
        <w:rPr>
          <w:noProof/>
        </w:rPr>
        <w:tab/>
        <w:t>Страните отново потвърждават своите права и задължения съгласно международните</w:t>
      </w:r>
      <w:r>
        <w:rPr>
          <w:noProof/>
        </w:rPr>
        <w:br/>
        <w:t>договори и споразумения, които са свързани с настоящия дял и по които те са страни.</w:t>
      </w:r>
    </w:p>
    <w:p>
      <w:pPr>
        <w:pStyle w:val="ManualNumPar1"/>
        <w:rPr>
          <w:rFonts w:eastAsia="Times New Roman"/>
          <w:noProof/>
          <w:color w:val="000000"/>
          <w:spacing w:val="-5"/>
          <w:szCs w:val="24"/>
        </w:rPr>
      </w:pPr>
      <w:r>
        <w:rPr>
          <w:noProof/>
        </w:rPr>
        <w:t>2.</w:t>
      </w:r>
      <w:r>
        <w:rPr>
          <w:noProof/>
        </w:rPr>
        <w:tab/>
        <w:t>Всяка страна:</w:t>
      </w:r>
    </w:p>
    <w:p>
      <w:pPr>
        <w:pStyle w:val="Point1"/>
        <w:rPr>
          <w:noProof/>
          <w:spacing w:val="-13"/>
        </w:rPr>
      </w:pPr>
      <w:r>
        <w:rPr>
          <w:noProof/>
        </w:rPr>
        <w:t>а)</w:t>
      </w:r>
      <w:r>
        <w:rPr>
          <w:noProof/>
        </w:rPr>
        <w:tab/>
        <w:t>има суверенното право да прилага санитарни и фитосанитарни мерки, при условие че тези мерки са в съответствие с разпоредбите на Споразумението на СТО за СФМ;</w:t>
      </w:r>
    </w:p>
    <w:p>
      <w:pPr>
        <w:pStyle w:val="Point1"/>
        <w:rPr>
          <w:noProof/>
          <w:spacing w:val="-3"/>
        </w:rPr>
      </w:pPr>
      <w:r>
        <w:rPr>
          <w:noProof/>
        </w:rPr>
        <w:t>б)</w:t>
      </w:r>
      <w:r>
        <w:rPr>
          <w:noProof/>
        </w:rPr>
        <w:tab/>
        <w:t>се консултира с другата страна преди въвеждането на всякакви нови СФМ чрез механизмите за уведомяване, предвидени в Споразумението на СТО за СФМ и, ако и когато това е целесъобразно, чрез своите звена за контакт;</w:t>
      </w:r>
    </w:p>
    <w:p>
      <w:pPr>
        <w:pStyle w:val="Point1"/>
        <w:rPr>
          <w:noProof/>
          <w:spacing w:val="-3"/>
        </w:rPr>
      </w:pPr>
      <w:r>
        <w:rPr>
          <w:noProof/>
        </w:rPr>
        <w:t>в)</w:t>
      </w:r>
      <w:r>
        <w:rPr>
          <w:noProof/>
        </w:rPr>
        <w:tab/>
        <w:t>подпомага другата страна при събирането на необходимата информация, за вземане на информирани решения;</w:t>
      </w:r>
    </w:p>
    <w:p>
      <w:pPr>
        <w:pStyle w:val="Point1"/>
        <w:rPr>
          <w:noProof/>
          <w:spacing w:val="-11"/>
        </w:rPr>
      </w:pPr>
      <w:r>
        <w:rPr>
          <w:noProof/>
        </w:rPr>
        <w:lastRenderedPageBreak/>
        <w:t>г)</w:t>
      </w:r>
      <w:r>
        <w:rPr>
          <w:noProof/>
        </w:rPr>
        <w:tab/>
        <w:t>насърчава връзките, съвместните предприятия, съвместната научноизследователска и развойна дейност между институциите и лабораториите на държавите партньори от ИАО и на ЕС.</w:t>
      </w:r>
    </w:p>
    <w:p>
      <w:pPr>
        <w:pStyle w:val="Titrearticle"/>
        <w:rPr>
          <w:rFonts w:eastAsia="Times New Roman"/>
          <w:b/>
          <w:noProof/>
          <w:color w:val="000000"/>
          <w:spacing w:val="-5"/>
          <w:szCs w:val="24"/>
        </w:rPr>
      </w:pPr>
      <w:r>
        <w:rPr>
          <w:b/>
          <w:noProof/>
          <w:color w:val="000000"/>
        </w:rPr>
        <w:t>ЧЛЕН 33</w:t>
      </w:r>
    </w:p>
    <w:p>
      <w:pPr>
        <w:jc w:val="center"/>
        <w:rPr>
          <w:rFonts w:eastAsia="Times New Roman"/>
          <w:b/>
          <w:iCs/>
          <w:noProof/>
          <w:color w:val="000000"/>
          <w:spacing w:val="-4"/>
          <w:szCs w:val="24"/>
        </w:rPr>
      </w:pPr>
      <w:r>
        <w:rPr>
          <w:b/>
          <w:noProof/>
          <w:color w:val="000000"/>
          <w:spacing w:val="-4"/>
        </w:rPr>
        <w:t>Научна обосновка на мерките</w:t>
      </w:r>
    </w:p>
    <w:p>
      <w:pPr>
        <w:rPr>
          <w:rFonts w:eastAsia="Times New Roman"/>
          <w:noProof/>
          <w:szCs w:val="24"/>
        </w:rPr>
      </w:pPr>
      <w:r>
        <w:rPr>
          <w:noProof/>
          <w:color w:val="000000"/>
        </w:rPr>
        <w:t>При спазване на разпоредбите на настоящия дял страните гарантират, че въвеждането, промяната или изменението на всяка СФМ на тяхна територия се основават на научна обосновка и е в съответствие със Споразумението на СТО за СФМ.</w:t>
      </w:r>
    </w:p>
    <w:p>
      <w:pPr>
        <w:pStyle w:val="Titrearticle"/>
        <w:rPr>
          <w:rFonts w:eastAsia="Times New Roman"/>
          <w:b/>
          <w:iCs/>
          <w:noProof/>
          <w:color w:val="000000"/>
          <w:spacing w:val="-6"/>
          <w:szCs w:val="24"/>
        </w:rPr>
      </w:pPr>
      <w:r>
        <w:rPr>
          <w:b/>
          <w:noProof/>
          <w:color w:val="000000"/>
        </w:rPr>
        <w:t>ЧЛЕН 34</w:t>
      </w:r>
    </w:p>
    <w:p>
      <w:pPr>
        <w:jc w:val="center"/>
        <w:rPr>
          <w:rFonts w:eastAsia="Times New Roman"/>
          <w:b/>
          <w:iCs/>
          <w:noProof/>
          <w:color w:val="000000"/>
          <w:spacing w:val="-6"/>
          <w:szCs w:val="24"/>
        </w:rPr>
      </w:pPr>
      <w:r>
        <w:rPr>
          <w:b/>
          <w:noProof/>
          <w:color w:val="000000"/>
          <w:spacing w:val="-7"/>
        </w:rPr>
        <w:t>Хармонизация</w:t>
      </w:r>
    </w:p>
    <w:p>
      <w:pPr>
        <w:pStyle w:val="ManualNumPar1"/>
        <w:rPr>
          <w:rFonts w:eastAsia="Arial Unicode MS"/>
          <w:noProof/>
          <w:szCs w:val="24"/>
        </w:rPr>
      </w:pPr>
      <w:r>
        <w:rPr>
          <w:noProof/>
          <w:color w:val="000000"/>
          <w:spacing w:val="-2"/>
        </w:rPr>
        <w:t>1.</w:t>
      </w:r>
      <w:r>
        <w:rPr>
          <w:noProof/>
        </w:rPr>
        <w:tab/>
        <w:t>Страните се стремят да постигнат хармонизация на съответните си правила и процедури при изготвянето на своите СФМ, включително на процедурите за инспекция,</w:t>
      </w:r>
      <w:r>
        <w:rPr>
          <w:noProof/>
        </w:rPr>
        <w:br/>
        <w:t xml:space="preserve">изпитване и сертифициране, в съответствие със Споразумението на СТО за СФМ. </w:t>
      </w:r>
    </w:p>
    <w:p>
      <w:pPr>
        <w:pStyle w:val="ManualNumPar1"/>
        <w:rPr>
          <w:rFonts w:eastAsia="Times New Roman"/>
          <w:noProof/>
          <w:szCs w:val="24"/>
        </w:rPr>
      </w:pPr>
      <w:r>
        <w:rPr>
          <w:noProof/>
        </w:rPr>
        <w:t>2.</w:t>
      </w:r>
      <w:r>
        <w:rPr>
          <w:noProof/>
        </w:rPr>
        <w:tab/>
        <w:t>Комитетът на висшите служители разработва методи за подпомагане и наблюдение на този процес на хармонизация.</w:t>
      </w:r>
    </w:p>
    <w:p>
      <w:pPr>
        <w:pStyle w:val="Titrearticle"/>
        <w:rPr>
          <w:rFonts w:eastAsia="Times New Roman"/>
          <w:b/>
          <w:iCs/>
          <w:noProof/>
          <w:color w:val="000000"/>
          <w:spacing w:val="-4"/>
          <w:szCs w:val="24"/>
        </w:rPr>
      </w:pPr>
      <w:r>
        <w:rPr>
          <w:b/>
          <w:noProof/>
          <w:color w:val="000000"/>
        </w:rPr>
        <w:t>ЧЛЕН 35</w:t>
      </w:r>
    </w:p>
    <w:p>
      <w:pPr>
        <w:jc w:val="center"/>
        <w:rPr>
          <w:rFonts w:eastAsia="Times New Roman"/>
          <w:b/>
          <w:noProof/>
          <w:szCs w:val="24"/>
        </w:rPr>
      </w:pPr>
      <w:r>
        <w:rPr>
          <w:b/>
          <w:noProof/>
          <w:color w:val="000000"/>
          <w:spacing w:val="-7"/>
        </w:rPr>
        <w:t>Еквивалентност</w:t>
      </w:r>
    </w:p>
    <w:p>
      <w:pPr>
        <w:rPr>
          <w:rFonts w:eastAsia="Calibri" w:cs="Courier New"/>
          <w:noProof/>
          <w:color w:val="000000"/>
          <w:spacing w:val="-3"/>
          <w:szCs w:val="24"/>
        </w:rPr>
      </w:pPr>
      <w:r>
        <w:rPr>
          <w:noProof/>
          <w:color w:val="000000"/>
          <w:spacing w:val="-4"/>
        </w:rPr>
        <w:t>Страните прилагат принципите на еквивалентност в съответствие с разпоредбите на Споразумението на СТО за СФМ. За тази цел всяка страна предоставя разумен достъп на другата страна по искане на последната с оглед извършването на инспекция, изпитване и други съответни процедури.</w:t>
      </w:r>
    </w:p>
    <w:p>
      <w:pPr>
        <w:pStyle w:val="Titrearticle"/>
        <w:rPr>
          <w:rFonts w:eastAsia="Times New Roman"/>
          <w:b/>
          <w:iCs/>
          <w:noProof/>
          <w:spacing w:val="-4"/>
          <w:szCs w:val="24"/>
        </w:rPr>
      </w:pPr>
      <w:r>
        <w:rPr>
          <w:b/>
          <w:noProof/>
          <w:color w:val="000000"/>
        </w:rPr>
        <w:t>ЧЛЕН 36</w:t>
      </w:r>
    </w:p>
    <w:p>
      <w:pPr>
        <w:jc w:val="center"/>
        <w:rPr>
          <w:rFonts w:eastAsia="Times New Roman"/>
          <w:b/>
          <w:iCs/>
          <w:noProof/>
          <w:color w:val="000000"/>
          <w:spacing w:val="-4"/>
          <w:szCs w:val="24"/>
        </w:rPr>
      </w:pPr>
      <w:r>
        <w:rPr>
          <w:b/>
          <w:noProof/>
          <w:color w:val="000000"/>
          <w:spacing w:val="-4"/>
        </w:rPr>
        <w:t>Определяне на зони и вътрешно разделение</w:t>
      </w:r>
    </w:p>
    <w:p>
      <w:pPr>
        <w:rPr>
          <w:rFonts w:eastAsia="Times New Roman"/>
          <w:noProof/>
          <w:szCs w:val="24"/>
        </w:rPr>
      </w:pPr>
      <w:r>
        <w:rPr>
          <w:noProof/>
          <w:color w:val="000000"/>
          <w:spacing w:val="-3"/>
        </w:rPr>
        <w:t>Страните признават за всеки отделен случай определени райони, които са свободни от вредители или болести, или райони с ниска степен на разпространение на вредители или болести като потенциални източници на растителни и животински продукти, като вземат предвид разпоредбите на член 6 от Споразумението на СТО за СФМ.</w:t>
      </w:r>
    </w:p>
    <w:p>
      <w:pPr>
        <w:pStyle w:val="Titrearticle"/>
        <w:rPr>
          <w:rFonts w:eastAsia="Times New Roman"/>
          <w:b/>
          <w:iCs/>
          <w:noProof/>
          <w:spacing w:val="-4"/>
          <w:szCs w:val="24"/>
        </w:rPr>
      </w:pPr>
      <w:r>
        <w:rPr>
          <w:b/>
          <w:noProof/>
          <w:color w:val="000000"/>
        </w:rPr>
        <w:t>ЧЛЕН 37</w:t>
      </w:r>
    </w:p>
    <w:p>
      <w:pPr>
        <w:jc w:val="center"/>
        <w:rPr>
          <w:rFonts w:eastAsia="Times New Roman"/>
          <w:b/>
          <w:iCs/>
          <w:noProof/>
          <w:color w:val="000000"/>
          <w:spacing w:val="-4"/>
          <w:szCs w:val="24"/>
        </w:rPr>
      </w:pPr>
      <w:r>
        <w:rPr>
          <w:b/>
          <w:noProof/>
          <w:color w:val="000000"/>
          <w:spacing w:val="-4"/>
        </w:rPr>
        <w:t>Уведомяване, проучване и прозрачност</w:t>
      </w:r>
    </w:p>
    <w:p>
      <w:pPr>
        <w:pStyle w:val="ManualNumPar1"/>
        <w:rPr>
          <w:rFonts w:eastAsia="Arial Unicode MS"/>
          <w:noProof/>
          <w:szCs w:val="24"/>
        </w:rPr>
      </w:pPr>
      <w:r>
        <w:rPr>
          <w:noProof/>
          <w:color w:val="000000"/>
        </w:rPr>
        <w:t>1.</w:t>
      </w:r>
      <w:r>
        <w:rPr>
          <w:noProof/>
        </w:rPr>
        <w:tab/>
        <w:t>Страните прилагат санитарните и фитосанитарните мерки по прозрачен начин в съответствие със Споразумението на СТО за СФМ.</w:t>
      </w:r>
    </w:p>
    <w:p>
      <w:pPr>
        <w:pStyle w:val="ManualNumPar1"/>
        <w:rPr>
          <w:rFonts w:eastAsia="Arial Unicode MS"/>
          <w:noProof/>
          <w:szCs w:val="24"/>
        </w:rPr>
      </w:pPr>
      <w:r>
        <w:rPr>
          <w:noProof/>
        </w:rPr>
        <w:t>2.</w:t>
      </w:r>
      <w:r>
        <w:rPr>
          <w:noProof/>
        </w:rPr>
        <w:tab/>
        <w:t>Страните признават значението на ефикасните механизми за консултиране, уведомяване и обмен на информация по отношение на СФМ в съответствие със Споразумението на СТО за СФМ.</w:t>
      </w:r>
    </w:p>
    <w:p>
      <w:pPr>
        <w:pStyle w:val="ManualNumPar1"/>
        <w:rPr>
          <w:rFonts w:eastAsia="Times New Roman"/>
          <w:noProof/>
          <w:szCs w:val="24"/>
        </w:rPr>
      </w:pPr>
      <w:r>
        <w:rPr>
          <w:noProof/>
        </w:rPr>
        <w:lastRenderedPageBreak/>
        <w:t>3.</w:t>
      </w:r>
      <w:r>
        <w:rPr>
          <w:noProof/>
        </w:rPr>
        <w:tab/>
        <w:t>Страната вносител уведомява страната износител за всички промени в своите санитарни и фитосанитарни изисквания по отношение на вноса, които могат да окажат влияние върху търговията, попадаща в обхвата на настоящия дял.</w:t>
      </w:r>
      <w:r>
        <w:rPr>
          <w:noProof/>
          <w:color w:val="000000"/>
          <w:spacing w:val="-4"/>
        </w:rPr>
        <w:t xml:space="preserve"> Страните също така поемат ангажимент да създадат механизми за обмен на такава информация.</w:t>
      </w:r>
    </w:p>
    <w:p>
      <w:pPr>
        <w:pStyle w:val="Titrearticle"/>
        <w:rPr>
          <w:rFonts w:eastAsia="Times New Roman"/>
          <w:b/>
          <w:noProof/>
          <w:color w:val="000000"/>
          <w:szCs w:val="24"/>
        </w:rPr>
      </w:pPr>
      <w:r>
        <w:rPr>
          <w:b/>
          <w:noProof/>
          <w:color w:val="000000"/>
        </w:rPr>
        <w:t>ЧЛЕН 38</w:t>
      </w:r>
    </w:p>
    <w:p>
      <w:pPr>
        <w:jc w:val="center"/>
        <w:rPr>
          <w:rFonts w:eastAsia="Times New Roman"/>
          <w:b/>
          <w:iCs/>
          <w:noProof/>
          <w:color w:val="000000"/>
          <w:spacing w:val="-7"/>
          <w:szCs w:val="24"/>
        </w:rPr>
      </w:pPr>
      <w:r>
        <w:rPr>
          <w:b/>
          <w:noProof/>
          <w:color w:val="000000"/>
          <w:spacing w:val="-7"/>
        </w:rPr>
        <w:t>Оценка на съответствието</w:t>
      </w:r>
    </w:p>
    <w:p>
      <w:pPr>
        <w:rPr>
          <w:rFonts w:eastAsia="Times New Roman"/>
          <w:noProof/>
          <w:color w:val="000000"/>
          <w:szCs w:val="24"/>
        </w:rPr>
      </w:pPr>
      <w:r>
        <w:rPr>
          <w:noProof/>
          <w:color w:val="000000"/>
          <w:spacing w:val="-4"/>
        </w:rPr>
        <w:t>Страните, с цел гарантиране на спазването на санитарните и фитосанитарните стандарти, се споразумяват относно процедурите за оценка на съответствието.</w:t>
      </w:r>
    </w:p>
    <w:p>
      <w:pPr>
        <w:pStyle w:val="Titrearticle"/>
        <w:rPr>
          <w:rFonts w:eastAsia="Times New Roman"/>
          <w:b/>
          <w:noProof/>
          <w:color w:val="000000"/>
          <w:szCs w:val="24"/>
        </w:rPr>
      </w:pPr>
      <w:r>
        <w:rPr>
          <w:b/>
          <w:noProof/>
          <w:color w:val="000000"/>
        </w:rPr>
        <w:t>ЧЛЕН 39</w:t>
      </w:r>
    </w:p>
    <w:p>
      <w:pPr>
        <w:jc w:val="center"/>
        <w:rPr>
          <w:rFonts w:eastAsia="Times New Roman"/>
          <w:b/>
          <w:iCs/>
          <w:noProof/>
          <w:color w:val="000000"/>
          <w:spacing w:val="-6"/>
          <w:szCs w:val="24"/>
        </w:rPr>
      </w:pPr>
      <w:r>
        <w:rPr>
          <w:b/>
          <w:noProof/>
          <w:color w:val="000000"/>
          <w:spacing w:val="-6"/>
        </w:rPr>
        <w:t>Обмен на информация и прозрачност на условията за търговия</w:t>
      </w:r>
    </w:p>
    <w:p>
      <w:pPr>
        <w:rPr>
          <w:rFonts w:eastAsia="Times New Roman"/>
          <w:iCs/>
          <w:noProof/>
          <w:color w:val="000000"/>
          <w:spacing w:val="-6"/>
          <w:szCs w:val="24"/>
        </w:rPr>
      </w:pPr>
      <w:r>
        <w:rPr>
          <w:noProof/>
          <w:color w:val="000000"/>
          <w:spacing w:val="-6"/>
        </w:rPr>
        <w:t>Сътрудничеството включва:</w:t>
      </w:r>
    </w:p>
    <w:p>
      <w:pPr>
        <w:pStyle w:val="ManualNumPar1"/>
        <w:rPr>
          <w:rFonts w:eastAsia="Arial Unicode MS"/>
          <w:noProof/>
          <w:szCs w:val="24"/>
        </w:rPr>
      </w:pPr>
      <w:r>
        <w:rPr>
          <w:noProof/>
          <w:color w:val="000000"/>
        </w:rPr>
        <w:t>1.</w:t>
      </w:r>
      <w:r>
        <w:rPr>
          <w:noProof/>
        </w:rPr>
        <w:tab/>
        <w:t xml:space="preserve">обмен на информация и консултации относно промените в СФМ, които могат да засегнат продукти за износ, представляващи интерес за която и да било от страните; </w:t>
      </w:r>
    </w:p>
    <w:p>
      <w:pPr>
        <w:pStyle w:val="ManualNumPar1"/>
        <w:rPr>
          <w:rFonts w:eastAsia="Arial Unicode MS"/>
          <w:noProof/>
          <w:szCs w:val="24"/>
        </w:rPr>
      </w:pPr>
      <w:r>
        <w:rPr>
          <w:noProof/>
        </w:rPr>
        <w:t>2.</w:t>
      </w:r>
      <w:r>
        <w:rPr>
          <w:noProof/>
        </w:rPr>
        <w:tab/>
        <w:t>обмен на информация при специално поискване относно други области от потенциално значение за техните търговски отношения, включително съобщения в условията на бързо предупреждаване, научни становища и мероприятия;</w:t>
      </w:r>
    </w:p>
    <w:p>
      <w:pPr>
        <w:pStyle w:val="ManualNumPar1"/>
        <w:rPr>
          <w:rFonts w:eastAsia="Arial Unicode MS"/>
          <w:noProof/>
          <w:szCs w:val="24"/>
        </w:rPr>
      </w:pPr>
      <w:r>
        <w:rPr>
          <w:noProof/>
        </w:rPr>
        <w:t>3.</w:t>
      </w:r>
      <w:r>
        <w:rPr>
          <w:noProof/>
        </w:rPr>
        <w:tab/>
        <w:t>предизвестие, за да се гарантира, че държавите партньори от ИАО са информирани за нови СФМ, които могат да засегнат износа на ИАО за ЕС. Тази система се основава на съществуващите механизми съгласно задълженията, поети в рамките на СТО, по-специално на член 7 от Споразумението на СТО за СФМ;</w:t>
      </w:r>
    </w:p>
    <w:p>
      <w:pPr>
        <w:pStyle w:val="ManualNumPar1"/>
        <w:rPr>
          <w:rFonts w:eastAsia="Calibri"/>
          <w:noProof/>
          <w:color w:val="000000"/>
          <w:szCs w:val="24"/>
        </w:rPr>
      </w:pPr>
      <w:r>
        <w:rPr>
          <w:noProof/>
        </w:rPr>
        <w:t>4.</w:t>
      </w:r>
      <w:r>
        <w:rPr>
          <w:noProof/>
        </w:rPr>
        <w:tab/>
        <w:t>насърчаване на прозрачността по отношение на вземането на проби, анализа и действията, извършвани след осъществяването на официален контрол върху фуражи и храни от която и да било от страните.</w:t>
      </w:r>
    </w:p>
    <w:p>
      <w:pPr>
        <w:pStyle w:val="Titrearticle"/>
        <w:rPr>
          <w:rFonts w:eastAsia="Times New Roman"/>
          <w:b/>
          <w:noProof/>
          <w:color w:val="000000"/>
          <w:szCs w:val="24"/>
        </w:rPr>
      </w:pPr>
      <w:r>
        <w:rPr>
          <w:b/>
          <w:noProof/>
          <w:color w:val="000000"/>
        </w:rPr>
        <w:t>ЧЛЕН 40</w:t>
      </w:r>
    </w:p>
    <w:p>
      <w:pPr>
        <w:jc w:val="center"/>
        <w:rPr>
          <w:rFonts w:eastAsia="Times New Roman"/>
          <w:b/>
          <w:iCs/>
          <w:noProof/>
          <w:color w:val="000000"/>
          <w:spacing w:val="-7"/>
          <w:szCs w:val="24"/>
        </w:rPr>
      </w:pPr>
      <w:r>
        <w:rPr>
          <w:b/>
          <w:noProof/>
          <w:color w:val="000000"/>
          <w:spacing w:val="-4"/>
        </w:rPr>
        <w:t>Компетентни органи</w:t>
      </w:r>
    </w:p>
    <w:p>
      <w:pPr>
        <w:pStyle w:val="ManualNumPar1"/>
        <w:rPr>
          <w:rFonts w:eastAsia="Arial Unicode MS"/>
          <w:noProof/>
          <w:szCs w:val="24"/>
        </w:rPr>
      </w:pPr>
      <w:r>
        <w:rPr>
          <w:noProof/>
          <w:color w:val="000000"/>
        </w:rPr>
        <w:t>1.</w:t>
      </w:r>
      <w:r>
        <w:rPr>
          <w:noProof/>
        </w:rPr>
        <w:tab/>
        <w:t>Компетентните органи на страните по прилагането на посочените в настоящия дял мерки са съответните органи по СФМ в държавите партньори от ИАО и в ЕС.</w:t>
      </w:r>
    </w:p>
    <w:p>
      <w:pPr>
        <w:pStyle w:val="ManualNumPar1"/>
        <w:rPr>
          <w:rFonts w:eastAsia="Arial Unicode MS"/>
          <w:noProof/>
          <w:szCs w:val="24"/>
        </w:rPr>
      </w:pPr>
      <w:r>
        <w:rPr>
          <w:noProof/>
        </w:rPr>
        <w:t>2.</w:t>
      </w:r>
      <w:r>
        <w:rPr>
          <w:noProof/>
        </w:rPr>
        <w:tab/>
        <w:t>Компетентните органи, посочени в параграф 1, имат функции, които са им възложени по силата на Споразумението на СТО за СФМ.</w:t>
      </w:r>
    </w:p>
    <w:p>
      <w:pPr>
        <w:pStyle w:val="ManualNumPar1"/>
        <w:rPr>
          <w:rFonts w:eastAsia="Times New Roman"/>
          <w:noProof/>
          <w:color w:val="000000"/>
          <w:spacing w:val="-4"/>
          <w:szCs w:val="24"/>
        </w:rPr>
      </w:pPr>
      <w:r>
        <w:rPr>
          <w:noProof/>
        </w:rPr>
        <w:t>3.</w:t>
      </w:r>
      <w:r>
        <w:rPr>
          <w:noProof/>
        </w:rPr>
        <w:tab/>
        <w:t>Страните се уведомят взаимно за съответните си компетентни органи, посочени в параграф 1, и за всички промени, свързани с тях.</w:t>
      </w:r>
    </w:p>
    <w:p>
      <w:pPr>
        <w:jc w:val="center"/>
        <w:rPr>
          <w:b/>
          <w:noProof/>
          <w:sz w:val="28"/>
          <w:szCs w:val="28"/>
        </w:rPr>
      </w:pPr>
      <w:bookmarkStart w:id="14" w:name="_Toc401595115"/>
      <w:r>
        <w:rPr>
          <w:b/>
          <w:noProof/>
          <w:sz w:val="28"/>
        </w:rPr>
        <w:t>ДЯЛ V: СТАНДАРТИ, ТЕХНИЧЕСКИ РЕГЛАМЕНТИ И ОЦЕНКА НА СЪОТВЕТСТВИЕТО</w:t>
      </w:r>
      <w:bookmarkEnd w:id="14"/>
    </w:p>
    <w:p>
      <w:pPr>
        <w:pStyle w:val="Titrearticle"/>
        <w:rPr>
          <w:rFonts w:eastAsia="Times New Roman"/>
          <w:b/>
          <w:noProof/>
          <w:color w:val="000000"/>
          <w:szCs w:val="24"/>
        </w:rPr>
      </w:pPr>
      <w:r>
        <w:rPr>
          <w:b/>
          <w:noProof/>
          <w:color w:val="000000"/>
        </w:rPr>
        <w:lastRenderedPageBreak/>
        <w:t>ЧЛЕН 41</w:t>
      </w:r>
    </w:p>
    <w:p>
      <w:pPr>
        <w:jc w:val="center"/>
        <w:rPr>
          <w:rFonts w:eastAsia="Times New Roman"/>
          <w:b/>
          <w:iCs/>
          <w:noProof/>
          <w:color w:val="000000"/>
          <w:spacing w:val="-3"/>
          <w:szCs w:val="24"/>
        </w:rPr>
      </w:pPr>
      <w:r>
        <w:rPr>
          <w:b/>
          <w:noProof/>
          <w:color w:val="000000"/>
          <w:spacing w:val="-3"/>
        </w:rPr>
        <w:t>Обхват и определения</w:t>
      </w:r>
    </w:p>
    <w:p>
      <w:pPr>
        <w:pStyle w:val="ManualNumPar1"/>
        <w:rPr>
          <w:rFonts w:eastAsia="Arial Unicode MS"/>
          <w:noProof/>
          <w:szCs w:val="24"/>
        </w:rPr>
      </w:pPr>
      <w:r>
        <w:rPr>
          <w:noProof/>
          <w:color w:val="000000"/>
        </w:rPr>
        <w:t>1.</w:t>
      </w:r>
      <w:r>
        <w:rPr>
          <w:noProof/>
        </w:rPr>
        <w:tab/>
        <w:t>Разпоредбите на настоящия дял се прилагат към изготвянето, приемането и прилагането на техническите регламенти, стандартите и процедурите за оценка на съответствието, определени в Споразумението на СТО за техническите пречки пред търговията (Споразумението за ТПТ).</w:t>
      </w:r>
    </w:p>
    <w:p>
      <w:pPr>
        <w:pStyle w:val="ManualNumPar1"/>
        <w:rPr>
          <w:rFonts w:eastAsia="Times New Roman"/>
          <w:noProof/>
          <w:color w:val="000000"/>
          <w:szCs w:val="24"/>
        </w:rPr>
      </w:pPr>
      <w:r>
        <w:rPr>
          <w:noProof/>
        </w:rPr>
        <w:t>2.</w:t>
      </w:r>
      <w:r>
        <w:rPr>
          <w:noProof/>
        </w:rPr>
        <w:tab/>
        <w:t>За целите на настоящия дял се прилагат определенията в Споразумението за ТПТ.</w:t>
      </w:r>
    </w:p>
    <w:p>
      <w:pPr>
        <w:pStyle w:val="Titrearticle"/>
        <w:rPr>
          <w:rFonts w:eastAsia="Times New Roman"/>
          <w:b/>
          <w:noProof/>
          <w:color w:val="000000"/>
          <w:szCs w:val="24"/>
        </w:rPr>
      </w:pPr>
      <w:r>
        <w:rPr>
          <w:b/>
          <w:noProof/>
          <w:color w:val="000000"/>
        </w:rPr>
        <w:t>ЧЛЕН 42</w:t>
      </w:r>
    </w:p>
    <w:p>
      <w:pPr>
        <w:jc w:val="center"/>
        <w:rPr>
          <w:rFonts w:eastAsia="Times New Roman"/>
          <w:b/>
          <w:iCs/>
          <w:noProof/>
          <w:color w:val="000000"/>
          <w:spacing w:val="-3"/>
          <w:szCs w:val="24"/>
        </w:rPr>
      </w:pPr>
      <w:r>
        <w:rPr>
          <w:b/>
          <w:noProof/>
          <w:color w:val="000000"/>
          <w:spacing w:val="-3"/>
        </w:rPr>
        <w:t>Права и задължения</w:t>
      </w:r>
    </w:p>
    <w:p>
      <w:pPr>
        <w:pStyle w:val="ManualNumPar1"/>
        <w:rPr>
          <w:rFonts w:eastAsia="Arial Unicode MS"/>
          <w:noProof/>
          <w:szCs w:val="24"/>
        </w:rPr>
      </w:pPr>
      <w:r>
        <w:rPr>
          <w:noProof/>
          <w:color w:val="000000"/>
        </w:rPr>
        <w:t>1.</w:t>
      </w:r>
      <w:r>
        <w:rPr>
          <w:noProof/>
        </w:rPr>
        <w:tab/>
        <w:t>Страните потвърждават отново своите права и задължения съгласно Споразумението за ТПТ, като вземат предвид своите права и задължения по други международни договорености, по които както държавите партньори от ИАО, така и ЕС или неговите държави членки са страни, включително тези, свързани със защитата на околната среда и по-специално на биоразнообразието.</w:t>
      </w:r>
    </w:p>
    <w:p>
      <w:pPr>
        <w:pStyle w:val="ManualNumPar1"/>
        <w:rPr>
          <w:rFonts w:eastAsia="Times New Roman"/>
          <w:noProof/>
          <w:color w:val="000000"/>
          <w:spacing w:val="-2"/>
          <w:szCs w:val="24"/>
        </w:rPr>
      </w:pPr>
      <w:r>
        <w:rPr>
          <w:noProof/>
        </w:rPr>
        <w:t>2.</w:t>
      </w:r>
      <w:r>
        <w:rPr>
          <w:noProof/>
        </w:rPr>
        <w:tab/>
        <w:t>Страните гарантират, че в съответствие с разпоредбите на Споразумението за ТПТ подготвянето, приемането или прилагането на техническите регламенти няма за цел или резултат създаването на ненужни пречки пред търговията между тях.</w:t>
      </w:r>
    </w:p>
    <w:p>
      <w:pPr>
        <w:pStyle w:val="Titrearticle"/>
        <w:rPr>
          <w:rFonts w:eastAsia="Times New Roman"/>
          <w:b/>
          <w:noProof/>
          <w:color w:val="000000"/>
          <w:szCs w:val="24"/>
        </w:rPr>
      </w:pPr>
      <w:r>
        <w:rPr>
          <w:b/>
          <w:noProof/>
          <w:color w:val="000000"/>
        </w:rPr>
        <w:t>ЧЛЕН 43</w:t>
      </w:r>
    </w:p>
    <w:p>
      <w:pPr>
        <w:jc w:val="center"/>
        <w:rPr>
          <w:rFonts w:eastAsia="Times New Roman"/>
          <w:b/>
          <w:iCs/>
          <w:noProof/>
          <w:color w:val="000000"/>
          <w:spacing w:val="-3"/>
          <w:szCs w:val="24"/>
        </w:rPr>
      </w:pPr>
      <w:r>
        <w:rPr>
          <w:b/>
          <w:noProof/>
          <w:color w:val="000000"/>
          <w:spacing w:val="-3"/>
        </w:rPr>
        <w:t>Споразумения за взаимно признаване</w:t>
      </w:r>
    </w:p>
    <w:p>
      <w:pPr>
        <w:rPr>
          <w:rFonts w:eastAsia="Times New Roman"/>
          <w:noProof/>
          <w:szCs w:val="24"/>
        </w:rPr>
      </w:pPr>
      <w:r>
        <w:rPr>
          <w:noProof/>
          <w:color w:val="000000"/>
        </w:rPr>
        <w:t>Страните могат да договарят споразумения за взаимно признаване в областите от взаимен икономически интерес.</w:t>
      </w:r>
    </w:p>
    <w:p>
      <w:pPr>
        <w:pStyle w:val="Titrearticle"/>
        <w:rPr>
          <w:rFonts w:eastAsia="Times New Roman"/>
          <w:b/>
          <w:noProof/>
          <w:szCs w:val="24"/>
        </w:rPr>
      </w:pPr>
      <w:r>
        <w:rPr>
          <w:b/>
          <w:noProof/>
          <w:color w:val="000000"/>
        </w:rPr>
        <w:t>ЧЛЕН 44</w:t>
      </w:r>
    </w:p>
    <w:p>
      <w:pPr>
        <w:jc w:val="center"/>
        <w:rPr>
          <w:rFonts w:eastAsia="Times New Roman"/>
          <w:b/>
          <w:iCs/>
          <w:noProof/>
          <w:color w:val="000000"/>
          <w:spacing w:val="-3"/>
          <w:szCs w:val="24"/>
        </w:rPr>
      </w:pPr>
      <w:r>
        <w:rPr>
          <w:b/>
          <w:noProof/>
          <w:color w:val="000000"/>
          <w:spacing w:val="-3"/>
        </w:rPr>
        <w:t>Прозрачност и уведомяване</w:t>
      </w:r>
    </w:p>
    <w:p>
      <w:pPr>
        <w:pStyle w:val="ManualNumPar1"/>
        <w:rPr>
          <w:rFonts w:eastAsia="Arial Unicode MS"/>
          <w:noProof/>
          <w:szCs w:val="24"/>
        </w:rPr>
      </w:pPr>
      <w:r>
        <w:rPr>
          <w:noProof/>
          <w:color w:val="000000"/>
        </w:rPr>
        <w:t>1.</w:t>
      </w:r>
      <w:r>
        <w:rPr>
          <w:noProof/>
        </w:rPr>
        <w:tab/>
        <w:t>Страните потвърждават отново своите задължения за уведомяване и обмен на информация за техническите регламенти, стандартите и процедурите за оценка на съответствието, предвидени в Споразумението за ТПТ.</w:t>
      </w:r>
    </w:p>
    <w:p>
      <w:pPr>
        <w:pStyle w:val="ManualNumPar1"/>
        <w:rPr>
          <w:rFonts w:eastAsia="Arial Unicode MS"/>
          <w:noProof/>
          <w:szCs w:val="24"/>
        </w:rPr>
      </w:pPr>
      <w:r>
        <w:rPr>
          <w:noProof/>
        </w:rPr>
        <w:t>2.</w:t>
      </w:r>
      <w:r>
        <w:rPr>
          <w:noProof/>
        </w:rPr>
        <w:tab/>
        <w:t>Страните обменят чрез информационни центрове информация по въпроси от потенциално значение за техните търговски отношения, включително съобщения в условията на бързо предупреждаване, научни становища и мероприятия.</w:t>
      </w:r>
    </w:p>
    <w:p>
      <w:pPr>
        <w:pStyle w:val="ManualNumPar1"/>
        <w:rPr>
          <w:rFonts w:eastAsia="Times New Roman"/>
          <w:noProof/>
          <w:color w:val="000000"/>
          <w:szCs w:val="24"/>
        </w:rPr>
      </w:pPr>
      <w:r>
        <w:rPr>
          <w:noProof/>
        </w:rPr>
        <w:t>3.</w:t>
      </w:r>
      <w:r>
        <w:rPr>
          <w:noProof/>
        </w:rPr>
        <w:tab/>
        <w:t>Страните могат да си сътрудничат при установяването и поддържането на информационни центрове, както и при създаването и поддържането на общи бази данни.</w:t>
      </w:r>
    </w:p>
    <w:p>
      <w:pPr>
        <w:pStyle w:val="Titrearticle"/>
        <w:rPr>
          <w:rFonts w:eastAsia="Times New Roman"/>
          <w:b/>
          <w:noProof/>
          <w:color w:val="000000"/>
          <w:szCs w:val="24"/>
        </w:rPr>
      </w:pPr>
      <w:r>
        <w:rPr>
          <w:b/>
          <w:noProof/>
          <w:color w:val="000000"/>
        </w:rPr>
        <w:t>ЧЛЕН 45</w:t>
      </w:r>
    </w:p>
    <w:p>
      <w:pPr>
        <w:jc w:val="center"/>
        <w:rPr>
          <w:rFonts w:eastAsia="Times New Roman"/>
          <w:b/>
          <w:iCs/>
          <w:noProof/>
          <w:color w:val="000000"/>
          <w:spacing w:val="-4"/>
          <w:szCs w:val="24"/>
        </w:rPr>
      </w:pPr>
      <w:r>
        <w:rPr>
          <w:b/>
          <w:noProof/>
          <w:color w:val="000000"/>
          <w:spacing w:val="-3"/>
        </w:rPr>
        <w:t>Хармонизация</w:t>
      </w:r>
    </w:p>
    <w:p>
      <w:pPr>
        <w:rPr>
          <w:rFonts w:eastAsia="Times New Roman"/>
          <w:noProof/>
          <w:color w:val="000000"/>
          <w:szCs w:val="24"/>
        </w:rPr>
      </w:pPr>
      <w:r>
        <w:rPr>
          <w:noProof/>
          <w:color w:val="000000"/>
        </w:rPr>
        <w:lastRenderedPageBreak/>
        <w:t>Страните се стремят да хармонизират своите стандарти, технически регламенти и процедури за оценка на съответствието.</w:t>
      </w:r>
    </w:p>
    <w:p>
      <w:pPr>
        <w:pStyle w:val="Titrearticle"/>
        <w:rPr>
          <w:rFonts w:eastAsia="Times New Roman"/>
          <w:b/>
          <w:noProof/>
          <w:color w:val="000000"/>
          <w:szCs w:val="24"/>
        </w:rPr>
      </w:pPr>
      <w:r>
        <w:rPr>
          <w:b/>
          <w:noProof/>
          <w:color w:val="000000"/>
        </w:rPr>
        <w:t>ЧЛЕН 46</w:t>
      </w:r>
    </w:p>
    <w:p>
      <w:pPr>
        <w:jc w:val="center"/>
        <w:rPr>
          <w:rFonts w:eastAsia="Times New Roman"/>
          <w:b/>
          <w:iCs/>
          <w:noProof/>
          <w:color w:val="000000"/>
          <w:spacing w:val="-2"/>
          <w:szCs w:val="24"/>
        </w:rPr>
      </w:pPr>
      <w:r>
        <w:rPr>
          <w:b/>
          <w:noProof/>
          <w:color w:val="000000"/>
          <w:spacing w:val="-3"/>
        </w:rPr>
        <w:t>Оценка на съответствието</w:t>
      </w:r>
    </w:p>
    <w:p>
      <w:pPr>
        <w:pStyle w:val="ManualNumPar1"/>
        <w:rPr>
          <w:rFonts w:eastAsia="Arial Unicode MS"/>
          <w:noProof/>
          <w:szCs w:val="24"/>
        </w:rPr>
      </w:pPr>
      <w:r>
        <w:rPr>
          <w:noProof/>
          <w:color w:val="000000"/>
        </w:rPr>
        <w:t>1.</w:t>
      </w:r>
      <w:r>
        <w:rPr>
          <w:noProof/>
        </w:rPr>
        <w:tab/>
        <w:t>Страните потвърждават отново своите ангажименти за оценка на съответствието в съответствие със Споразумението за ТПТ.</w:t>
      </w:r>
    </w:p>
    <w:p>
      <w:pPr>
        <w:pStyle w:val="ManualNumPar1"/>
        <w:rPr>
          <w:rFonts w:eastAsia="Times New Roman"/>
          <w:noProof/>
          <w:color w:val="000000"/>
          <w:spacing w:val="-12"/>
          <w:szCs w:val="24"/>
        </w:rPr>
      </w:pPr>
      <w:r>
        <w:rPr>
          <w:noProof/>
        </w:rPr>
        <w:t>2.</w:t>
      </w:r>
      <w:r>
        <w:rPr>
          <w:noProof/>
        </w:rPr>
        <w:tab/>
        <w:t>Като отчитат степента на синхронизиране на своите технически регламенти, стандарти и инфраструктура за оценка на съответствието, страните могат да обмислят възможността за договаряне на споразумения за взаимно признаване на процедурите за оценка на съответствието.</w:t>
      </w:r>
    </w:p>
    <w:p>
      <w:pPr>
        <w:pStyle w:val="Titrearticle"/>
        <w:rPr>
          <w:rFonts w:eastAsia="Times New Roman"/>
          <w:b/>
          <w:noProof/>
          <w:color w:val="000000"/>
          <w:szCs w:val="24"/>
        </w:rPr>
      </w:pPr>
      <w:r>
        <w:rPr>
          <w:b/>
          <w:noProof/>
          <w:color w:val="000000"/>
        </w:rPr>
        <w:t>ЧЛЕН 47</w:t>
      </w:r>
    </w:p>
    <w:p>
      <w:pPr>
        <w:jc w:val="center"/>
        <w:rPr>
          <w:rFonts w:eastAsia="Times New Roman"/>
          <w:b/>
          <w:iCs/>
          <w:noProof/>
          <w:color w:val="000000"/>
          <w:spacing w:val="-3"/>
          <w:szCs w:val="24"/>
        </w:rPr>
      </w:pPr>
      <w:r>
        <w:rPr>
          <w:b/>
          <w:noProof/>
          <w:color w:val="000000"/>
          <w:spacing w:val="-3"/>
        </w:rPr>
        <w:t>Технически регулаторни органи</w:t>
      </w:r>
    </w:p>
    <w:p>
      <w:pPr>
        <w:pStyle w:val="ManualNumPar1"/>
        <w:rPr>
          <w:rFonts w:eastAsia="Arial Unicode MS"/>
          <w:noProof/>
          <w:szCs w:val="24"/>
        </w:rPr>
      </w:pPr>
      <w:r>
        <w:rPr>
          <w:noProof/>
          <w:color w:val="000000"/>
          <w:spacing w:val="-1"/>
        </w:rPr>
        <w:t>1.</w:t>
      </w:r>
      <w:r>
        <w:rPr>
          <w:noProof/>
        </w:rPr>
        <w:tab/>
        <w:t>Регулаторните органи на държавите партньори от ИАО са компетентните органи в държавите партньори от ИАО, отговарящи за прилагането на мерките, посочени в настоящия дял, чиито функции и компетентност са свързани с осигуряването или контрола върху осъществяването на стандартизацията, метрологията, акредитацията и оценката на съответствието.</w:t>
      </w:r>
    </w:p>
    <w:p>
      <w:pPr>
        <w:pStyle w:val="ManualNumPar1"/>
        <w:rPr>
          <w:rFonts w:eastAsia="Arial Unicode MS"/>
          <w:noProof/>
          <w:szCs w:val="24"/>
        </w:rPr>
      </w:pPr>
      <w:r>
        <w:rPr>
          <w:noProof/>
        </w:rPr>
        <w:t>2.</w:t>
      </w:r>
      <w:r>
        <w:rPr>
          <w:noProof/>
        </w:rPr>
        <w:tab/>
        <w:t>Органът в ЕС, отговорен за прилагането на настоящия дял, е Европейската комисия.</w:t>
      </w:r>
    </w:p>
    <w:p>
      <w:pPr>
        <w:pStyle w:val="ManualNumPar1"/>
        <w:rPr>
          <w:rFonts w:eastAsia="Times New Roman"/>
          <w:noProof/>
          <w:color w:val="000000"/>
          <w:spacing w:val="-23"/>
          <w:szCs w:val="24"/>
        </w:rPr>
      </w:pPr>
      <w:r>
        <w:rPr>
          <w:noProof/>
        </w:rPr>
        <w:t>3.</w:t>
      </w:r>
      <w:r>
        <w:rPr>
          <w:noProof/>
        </w:rPr>
        <w:tab/>
        <w:t>В съответствие с настоящото споразумение държавите партньори от ИАО уведомяват ЕС за съответните си технически регулаторни органи.</w:t>
      </w:r>
    </w:p>
    <w:p>
      <w:pPr>
        <w:jc w:val="center"/>
        <w:rPr>
          <w:b/>
          <w:noProof/>
          <w:sz w:val="28"/>
          <w:szCs w:val="28"/>
        </w:rPr>
      </w:pPr>
      <w:bookmarkStart w:id="15" w:name="_Toc401595116"/>
      <w:r>
        <w:rPr>
          <w:b/>
          <w:noProof/>
          <w:sz w:val="28"/>
        </w:rPr>
        <w:t>ДЯЛ VI: МЕРКИ ЗА ЗАЩИТА НА ТЪРГОВИЯТА</w:t>
      </w:r>
      <w:bookmarkEnd w:id="12"/>
      <w:bookmarkEnd w:id="15"/>
    </w:p>
    <w:p>
      <w:pPr>
        <w:pStyle w:val="Titrearticle"/>
        <w:rPr>
          <w:rFonts w:eastAsia="Times New Roman"/>
          <w:b/>
          <w:noProof/>
          <w:szCs w:val="24"/>
        </w:rPr>
      </w:pPr>
      <w:r>
        <w:rPr>
          <w:b/>
          <w:noProof/>
          <w:color w:val="000000"/>
        </w:rPr>
        <w:t>ЧЛЕН 48</w:t>
      </w:r>
    </w:p>
    <w:p>
      <w:pPr>
        <w:jc w:val="center"/>
        <w:rPr>
          <w:rFonts w:eastAsia="Times New Roman"/>
          <w:b/>
          <w:bCs/>
          <w:noProof/>
          <w:color w:val="000000"/>
          <w:szCs w:val="24"/>
        </w:rPr>
      </w:pPr>
      <w:r>
        <w:rPr>
          <w:b/>
          <w:noProof/>
          <w:color w:val="000000"/>
        </w:rPr>
        <w:t>Антидъмпингови и изравнителни мерки</w:t>
      </w:r>
    </w:p>
    <w:p>
      <w:pPr>
        <w:pStyle w:val="ManualNumPar1"/>
        <w:rPr>
          <w:rFonts w:eastAsia="Times New Roman"/>
          <w:noProof/>
          <w:color w:val="000000"/>
          <w:szCs w:val="24"/>
        </w:rPr>
      </w:pPr>
      <w:r>
        <w:rPr>
          <w:noProof/>
        </w:rPr>
        <w:t>1.</w:t>
      </w:r>
      <w:r>
        <w:rPr>
          <w:noProof/>
        </w:rPr>
        <w:tab/>
        <w:t>При спазване на разпоредбите на настоящия член никоя от разпоредбите на настоящото споразумение не възпрепятства ЕС или държавите партньори от ИАО, индивидуално или колективно, да приемат антидъмпингови или изравнителни мерки съгласно съответните споразумения в рамките на СТО.</w:t>
      </w:r>
      <w:r>
        <w:rPr>
          <w:noProof/>
          <w:color w:val="000000"/>
        </w:rPr>
        <w:t xml:space="preserve"> За целите на настоящия член произходът се определя в съответствие с непреференциалните правила за произход на страните.</w:t>
      </w:r>
    </w:p>
    <w:p>
      <w:pPr>
        <w:pStyle w:val="ManualNumPar1"/>
        <w:rPr>
          <w:rFonts w:eastAsia="Times New Roman"/>
          <w:noProof/>
          <w:color w:val="000000"/>
          <w:szCs w:val="24"/>
        </w:rPr>
      </w:pPr>
      <w:r>
        <w:rPr>
          <w:noProof/>
          <w:color w:val="000000"/>
        </w:rPr>
        <w:t>2.</w:t>
      </w:r>
      <w:r>
        <w:rPr>
          <w:noProof/>
        </w:rPr>
        <w:tab/>
      </w:r>
      <w:r>
        <w:rPr>
          <w:noProof/>
          <w:color w:val="000000"/>
        </w:rPr>
        <w:t>Преди налагане на окончателни антидъмпингови или изравнителни мита по отношение на продукти, внасяни от която и да било от страните, страните разглеждат възможността за прилагане на конструктивни корективни мерки съгласно предвиденото в съответните споразумения в рамките на СТО.</w:t>
      </w:r>
    </w:p>
    <w:p>
      <w:pPr>
        <w:pStyle w:val="ManualNumPar1"/>
        <w:rPr>
          <w:rFonts w:eastAsia="Times New Roman"/>
          <w:noProof/>
          <w:color w:val="000000"/>
          <w:szCs w:val="24"/>
        </w:rPr>
      </w:pPr>
      <w:r>
        <w:rPr>
          <w:noProof/>
          <w:color w:val="000000"/>
        </w:rPr>
        <w:t>3.</w:t>
      </w:r>
      <w:r>
        <w:rPr>
          <w:noProof/>
        </w:rPr>
        <w:tab/>
      </w:r>
      <w:r>
        <w:rPr>
          <w:noProof/>
          <w:color w:val="000000"/>
        </w:rPr>
        <w:t>В случаите, когато която и да било от страните е наложила антидъмпингова или изравнителна мярка, съществува само една инстанция за съдебен контрол, включително и на фазата на обжалване.</w:t>
      </w:r>
    </w:p>
    <w:p>
      <w:pPr>
        <w:pStyle w:val="ManualNumPar1"/>
        <w:rPr>
          <w:rFonts w:eastAsia="Times New Roman"/>
          <w:noProof/>
          <w:color w:val="000000"/>
          <w:szCs w:val="24"/>
        </w:rPr>
      </w:pPr>
      <w:r>
        <w:rPr>
          <w:noProof/>
          <w:color w:val="000000"/>
        </w:rPr>
        <w:t>4.</w:t>
      </w:r>
      <w:r>
        <w:rPr>
          <w:noProof/>
        </w:rPr>
        <w:tab/>
      </w:r>
      <w:r>
        <w:rPr>
          <w:noProof/>
          <w:color w:val="000000"/>
        </w:rPr>
        <w:t xml:space="preserve">В случаите, когато могат да бъдат наложени антидъмпингови или изравнителни мерки в регионален и в национален план, когато е приложимо, </w:t>
      </w:r>
      <w:r>
        <w:rPr>
          <w:noProof/>
          <w:color w:val="000000"/>
        </w:rPr>
        <w:lastRenderedPageBreak/>
        <w:t>страните гарантират, че тези мерки не се прилагат едновременно по отношение на един и същ продукт от регионалните органи, от една страна, и от националните органи, от друга.</w:t>
      </w:r>
    </w:p>
    <w:p>
      <w:pPr>
        <w:pStyle w:val="ManualNumPar1"/>
        <w:rPr>
          <w:rFonts w:eastAsia="Times New Roman"/>
          <w:noProof/>
          <w:color w:val="000000"/>
          <w:szCs w:val="24"/>
        </w:rPr>
      </w:pPr>
      <w:r>
        <w:rPr>
          <w:noProof/>
          <w:color w:val="000000"/>
        </w:rPr>
        <w:t>5.</w:t>
      </w:r>
      <w:r>
        <w:rPr>
          <w:noProof/>
        </w:rPr>
        <w:tab/>
      </w:r>
      <w:r>
        <w:rPr>
          <w:noProof/>
          <w:color w:val="000000"/>
        </w:rPr>
        <w:t xml:space="preserve">ЕС уведомява страната износител за получаването на всяка надлежно подкрепена с доказателства жалба преди започването на разследване. </w:t>
      </w:r>
    </w:p>
    <w:p>
      <w:pPr>
        <w:pStyle w:val="ManualNumPar1"/>
        <w:rPr>
          <w:rFonts w:eastAsia="Times New Roman"/>
          <w:noProof/>
          <w:color w:val="000000"/>
          <w:szCs w:val="24"/>
        </w:rPr>
      </w:pPr>
      <w:r>
        <w:rPr>
          <w:noProof/>
          <w:color w:val="000000"/>
        </w:rPr>
        <w:t>6.</w:t>
      </w:r>
      <w:r>
        <w:rPr>
          <w:noProof/>
        </w:rPr>
        <w:tab/>
      </w:r>
      <w:r>
        <w:rPr>
          <w:noProof/>
          <w:color w:val="000000"/>
        </w:rPr>
        <w:t>Разпоредбите на настоящия член се прилагат за всички разследвания, започнати след влизането в сила на настоящото споразумение.</w:t>
      </w:r>
    </w:p>
    <w:p>
      <w:pPr>
        <w:pStyle w:val="ManualNumPar1"/>
        <w:rPr>
          <w:rFonts w:eastAsia="Times New Roman"/>
          <w:noProof/>
          <w:szCs w:val="24"/>
        </w:rPr>
      </w:pPr>
      <w:r>
        <w:rPr>
          <w:noProof/>
          <w:color w:val="000000"/>
        </w:rPr>
        <w:t>7.</w:t>
      </w:r>
      <w:r>
        <w:rPr>
          <w:noProof/>
        </w:rPr>
        <w:tab/>
        <w:t>За всички спорове, свързани с антидъмпингови или изравнителни мерки, се прилагат правилата на СТО за уреждане на спорове.</w:t>
      </w:r>
    </w:p>
    <w:p>
      <w:pPr>
        <w:pStyle w:val="Titrearticle"/>
        <w:rPr>
          <w:rFonts w:eastAsia="Times New Roman"/>
          <w:b/>
          <w:noProof/>
          <w:szCs w:val="24"/>
        </w:rPr>
      </w:pPr>
      <w:r>
        <w:rPr>
          <w:b/>
          <w:noProof/>
        </w:rPr>
        <w:t>ЧЛЕН 49</w:t>
      </w:r>
    </w:p>
    <w:p>
      <w:pPr>
        <w:jc w:val="center"/>
        <w:rPr>
          <w:rFonts w:eastAsia="Times New Roman"/>
          <w:b/>
          <w:bCs/>
          <w:noProof/>
          <w:color w:val="000000"/>
          <w:szCs w:val="24"/>
        </w:rPr>
      </w:pPr>
      <w:r>
        <w:rPr>
          <w:b/>
          <w:noProof/>
          <w:color w:val="000000"/>
        </w:rPr>
        <w:t>Многостранни защитни мерки</w:t>
      </w:r>
    </w:p>
    <w:p>
      <w:pPr>
        <w:pStyle w:val="ManualNumPar1"/>
        <w:rPr>
          <w:rFonts w:eastAsia="Times New Roman"/>
          <w:noProof/>
          <w:color w:val="000000"/>
          <w:szCs w:val="24"/>
        </w:rPr>
      </w:pPr>
      <w:r>
        <w:rPr>
          <w:noProof/>
        </w:rPr>
        <w:t>1.</w:t>
      </w:r>
      <w:r>
        <w:rPr>
          <w:noProof/>
        </w:rPr>
        <w:tab/>
        <w:t>При спазване на разпоредбите на настоящия член никоя от разпоредбите на настоящото споразумение не възпрепятства държавите партньори от ИАО и ЕС да приемат мерки в съответствие с член XIX от ГАТТ от 1994 г., Споразумението на СТО за защитните мерки и член 5 от Споразумението на СТО за селското стопанство, приложено към Маракешкото споразумение за създаване на СТО (Споразумението на СТО за селското стопанство).</w:t>
      </w:r>
      <w:r>
        <w:rPr>
          <w:noProof/>
          <w:color w:val="000000"/>
        </w:rPr>
        <w:t xml:space="preserve"> За целите на настоящия член произходът се определя в съответствие с непреференциалните правила за произход на страните.</w:t>
      </w:r>
    </w:p>
    <w:p>
      <w:pPr>
        <w:pStyle w:val="ManualNumPar1"/>
        <w:rPr>
          <w:rFonts w:eastAsia="Times New Roman"/>
          <w:noProof/>
          <w:color w:val="000000"/>
          <w:szCs w:val="24"/>
        </w:rPr>
      </w:pPr>
      <w:r>
        <w:rPr>
          <w:noProof/>
          <w:color w:val="000000"/>
        </w:rPr>
        <w:t>2.</w:t>
      </w:r>
      <w:r>
        <w:rPr>
          <w:noProof/>
        </w:rPr>
        <w:tab/>
      </w:r>
      <w:r>
        <w:rPr>
          <w:noProof/>
          <w:color w:val="000000"/>
        </w:rPr>
        <w:t>Независимо от разпоредбите на параграф 1, с оглед на общите цели за развитие на настоящото споразумение и малкия размер на икономиките на държавите партньори от ИАО, ЕС изключва вноса от държавите партньори от ИАО от каквито и да било мерки, приети в съответствие с член XIX от ГАТТ от 1994 г., Споразумението на СТО за защитните мерки и член 5 от Споразумението на СТО за селското стопанство.</w:t>
      </w:r>
    </w:p>
    <w:p>
      <w:pPr>
        <w:pStyle w:val="ManualNumPar1"/>
        <w:rPr>
          <w:rFonts w:eastAsia="Times New Roman"/>
          <w:noProof/>
          <w:color w:val="000000"/>
          <w:szCs w:val="24"/>
        </w:rPr>
      </w:pPr>
      <w:r>
        <w:rPr>
          <w:noProof/>
          <w:color w:val="000000"/>
        </w:rPr>
        <w:t>3.</w:t>
      </w:r>
      <w:r>
        <w:rPr>
          <w:noProof/>
        </w:rPr>
        <w:tab/>
      </w:r>
      <w:r>
        <w:rPr>
          <w:noProof/>
          <w:color w:val="000000"/>
        </w:rPr>
        <w:t>Разпоредбите на параграф 2 се прилагат за период от пет (5) години, считано от датата на влизане в сила на споразумението. Не по-късно от сто и двадесет (120) дни преди края на този период Съветът по СИП прави преглед на действието на тези разпоредби с оглед на нуждите от развитие на държавите партньори от ИАО, с цел да се определи дали е целесъобразно срокът на тяхното прилагане да бъде удължен.</w:t>
      </w:r>
    </w:p>
    <w:p>
      <w:pPr>
        <w:pStyle w:val="ManualNumPar1"/>
        <w:rPr>
          <w:rFonts w:eastAsia="Times New Roman"/>
          <w:noProof/>
          <w:szCs w:val="24"/>
        </w:rPr>
      </w:pPr>
      <w:r>
        <w:rPr>
          <w:noProof/>
          <w:color w:val="000000"/>
        </w:rPr>
        <w:t>4.</w:t>
      </w:r>
      <w:r>
        <w:rPr>
          <w:noProof/>
        </w:rPr>
        <w:tab/>
        <w:t>Разпоредбите на параграф 1 се прилагат, като се взема предвид Договореността относно правилата и процедурите за уреждане на спорове на СТО.</w:t>
      </w:r>
    </w:p>
    <w:p>
      <w:pPr>
        <w:pStyle w:val="Titrearticle"/>
        <w:rPr>
          <w:rFonts w:eastAsia="Times New Roman"/>
          <w:b/>
          <w:noProof/>
          <w:szCs w:val="24"/>
        </w:rPr>
      </w:pPr>
      <w:r>
        <w:rPr>
          <w:b/>
          <w:noProof/>
        </w:rPr>
        <w:t>ЧЛЕН 50</w:t>
      </w:r>
    </w:p>
    <w:p>
      <w:pPr>
        <w:jc w:val="center"/>
        <w:rPr>
          <w:rFonts w:eastAsia="Times New Roman"/>
          <w:b/>
          <w:noProof/>
          <w:szCs w:val="24"/>
        </w:rPr>
      </w:pPr>
      <w:r>
        <w:rPr>
          <w:b/>
          <w:noProof/>
        </w:rPr>
        <w:t>Двустранни защитни мерки</w:t>
      </w:r>
    </w:p>
    <w:p>
      <w:pPr>
        <w:pStyle w:val="ManualNumPar1"/>
        <w:rPr>
          <w:rFonts w:eastAsia="Times New Roman"/>
          <w:noProof/>
          <w:color w:val="000000"/>
          <w:szCs w:val="24"/>
        </w:rPr>
      </w:pPr>
      <w:r>
        <w:rPr>
          <w:noProof/>
        </w:rPr>
        <w:t>1.</w:t>
      </w:r>
      <w:r>
        <w:rPr>
          <w:noProof/>
        </w:rPr>
        <w:tab/>
        <w:t>След като е разгледала алтернативните варианти за решение, дадена страна може да приложи защитни мерки за ограничен период, които могат да предоставят дерогация от разпоредбите на членове 10 и 11, при условията и в съответствие с процедурите, определени в настоящия член.</w:t>
      </w:r>
    </w:p>
    <w:p>
      <w:pPr>
        <w:pStyle w:val="ManualNumPar1"/>
        <w:rPr>
          <w:rFonts w:eastAsia="Times New Roman"/>
          <w:noProof/>
          <w:szCs w:val="24"/>
        </w:rPr>
      </w:pPr>
      <w:r>
        <w:rPr>
          <w:noProof/>
          <w:color w:val="000000"/>
        </w:rPr>
        <w:t>2.</w:t>
      </w:r>
      <w:r>
        <w:rPr>
          <w:noProof/>
        </w:rPr>
        <w:tab/>
        <w:t xml:space="preserve">Защитните мерки, посочени в параграф 1, могат да се налагат, когато продукт с произход от една от страните се внася на територията на другата страна в </w:t>
      </w:r>
      <w:r>
        <w:rPr>
          <w:noProof/>
        </w:rPr>
        <w:lastRenderedPageBreak/>
        <w:t>такива завишени количества и при такива условия, че причинява или застрашава да причини:</w:t>
      </w:r>
    </w:p>
    <w:p>
      <w:pPr>
        <w:pStyle w:val="Point1"/>
        <w:rPr>
          <w:noProof/>
        </w:rPr>
      </w:pPr>
      <w:r>
        <w:rPr>
          <w:noProof/>
        </w:rPr>
        <w:t>а)</w:t>
      </w:r>
      <w:r>
        <w:rPr>
          <w:noProof/>
        </w:rPr>
        <w:tab/>
        <w:t>сериозна вреда на местната промишленост, произвеждаща сходни или пряко конкурентни продукти на територията на страната вносител; или</w:t>
      </w:r>
    </w:p>
    <w:p>
      <w:pPr>
        <w:pStyle w:val="Point1"/>
        <w:rPr>
          <w:noProof/>
        </w:rPr>
      </w:pPr>
      <w:r>
        <w:rPr>
          <w:noProof/>
        </w:rPr>
        <w:t>б)</w:t>
      </w:r>
      <w:r>
        <w:rPr>
          <w:noProof/>
        </w:rPr>
        <w:tab/>
        <w:t>смущения в определен отрасъл на икономиката, особено когато тези смущения предизвикват значими социални проблеми или трудности, които биха могли да доведат до сериозно влошаване на икономическото състояние на страната вносител; или</w:t>
      </w:r>
    </w:p>
    <w:p>
      <w:pPr>
        <w:pStyle w:val="Point1"/>
        <w:rPr>
          <w:noProof/>
        </w:rPr>
      </w:pPr>
      <w:r>
        <w:rPr>
          <w:noProof/>
        </w:rPr>
        <w:t>в)</w:t>
      </w:r>
      <w:r>
        <w:rPr>
          <w:noProof/>
        </w:rPr>
        <w:tab/>
        <w:t>смущения в пазарите на подобни или пряко конкурентни селскостопански продукти</w:t>
      </w:r>
      <w:r>
        <w:rPr>
          <w:rStyle w:val="FootnoteReference"/>
          <w:noProof/>
        </w:rPr>
        <w:footnoteReference w:id="2"/>
      </w:r>
      <w:r>
        <w:rPr>
          <w:noProof/>
        </w:rPr>
        <w:t xml:space="preserve"> или в механизмите, регулиращи тези пазари.</w:t>
      </w:r>
    </w:p>
    <w:p>
      <w:pPr>
        <w:pStyle w:val="ManualNumPar1"/>
        <w:rPr>
          <w:rFonts w:eastAsia="Times New Roman"/>
          <w:noProof/>
          <w:szCs w:val="24"/>
        </w:rPr>
      </w:pPr>
      <w:r>
        <w:rPr>
          <w:noProof/>
        </w:rPr>
        <w:t>3.</w:t>
      </w:r>
      <w:r>
        <w:rPr>
          <w:noProof/>
        </w:rPr>
        <w:tab/>
        <w:t>Посочените в настоящия член защитни мерки не излизат извън рамките на необходимото за коригиране или предотвратяване на сериозната вреда или смущенията, както са определени в параграф 2 и в параграф 5, буква б). Тези защитни мерки, предприети от страната вносител, могат да се изразяват единствено в една от или комбинация от следните мерки:</w:t>
      </w:r>
    </w:p>
    <w:p>
      <w:pPr>
        <w:pStyle w:val="Point1"/>
        <w:rPr>
          <w:noProof/>
        </w:rPr>
      </w:pPr>
      <w:r>
        <w:rPr>
          <w:noProof/>
        </w:rPr>
        <w:t>а)</w:t>
      </w:r>
      <w:r>
        <w:rPr>
          <w:noProof/>
        </w:rPr>
        <w:tab/>
        <w:t>спиране на по-нататъшното намаляване на митническата ставка при внос на съответния продукт, както е предвидено в настоящото споразумение;</w:t>
      </w:r>
    </w:p>
    <w:p>
      <w:pPr>
        <w:pStyle w:val="Point1"/>
        <w:rPr>
          <w:noProof/>
        </w:rPr>
      </w:pPr>
      <w:r>
        <w:rPr>
          <w:noProof/>
        </w:rPr>
        <w:t>б)</w:t>
      </w:r>
      <w:r>
        <w:rPr>
          <w:noProof/>
        </w:rPr>
        <w:tab/>
        <w:t>увеличаване на митата за съответния продукт до равнище, което не надвишава митата, приложими за другите членове на СТО; както и</w:t>
      </w:r>
    </w:p>
    <w:p>
      <w:pPr>
        <w:pStyle w:val="Point1"/>
        <w:rPr>
          <w:rFonts w:eastAsia="Times New Roman"/>
          <w:noProof/>
          <w:szCs w:val="24"/>
        </w:rPr>
      </w:pPr>
      <w:r>
        <w:rPr>
          <w:noProof/>
        </w:rPr>
        <w:t>в)</w:t>
      </w:r>
      <w:r>
        <w:rPr>
          <w:noProof/>
        </w:rPr>
        <w:tab/>
        <w:t>въвеждане на тарифни квоти за съответния продукт.</w:t>
      </w:r>
    </w:p>
    <w:p>
      <w:pPr>
        <w:pStyle w:val="ManualNumPar1"/>
        <w:rPr>
          <w:rFonts w:eastAsia="Times New Roman"/>
          <w:noProof/>
          <w:spacing w:val="-9"/>
          <w:szCs w:val="24"/>
        </w:rPr>
      </w:pPr>
      <w:r>
        <w:rPr>
          <w:noProof/>
        </w:rPr>
        <w:t>4.</w:t>
      </w:r>
      <w:r>
        <w:rPr>
          <w:noProof/>
        </w:rPr>
        <w:tab/>
        <w:t>Без да се засягат разпоредбите на параграфи 1 — 3, в случаите, когато даден продукт с произход от държавите партньори от ИАО се внася в такива завишени количества и при такива условия, че този внос причинява или застрашава да причини някое от състоянията, посочени в параграф 2, по отношение на един или повече от най-отдалечените региони на ЕС, ЕС може да приеме мерки за надзор или защитни мерки, ограничени до засегнатия(ите) регион(и), в съответствие с процедурите, определени в параграфи 6 — 9.</w:t>
      </w:r>
    </w:p>
    <w:p>
      <w:pPr>
        <w:pStyle w:val="PointDouble0"/>
        <w:rPr>
          <w:noProof/>
        </w:rPr>
      </w:pPr>
      <w:r>
        <w:rPr>
          <w:noProof/>
        </w:rPr>
        <w:t>5.</w:t>
      </w:r>
      <w:r>
        <w:rPr>
          <w:noProof/>
        </w:rPr>
        <w:tab/>
        <w:t>а)</w:t>
      </w:r>
      <w:r>
        <w:rPr>
          <w:noProof/>
        </w:rPr>
        <w:tab/>
        <w:t>Без да се засягат разпоредбите на параграфи 1 — 3, в случаите, когато даден продукт с произход от ЕС се внася в такива завишени количества и при такива условия, че този внос причинява или застрашава да причини някое от състоянията, посочени в параграф 2, по отношение на държавите партньори от ИАО, държавите партньори от ИАО могат да приемат мерки за надзор или защитни мерки, ограничени до тяхната територия, в съответствие с процедурите, определени в параграфи 6 — 9.</w:t>
      </w:r>
    </w:p>
    <w:p>
      <w:pPr>
        <w:pStyle w:val="Point1"/>
        <w:rPr>
          <w:noProof/>
          <w:spacing w:val="-9"/>
        </w:rPr>
      </w:pPr>
      <w:r>
        <w:rPr>
          <w:noProof/>
        </w:rPr>
        <w:t>б)</w:t>
      </w:r>
      <w:r>
        <w:rPr>
          <w:noProof/>
        </w:rPr>
        <w:tab/>
        <w:t xml:space="preserve">Държавите партньори от ИАО могат да приемат защитни мерки в съответствие с процедурите, определени в параграфи 6 — 9, в случаите, когато в резултат от намаляването на митата продукт с произход от ЕС се внася на тяхната територия в такива завишени количества и при такива условия, че този внос причинява или застрашава да причини смущения за дадена зараждаща се промишленост, произвеждаща сходни или пряко конкурентни продукти. Тези разпоредби се прилагат само за период от десет (10) години от датата на влизане в сила на настоящото </w:t>
      </w:r>
      <w:r>
        <w:rPr>
          <w:noProof/>
        </w:rPr>
        <w:lastRenderedPageBreak/>
        <w:t xml:space="preserve">споразумение. Този период може да бъде удължен от Съвета по СИП за период от не повече от пет (5) години. </w:t>
      </w:r>
    </w:p>
    <w:p>
      <w:pPr>
        <w:pStyle w:val="PointDouble0"/>
        <w:rPr>
          <w:rFonts w:eastAsia="Times New Roman"/>
          <w:noProof/>
          <w:szCs w:val="24"/>
        </w:rPr>
      </w:pPr>
      <w:r>
        <w:rPr>
          <w:noProof/>
        </w:rPr>
        <w:t>6.</w:t>
      </w:r>
      <w:r>
        <w:rPr>
          <w:noProof/>
        </w:rPr>
        <w:tab/>
        <w:t>а)</w:t>
      </w:r>
      <w:r>
        <w:rPr>
          <w:noProof/>
        </w:rPr>
        <w:tab/>
        <w:t>Защитните мерки, посочени в настоящия член, се запазват само за периода от време, необходим за предотвратяване или коригиране на сериозната вреда или смущенията, както са определени в параграфи 2, 4 и 5.</w:t>
      </w:r>
    </w:p>
    <w:p>
      <w:pPr>
        <w:pStyle w:val="Point1"/>
        <w:rPr>
          <w:rFonts w:eastAsia="Times New Roman"/>
          <w:noProof/>
          <w:szCs w:val="24"/>
        </w:rPr>
      </w:pPr>
      <w:r>
        <w:rPr>
          <w:noProof/>
        </w:rPr>
        <w:t>б)</w:t>
      </w:r>
      <w:r>
        <w:rPr>
          <w:noProof/>
        </w:rPr>
        <w:tab/>
        <w:t>Защитните мерки, посочени в настоящия член, се прилагат за период, не по-дълъг от две (2) години. В случаите, когато обстоятелствата, изискващи налагането на защитни мерки, продължават да са налице, срокът на действие на подобни мерки може да бъде удължен с нов период от не повече от две (2) години. Когато държавите партньори от ИАО прилагат защитна мярка или когато ЕС прилага защитна мярка, ограничена до територията на един или няколко негови най-отдалечени региони, тази мярка може да се прилага за период, не по-дълъг от четири години, а в случаите, когато обстоятелствата, изискващи налагането на защитни мерки, продължават да са налице, срокът на действието им може да бъде продължен с допълнителен период от четири (4) години.</w:t>
      </w:r>
    </w:p>
    <w:p>
      <w:pPr>
        <w:pStyle w:val="Point1"/>
        <w:rPr>
          <w:rFonts w:eastAsia="Times New Roman"/>
          <w:noProof/>
          <w:szCs w:val="24"/>
        </w:rPr>
      </w:pPr>
      <w:r>
        <w:rPr>
          <w:noProof/>
        </w:rPr>
        <w:t>в)</w:t>
      </w:r>
      <w:r>
        <w:rPr>
          <w:noProof/>
        </w:rPr>
        <w:tab/>
        <w:t>Защитните мерки, посочени в настоящия член, чийто срок на действие надхвърля една (1) година, съдържат конкретни елементи, водещи до тяхното постепенно премахване най-късно до края на определения период.</w:t>
      </w:r>
    </w:p>
    <w:p>
      <w:pPr>
        <w:pStyle w:val="Point1"/>
        <w:rPr>
          <w:rFonts w:eastAsia="Times New Roman"/>
          <w:noProof/>
          <w:szCs w:val="24"/>
        </w:rPr>
      </w:pPr>
      <w:r>
        <w:rPr>
          <w:noProof/>
        </w:rPr>
        <w:t>г)</w:t>
      </w:r>
      <w:r>
        <w:rPr>
          <w:noProof/>
        </w:rPr>
        <w:tab/>
        <w:t>Никоя защитна мярка, посочена в настоящия член, не се прилага по отношение на вноса на продукт, който по-рано вече е бил предмет на такава мярка, за период от най-малко една (1) година, считано от датата на изтичане на срока на действие на мярката.</w:t>
      </w:r>
    </w:p>
    <w:p>
      <w:pPr>
        <w:pStyle w:val="ManualNumPar1"/>
        <w:rPr>
          <w:rFonts w:eastAsia="Times New Roman"/>
          <w:noProof/>
          <w:spacing w:val="-2"/>
          <w:szCs w:val="24"/>
        </w:rPr>
      </w:pPr>
      <w:r>
        <w:rPr>
          <w:noProof/>
        </w:rPr>
        <w:t>7.</w:t>
      </w:r>
      <w:r>
        <w:rPr>
          <w:noProof/>
        </w:rPr>
        <w:tab/>
        <w:t>За целите на прилагането на горепосочените параграфи важат следните разпоредби:</w:t>
      </w:r>
    </w:p>
    <w:p>
      <w:pPr>
        <w:pStyle w:val="Point1"/>
        <w:rPr>
          <w:rFonts w:eastAsia="Times New Roman"/>
          <w:noProof/>
          <w:szCs w:val="24"/>
        </w:rPr>
      </w:pPr>
      <w:r>
        <w:rPr>
          <w:noProof/>
        </w:rPr>
        <w:t>а)</w:t>
      </w:r>
      <w:r>
        <w:rPr>
          <w:noProof/>
        </w:rPr>
        <w:tab/>
        <w:t>В случаите, когато някоя от страните прецени, че е налице едно от обстоятелствата, посочени в параграфи 2, 4 и/или 5, тя незабавно отнася въпроса до Комитета на висшите служители за разглеждане;</w:t>
      </w:r>
    </w:p>
    <w:p>
      <w:pPr>
        <w:pStyle w:val="Point1"/>
        <w:rPr>
          <w:rFonts w:eastAsia="Times New Roman"/>
          <w:noProof/>
          <w:szCs w:val="24"/>
        </w:rPr>
      </w:pPr>
      <w:r>
        <w:rPr>
          <w:noProof/>
        </w:rPr>
        <w:t>б)</w:t>
      </w:r>
      <w:r>
        <w:rPr>
          <w:noProof/>
        </w:rPr>
        <w:tab/>
        <w:t>Комитетът на висшите служители може да отправя всякакви препоръки, необходими за отстраняване на възникналите обстоятелства. Ако Комитетът на висшите служители не отправи препоръки, целящи отстраняване на обстоятелствата, или ако не бъде намерено друго удовлетворително решение в рамките на тридесет (30) дни от отнасянето на въпроса до Комитета на висшите служители, страната вносител може да приеме подходящи мерки за отстраняване на обстоятелствата, в съответствие с настоящия член;</w:t>
      </w:r>
    </w:p>
    <w:p>
      <w:pPr>
        <w:pStyle w:val="Point1"/>
        <w:rPr>
          <w:rFonts w:eastAsia="Times New Roman"/>
          <w:noProof/>
          <w:szCs w:val="24"/>
        </w:rPr>
      </w:pPr>
      <w:r>
        <w:rPr>
          <w:noProof/>
        </w:rPr>
        <w:t>в)</w:t>
      </w:r>
      <w:r>
        <w:rPr>
          <w:noProof/>
        </w:rPr>
        <w:tab/>
        <w:t>Преди да предприемат някоя от мерките, предвидени в настоящия член, или в случаите, предвидени в параграф 8 от настоящия член, във възможно най-кратък срок държавите партньори от ИАО предоставят на Комитета на висшите служители цялата полезна информация, необходима за обстоен преглед на случая, с оглед намиране на приемливо за засегнатите страни решение;</w:t>
      </w:r>
    </w:p>
    <w:p>
      <w:pPr>
        <w:pStyle w:val="Point1"/>
        <w:rPr>
          <w:rFonts w:eastAsia="Times New Roman"/>
          <w:noProof/>
          <w:szCs w:val="24"/>
        </w:rPr>
      </w:pPr>
      <w:r>
        <w:rPr>
          <w:noProof/>
        </w:rPr>
        <w:lastRenderedPageBreak/>
        <w:t>г)</w:t>
      </w:r>
      <w:r>
        <w:rPr>
          <w:noProof/>
        </w:rPr>
        <w:tab/>
        <w:t>При избора на защитни мерки в съответствие с настоящия член трябва да се дава предимство на тези, които най-малко затрудняват функционирането на настоящото споразумение;</w:t>
      </w:r>
    </w:p>
    <w:p>
      <w:pPr>
        <w:pStyle w:val="Point1"/>
        <w:rPr>
          <w:rFonts w:eastAsia="Times New Roman"/>
          <w:noProof/>
          <w:spacing w:val="-17"/>
          <w:szCs w:val="24"/>
        </w:rPr>
      </w:pPr>
      <w:r>
        <w:rPr>
          <w:noProof/>
        </w:rPr>
        <w:t>д)</w:t>
      </w:r>
      <w:r>
        <w:rPr>
          <w:noProof/>
        </w:rPr>
        <w:tab/>
        <w:t>Комитетът на висшите служители се уведомява незабавно в писмена форма за всяка защитна мярка, приета в съответствие с настоящия член, и тя е предмет на периодични консултации в рамките на посочения орган, по-специално с оглед съставяне на график за нейното премахване веднага щом обстоятелствата позволяват това.</w:t>
      </w:r>
    </w:p>
    <w:p>
      <w:pPr>
        <w:pStyle w:val="ManualNumPar1"/>
        <w:rPr>
          <w:rFonts w:eastAsia="Times New Roman"/>
          <w:noProof/>
          <w:spacing w:val="-14"/>
          <w:szCs w:val="24"/>
        </w:rPr>
      </w:pPr>
      <w:r>
        <w:rPr>
          <w:noProof/>
        </w:rPr>
        <w:t>8.</w:t>
      </w:r>
      <w:r>
        <w:rPr>
          <w:noProof/>
        </w:rPr>
        <w:tab/>
        <w:t>При изключителни обстоятелства, които налагат незабавно действие, съответната страна вносител може да приеме мерките, предвидени в параграфи 3, 4 или 5, на временна основа, без да се придържа към изискванията на параграф 7. Такова действие може да бъде предприето за период с максимална продължителност сто и осемдесет (180) дни в случаите, когато мерките са приети от ЕС, и двеста (200) дни — когато мерките са приети от държавите партньори от ИАО, или когато мерките, приети от ЕС, са ограничени до територията на един или повече от най-отдалечените му региони. Срокът на действие на всяка такава временна мярка се зачита като част от първоначалния срок и всяко негово удължаване съгласно параграф 6. При приемането на такива временни мерки се вземат предвид интересите на всички заинтересовани страни, включително равнището им на развитие. Засегнатата страна вносител информира другата засегната страна и незабавно отнася въпроса за разглеждане до Комитета на висшите служители.</w:t>
      </w:r>
    </w:p>
    <w:p>
      <w:pPr>
        <w:pStyle w:val="ManualNumPar1"/>
        <w:rPr>
          <w:rFonts w:eastAsia="Times New Roman"/>
          <w:noProof/>
          <w:szCs w:val="24"/>
        </w:rPr>
      </w:pPr>
      <w:r>
        <w:rPr>
          <w:noProof/>
        </w:rPr>
        <w:t>9.</w:t>
      </w:r>
      <w:r>
        <w:rPr>
          <w:noProof/>
        </w:rPr>
        <w:tab/>
        <w:t>В случай че страна вносител подложи вноса на даден продукт на административна процедура, имаща за цел бързото предоставяне на информация относно тенденциите в търговските потоци, които могат да предизвикат проблемите, посочени в настоящия член, тя незабавно уведомява Комитета на висшите служители за това.</w:t>
      </w:r>
    </w:p>
    <w:p>
      <w:pPr>
        <w:pStyle w:val="ManualNumPar1"/>
        <w:rPr>
          <w:rFonts w:eastAsia="Times New Roman"/>
          <w:noProof/>
          <w:szCs w:val="24"/>
        </w:rPr>
      </w:pPr>
      <w:r>
        <w:rPr>
          <w:noProof/>
        </w:rPr>
        <w:t>10.</w:t>
      </w:r>
      <w:r>
        <w:rPr>
          <w:noProof/>
        </w:rPr>
        <w:tab/>
        <w:t xml:space="preserve">Не се допуска позоваване на Споразумението за СТО с цел да се попречи на някоя от страните да приеме защитни мерки, съобразени с настоящия член. </w:t>
      </w:r>
    </w:p>
    <w:p>
      <w:pPr>
        <w:spacing w:before="0" w:after="0"/>
        <w:jc w:val="center"/>
        <w:rPr>
          <w:rFonts w:eastAsia="Times New Roman"/>
          <w:b/>
          <w:bCs/>
          <w:noProof/>
          <w:kern w:val="32"/>
          <w:szCs w:val="24"/>
        </w:rPr>
      </w:pPr>
      <w:bookmarkStart w:id="16" w:name="_Toc202345620"/>
      <w:bookmarkStart w:id="17" w:name="_Toc401595118"/>
      <w:r>
        <w:rPr>
          <w:b/>
          <w:noProof/>
          <w:kern w:val="32"/>
        </w:rPr>
        <w:t>ЧАСТ IIІ: РИБАРСТВО</w:t>
      </w:r>
      <w:bookmarkEnd w:id="16"/>
      <w:bookmarkEnd w:id="17"/>
    </w:p>
    <w:p>
      <w:pPr>
        <w:jc w:val="center"/>
        <w:rPr>
          <w:b/>
          <w:noProof/>
          <w:sz w:val="28"/>
          <w:szCs w:val="28"/>
        </w:rPr>
      </w:pPr>
      <w:bookmarkStart w:id="18" w:name="_Toc202345621"/>
      <w:r>
        <w:rPr>
          <w:b/>
          <w:noProof/>
          <w:sz w:val="28"/>
        </w:rPr>
        <w:t>ДЯЛ I: ОБЩИ РАЗПОРЕДБИ</w:t>
      </w:r>
      <w:bookmarkEnd w:id="18"/>
    </w:p>
    <w:p>
      <w:pPr>
        <w:pStyle w:val="Titrearticle"/>
        <w:rPr>
          <w:rFonts w:eastAsia="Times New Roman"/>
          <w:b/>
          <w:noProof/>
          <w:szCs w:val="24"/>
        </w:rPr>
      </w:pPr>
      <w:r>
        <w:rPr>
          <w:b/>
          <w:noProof/>
        </w:rPr>
        <w:t>ЧЛЕН 51</w:t>
      </w:r>
    </w:p>
    <w:p>
      <w:pPr>
        <w:jc w:val="center"/>
        <w:rPr>
          <w:rFonts w:eastAsia="Times New Roman"/>
          <w:b/>
          <w:noProof/>
          <w:szCs w:val="24"/>
        </w:rPr>
      </w:pPr>
      <w:r>
        <w:rPr>
          <w:b/>
          <w:noProof/>
        </w:rPr>
        <w:t>Обхват и принципи</w:t>
      </w:r>
    </w:p>
    <w:p>
      <w:pPr>
        <w:pStyle w:val="ManualNumPar1"/>
        <w:rPr>
          <w:rFonts w:eastAsia="Times New Roman"/>
          <w:noProof/>
          <w:szCs w:val="24"/>
        </w:rPr>
      </w:pPr>
      <w:r>
        <w:rPr>
          <w:noProof/>
        </w:rPr>
        <w:t>1.</w:t>
      </w:r>
      <w:r>
        <w:rPr>
          <w:noProof/>
        </w:rPr>
        <w:tab/>
        <w:t>Сътрудничеството в търговията и развитието в областта на рибарството обхваща морския риболов, сладководния риболов и аквакултурите.</w:t>
      </w:r>
    </w:p>
    <w:p>
      <w:pPr>
        <w:pStyle w:val="ManualNumPar1"/>
        <w:rPr>
          <w:rFonts w:eastAsia="Times New Roman"/>
          <w:noProof/>
          <w:szCs w:val="24"/>
        </w:rPr>
      </w:pPr>
      <w:r>
        <w:rPr>
          <w:noProof/>
        </w:rPr>
        <w:t>2.</w:t>
      </w:r>
      <w:r>
        <w:rPr>
          <w:noProof/>
        </w:rPr>
        <w:tab/>
        <w:t>Страните отчитат факта, че рибарството представлява основен икономически ресурс за държавите партньори от ИАО, допринася съществено за техните икономики и съдържа голям потенциал за бъдещо регионално икономическо развитие и намаляване на бедността. То представлява и важен източник на храни и чуждестранна валута.</w:t>
      </w:r>
    </w:p>
    <w:p>
      <w:pPr>
        <w:pStyle w:val="ManualNumPar1"/>
        <w:rPr>
          <w:rFonts w:eastAsia="Times New Roman"/>
          <w:noProof/>
          <w:szCs w:val="24"/>
        </w:rPr>
      </w:pPr>
      <w:r>
        <w:rPr>
          <w:noProof/>
        </w:rPr>
        <w:t>3.</w:t>
      </w:r>
      <w:r>
        <w:rPr>
          <w:noProof/>
        </w:rPr>
        <w:tab/>
        <w:t xml:space="preserve">Освен това страните признават, че рибните ресурси са също така от значителен интерес както за ЕС, така и за държавите партньори от ИАО, и се договарят да си сътрудничат за устойчиво развитие и управление на сектора на рибарството </w:t>
      </w:r>
      <w:r>
        <w:rPr>
          <w:noProof/>
        </w:rPr>
        <w:lastRenderedPageBreak/>
        <w:t>във взаимен интерес, като вземат предвид въздействието в икономически, екологичен и социален аспект.</w:t>
      </w:r>
    </w:p>
    <w:p>
      <w:pPr>
        <w:pStyle w:val="ManualNumPar1"/>
        <w:rPr>
          <w:rFonts w:eastAsia="Times New Roman"/>
          <w:noProof/>
          <w:szCs w:val="24"/>
        </w:rPr>
      </w:pPr>
      <w:r>
        <w:rPr>
          <w:noProof/>
        </w:rPr>
        <w:t>4.</w:t>
      </w:r>
      <w:r>
        <w:rPr>
          <w:noProof/>
        </w:rPr>
        <w:tab/>
        <w:t>Страните се споразумяват, че подходящата стратегия за насърчаване на икономическия растеж в сектора на рибарството и за увеличаване на неговия принос към икономиката на държавите партньори от ИАО, като същевременно се взема предвид нейната устойчивост в дългосрочен план, преминава през увеличаването на дейностите с добавена стойност в рамките на сектора.</w:t>
      </w:r>
    </w:p>
    <w:p>
      <w:pPr>
        <w:pStyle w:val="Titrearticle"/>
        <w:rPr>
          <w:rFonts w:eastAsia="Times New Roman"/>
          <w:b/>
          <w:noProof/>
          <w:szCs w:val="24"/>
        </w:rPr>
      </w:pPr>
      <w:r>
        <w:rPr>
          <w:b/>
          <w:noProof/>
        </w:rPr>
        <w:t>ЧЛЕН 52</w:t>
      </w:r>
    </w:p>
    <w:p>
      <w:pPr>
        <w:jc w:val="center"/>
        <w:rPr>
          <w:rFonts w:eastAsia="Times New Roman"/>
          <w:b/>
          <w:noProof/>
          <w:szCs w:val="24"/>
        </w:rPr>
      </w:pPr>
      <w:r>
        <w:rPr>
          <w:b/>
          <w:noProof/>
        </w:rPr>
        <w:t>Принципи на сътрудничеството</w:t>
      </w:r>
    </w:p>
    <w:p>
      <w:pPr>
        <w:pStyle w:val="ManualNumPar1"/>
        <w:rPr>
          <w:rFonts w:eastAsia="Times New Roman"/>
          <w:noProof/>
          <w:szCs w:val="24"/>
        </w:rPr>
      </w:pPr>
      <w:r>
        <w:rPr>
          <w:noProof/>
        </w:rPr>
        <w:t>1.</w:t>
      </w:r>
      <w:r>
        <w:rPr>
          <w:noProof/>
        </w:rPr>
        <w:tab/>
        <w:t>Принципите на сътрудничеството в областта на рибарството включват:</w:t>
      </w:r>
    </w:p>
    <w:p>
      <w:pPr>
        <w:pStyle w:val="Point1"/>
        <w:rPr>
          <w:rFonts w:eastAsia="Times New Roman"/>
          <w:noProof/>
          <w:szCs w:val="24"/>
        </w:rPr>
      </w:pPr>
      <w:r>
        <w:rPr>
          <w:noProof/>
        </w:rPr>
        <w:t>а)</w:t>
      </w:r>
      <w:r>
        <w:rPr>
          <w:noProof/>
        </w:rPr>
        <w:tab/>
        <w:t>оказване на подкрепа за развитие и засилване на регионалната интеграция;</w:t>
      </w:r>
    </w:p>
    <w:p>
      <w:pPr>
        <w:pStyle w:val="Point1"/>
        <w:rPr>
          <w:rFonts w:eastAsia="Times New Roman"/>
          <w:noProof/>
          <w:szCs w:val="24"/>
        </w:rPr>
      </w:pPr>
      <w:r>
        <w:rPr>
          <w:noProof/>
        </w:rPr>
        <w:t>б)</w:t>
      </w:r>
      <w:r>
        <w:rPr>
          <w:noProof/>
        </w:rPr>
        <w:tab/>
        <w:t>запазване на постиженията на Споразумението от Котону;</w:t>
      </w:r>
    </w:p>
    <w:p>
      <w:pPr>
        <w:pStyle w:val="Point1"/>
        <w:rPr>
          <w:rFonts w:eastAsia="Times New Roman"/>
          <w:noProof/>
          <w:szCs w:val="24"/>
        </w:rPr>
      </w:pPr>
      <w:r>
        <w:rPr>
          <w:noProof/>
        </w:rPr>
        <w:t>в)</w:t>
      </w:r>
      <w:r>
        <w:rPr>
          <w:noProof/>
        </w:rPr>
        <w:tab/>
        <w:t>предоставяне на специално и диференцирано третиране;</w:t>
      </w:r>
    </w:p>
    <w:p>
      <w:pPr>
        <w:pStyle w:val="Point1"/>
        <w:rPr>
          <w:rFonts w:eastAsia="Times New Roman"/>
          <w:noProof/>
          <w:szCs w:val="24"/>
        </w:rPr>
      </w:pPr>
      <w:r>
        <w:rPr>
          <w:noProof/>
        </w:rPr>
        <w:t>г)</w:t>
      </w:r>
      <w:r>
        <w:rPr>
          <w:noProof/>
        </w:rPr>
        <w:tab/>
        <w:t>вземане предвид на най-добрата налична научна информация при оценката и управлението на ресурсите;</w:t>
      </w:r>
    </w:p>
    <w:p>
      <w:pPr>
        <w:pStyle w:val="Point1"/>
        <w:rPr>
          <w:rFonts w:eastAsia="Times New Roman"/>
          <w:noProof/>
          <w:szCs w:val="24"/>
        </w:rPr>
      </w:pPr>
      <w:r>
        <w:rPr>
          <w:noProof/>
        </w:rPr>
        <w:t>д)</w:t>
      </w:r>
      <w:r>
        <w:rPr>
          <w:noProof/>
        </w:rPr>
        <w:tab/>
        <w:t>осигуряване на действаща система за мониторинг на въздействието в държавите партньори от ИАО в екологичен, икономически и социален аспект;</w:t>
      </w:r>
    </w:p>
    <w:p>
      <w:pPr>
        <w:pStyle w:val="Point1"/>
        <w:rPr>
          <w:rFonts w:eastAsia="Times New Roman"/>
          <w:noProof/>
          <w:szCs w:val="24"/>
        </w:rPr>
      </w:pPr>
      <w:r>
        <w:rPr>
          <w:noProof/>
        </w:rPr>
        <w:t>е)</w:t>
      </w:r>
      <w:r>
        <w:rPr>
          <w:noProof/>
        </w:rPr>
        <w:tab/>
        <w:t>осигуряване на съответствие със съществуващите национални закони и съответните международни инструменти, включително Конвенцията на Организацията на обединените нации по морско право (UNCLOS), регионалните и подрегионалните споразумения;</w:t>
      </w:r>
    </w:p>
    <w:p>
      <w:pPr>
        <w:pStyle w:val="Point1"/>
        <w:rPr>
          <w:rFonts w:eastAsia="Times New Roman"/>
          <w:noProof/>
          <w:szCs w:val="24"/>
        </w:rPr>
      </w:pPr>
      <w:r>
        <w:rPr>
          <w:noProof/>
        </w:rPr>
        <w:t>ж)</w:t>
      </w:r>
      <w:r>
        <w:rPr>
          <w:noProof/>
        </w:rPr>
        <w:tab/>
        <w:t>осигуряване на запазването и предоставянето на приоритет на специалните нужди на занаятчийския риболов/риболова с цел прехрана.</w:t>
      </w:r>
    </w:p>
    <w:p>
      <w:pPr>
        <w:pStyle w:val="ManualNumPar1"/>
        <w:rPr>
          <w:rFonts w:eastAsia="Times New Roman"/>
          <w:noProof/>
          <w:szCs w:val="24"/>
        </w:rPr>
      </w:pPr>
      <w:r>
        <w:rPr>
          <w:noProof/>
        </w:rPr>
        <w:t>2.</w:t>
      </w:r>
      <w:r>
        <w:rPr>
          <w:noProof/>
        </w:rPr>
        <w:tab/>
        <w:t>Тези ръководни принципи следва да допринасят за устойчивото и отговорно развитие на живите морски и континентални ресурси и на аквакултурите, както и за оптимизирането на ползите от този сектор за настоящите и бъдещите поколения посредством нарастващи инвестиции, изграждане на капацитет и подобряване на достъпа до пазара.</w:t>
      </w:r>
    </w:p>
    <w:p>
      <w:pPr>
        <w:pStyle w:val="ManualNumPar1"/>
        <w:rPr>
          <w:rFonts w:eastAsia="Times New Roman"/>
          <w:noProof/>
          <w:szCs w:val="24"/>
        </w:rPr>
      </w:pPr>
      <w:r>
        <w:rPr>
          <w:noProof/>
        </w:rPr>
        <w:t>3.</w:t>
      </w:r>
      <w:r>
        <w:rPr>
          <w:noProof/>
        </w:rPr>
        <w:tab/>
        <w:t>Страните си сътрудничат, за да гарантират, че подкрепа от финансово и друго естество ще бъде предоставяна за повишаване на конкурентоспособността и производствения капацитет на преработвателните заводи, диверсификацията на рибната промишленост и развитието и подобряването на пристанищните съоръжения в държавите партньори от ИАО.</w:t>
      </w:r>
    </w:p>
    <w:p>
      <w:pPr>
        <w:pStyle w:val="ManualNumPar1"/>
        <w:rPr>
          <w:rFonts w:eastAsia="Times New Roman"/>
          <w:noProof/>
          <w:szCs w:val="24"/>
        </w:rPr>
      </w:pPr>
      <w:r>
        <w:rPr>
          <w:noProof/>
        </w:rPr>
        <w:t>4.</w:t>
      </w:r>
      <w:r>
        <w:rPr>
          <w:noProof/>
        </w:rPr>
        <w:tab/>
        <w:t xml:space="preserve">Подробно описаните области на сътрудничество са посочени в дял IV от част V от настоящото споразумение. </w:t>
      </w:r>
    </w:p>
    <w:p>
      <w:pPr>
        <w:jc w:val="center"/>
        <w:rPr>
          <w:b/>
          <w:noProof/>
          <w:sz w:val="28"/>
          <w:szCs w:val="28"/>
        </w:rPr>
      </w:pPr>
      <w:bookmarkStart w:id="19" w:name="_Toc202345622"/>
      <w:r>
        <w:rPr>
          <w:b/>
          <w:noProof/>
          <w:sz w:val="28"/>
        </w:rPr>
        <w:t>ДЯЛ II</w:t>
      </w:r>
      <w:bookmarkStart w:id="20" w:name="_Toc305402951"/>
      <w:r>
        <w:rPr>
          <w:b/>
          <w:noProof/>
          <w:sz w:val="28"/>
        </w:rPr>
        <w:t>: МОРСКИ РИБОЛОВ</w:t>
      </w:r>
      <w:bookmarkEnd w:id="19"/>
      <w:bookmarkEnd w:id="20"/>
    </w:p>
    <w:p>
      <w:pPr>
        <w:pStyle w:val="Titrearticle"/>
        <w:rPr>
          <w:rFonts w:eastAsia="Times New Roman"/>
          <w:b/>
          <w:noProof/>
          <w:szCs w:val="24"/>
        </w:rPr>
      </w:pPr>
      <w:r>
        <w:rPr>
          <w:b/>
          <w:noProof/>
        </w:rPr>
        <w:lastRenderedPageBreak/>
        <w:t>ЧЛЕН 53</w:t>
      </w:r>
    </w:p>
    <w:p>
      <w:pPr>
        <w:jc w:val="center"/>
        <w:rPr>
          <w:rFonts w:eastAsia="Times New Roman"/>
          <w:b/>
          <w:noProof/>
          <w:szCs w:val="24"/>
        </w:rPr>
      </w:pPr>
      <w:r>
        <w:rPr>
          <w:b/>
          <w:noProof/>
        </w:rPr>
        <w:t>Обхват и цели</w:t>
      </w:r>
    </w:p>
    <w:p>
      <w:pPr>
        <w:pStyle w:val="ManualNumPar1"/>
        <w:rPr>
          <w:rFonts w:eastAsia="Times New Roman"/>
          <w:noProof/>
          <w:szCs w:val="24"/>
        </w:rPr>
      </w:pPr>
      <w:r>
        <w:rPr>
          <w:noProof/>
        </w:rPr>
        <w:t>1.</w:t>
      </w:r>
      <w:r>
        <w:rPr>
          <w:noProof/>
        </w:rPr>
        <w:tab/>
        <w:t>Разпоредбите на настоящия дял се прилагат за оползотворяването, опазването и управлението на морските рибни ресурси с цел оптимизиране на ползите от рибарството за държавите партньори от ИАО чрез инвестиции, изграждане на капацитет и подобрен достъп до пазара.</w:t>
      </w:r>
    </w:p>
    <w:p>
      <w:pPr>
        <w:pStyle w:val="ManualNumPar1"/>
        <w:rPr>
          <w:rFonts w:eastAsia="Times New Roman"/>
          <w:noProof/>
          <w:szCs w:val="24"/>
        </w:rPr>
      </w:pPr>
      <w:r>
        <w:rPr>
          <w:noProof/>
        </w:rPr>
        <w:t>2.</w:t>
      </w:r>
      <w:r>
        <w:rPr>
          <w:noProof/>
        </w:rPr>
        <w:tab/>
        <w:t>Целите на сътрудничеството са:</w:t>
      </w:r>
    </w:p>
    <w:p>
      <w:pPr>
        <w:pStyle w:val="Point1"/>
        <w:rPr>
          <w:noProof/>
        </w:rPr>
      </w:pPr>
      <w:r>
        <w:rPr>
          <w:noProof/>
        </w:rPr>
        <w:t>а)</w:t>
      </w:r>
      <w:r>
        <w:rPr>
          <w:noProof/>
        </w:rPr>
        <w:tab/>
        <w:t>насърчаване на устойчивото развитие и управлението на рибарството;</w:t>
      </w:r>
    </w:p>
    <w:p>
      <w:pPr>
        <w:pStyle w:val="Point1"/>
        <w:rPr>
          <w:noProof/>
        </w:rPr>
      </w:pPr>
      <w:r>
        <w:rPr>
          <w:noProof/>
        </w:rPr>
        <w:t>б)</w:t>
      </w:r>
      <w:r>
        <w:rPr>
          <w:noProof/>
        </w:rPr>
        <w:tab/>
        <w:t>засилване на сътрудничеството с цел гарантиране на устойчива експлоатация и управление на рибните ресурси, представляващо стабилна основа за регионална интеграция, като се имат предвид трансгранично преминаващите и мигриращите видове, общи за крайбрежните държави партньори от ИАО, и като се има предвид невъзможността на отделна държава партньор от ИАО да гарантира устойчивостта на ресурсите;</w:t>
      </w:r>
    </w:p>
    <w:p>
      <w:pPr>
        <w:pStyle w:val="Point1"/>
        <w:rPr>
          <w:noProof/>
        </w:rPr>
      </w:pPr>
      <w:r>
        <w:rPr>
          <w:noProof/>
        </w:rPr>
        <w:t>в)</w:t>
      </w:r>
      <w:r>
        <w:rPr>
          <w:noProof/>
        </w:rPr>
        <w:tab/>
        <w:t>гарантиране на по-справедливо разпределение на ползите, извличани от сектора на рибарството;</w:t>
      </w:r>
    </w:p>
    <w:p>
      <w:pPr>
        <w:pStyle w:val="Point1"/>
        <w:rPr>
          <w:noProof/>
        </w:rPr>
      </w:pPr>
      <w:r>
        <w:rPr>
          <w:noProof/>
        </w:rPr>
        <w:t>г)</w:t>
      </w:r>
      <w:r>
        <w:rPr>
          <w:noProof/>
        </w:rPr>
        <w:tab/>
        <w:t xml:space="preserve">осигуряване на ефикасност при мониторинга, контрола и наблюдението, необходими за борба с незаконния, недекларирания и нерегулирания риболов; </w:t>
      </w:r>
    </w:p>
    <w:p>
      <w:pPr>
        <w:pStyle w:val="Point1"/>
        <w:rPr>
          <w:noProof/>
        </w:rPr>
      </w:pPr>
      <w:r>
        <w:rPr>
          <w:noProof/>
        </w:rPr>
        <w:t>д)</w:t>
      </w:r>
      <w:r>
        <w:rPr>
          <w:noProof/>
        </w:rPr>
        <w:tab/>
        <w:t>насърчаване на ефикасното експлоатиране, опазване и управление на живите морски ресурси в изключителната икономическа зона (ИИЗ) и водите, попадащи под юрисдикцията на държавите партньори от ИАО въз основа на международните правни актове, включително Конвенцията на ООН по морско право (UNCLOS), с цел взаимна социална и икономическа полза за страните;</w:t>
      </w:r>
    </w:p>
    <w:p>
      <w:pPr>
        <w:pStyle w:val="Point1"/>
        <w:rPr>
          <w:noProof/>
          <w:color w:val="000000"/>
        </w:rPr>
      </w:pPr>
      <w:r>
        <w:rPr>
          <w:noProof/>
          <w:color w:val="000000"/>
        </w:rPr>
        <w:t>е)</w:t>
      </w:r>
      <w:r>
        <w:rPr>
          <w:noProof/>
        </w:rPr>
        <w:tab/>
      </w:r>
      <w:r>
        <w:rPr>
          <w:noProof/>
          <w:color w:val="000000"/>
        </w:rPr>
        <w:t>насърчаване и развиване на регионалната и международната търговия на основата на най-добрите практики;</w:t>
      </w:r>
    </w:p>
    <w:p>
      <w:pPr>
        <w:pStyle w:val="Point1"/>
        <w:rPr>
          <w:noProof/>
          <w:color w:val="000000"/>
        </w:rPr>
      </w:pPr>
      <w:r>
        <w:rPr>
          <w:noProof/>
          <w:color w:val="000000"/>
        </w:rPr>
        <w:t>ж)</w:t>
      </w:r>
      <w:r>
        <w:rPr>
          <w:noProof/>
        </w:rPr>
        <w:tab/>
      </w:r>
      <w:r>
        <w:rPr>
          <w:noProof/>
          <w:color w:val="000000"/>
        </w:rPr>
        <w:t>създаване на благоприятна среда, включително инфраструктура и изграждане на капацитет, позволяваща на държавите партньори от ИАО да отговорят на строгите пазарни изисквания по отношение на промишления риболов и риболова в малък мащаб;</w:t>
      </w:r>
    </w:p>
    <w:p>
      <w:pPr>
        <w:pStyle w:val="Point1"/>
        <w:rPr>
          <w:noProof/>
          <w:color w:val="000000"/>
        </w:rPr>
      </w:pPr>
      <w:r>
        <w:rPr>
          <w:noProof/>
          <w:color w:val="000000"/>
        </w:rPr>
        <w:t>з)</w:t>
      </w:r>
      <w:r>
        <w:rPr>
          <w:noProof/>
        </w:rPr>
        <w:tab/>
      </w:r>
      <w:r>
        <w:rPr>
          <w:noProof/>
          <w:color w:val="000000"/>
        </w:rPr>
        <w:t>оказване на подкрепа за националните и регионалните политики, насочени към повишаване на производителността и конкурентоспособността на сектора на рибарството; както и</w:t>
      </w:r>
    </w:p>
    <w:p>
      <w:pPr>
        <w:pStyle w:val="Point1"/>
        <w:rPr>
          <w:noProof/>
          <w:color w:val="000000"/>
        </w:rPr>
      </w:pPr>
      <w:r>
        <w:rPr>
          <w:noProof/>
          <w:color w:val="000000"/>
        </w:rPr>
        <w:t>и)</w:t>
      </w:r>
      <w:r>
        <w:rPr>
          <w:noProof/>
        </w:rPr>
        <w:tab/>
      </w:r>
      <w:r>
        <w:rPr>
          <w:noProof/>
          <w:color w:val="000000"/>
        </w:rPr>
        <w:t>създаване на връзки с другите икономически сектори.</w:t>
      </w:r>
    </w:p>
    <w:p>
      <w:pPr>
        <w:pStyle w:val="Titrearticle"/>
        <w:rPr>
          <w:rFonts w:eastAsia="Times New Roman"/>
          <w:bCs/>
          <w:noProof/>
          <w:szCs w:val="24"/>
        </w:rPr>
      </w:pPr>
      <w:r>
        <w:rPr>
          <w:b/>
          <w:noProof/>
        </w:rPr>
        <w:t>ЧЛЕН 54</w:t>
      </w:r>
    </w:p>
    <w:p>
      <w:pPr>
        <w:jc w:val="center"/>
        <w:rPr>
          <w:rFonts w:eastAsia="Times New Roman"/>
          <w:b/>
          <w:noProof/>
          <w:szCs w:val="24"/>
        </w:rPr>
      </w:pPr>
      <w:r>
        <w:rPr>
          <w:b/>
          <w:noProof/>
        </w:rPr>
        <w:t>Въпроси, свързани с управлението на риболова и опазването на запасите</w:t>
      </w:r>
    </w:p>
    <w:p>
      <w:pPr>
        <w:pStyle w:val="ManualNumPar1"/>
        <w:rPr>
          <w:rFonts w:eastAsia="Times New Roman"/>
          <w:noProof/>
          <w:szCs w:val="24"/>
        </w:rPr>
      </w:pPr>
      <w:r>
        <w:rPr>
          <w:noProof/>
        </w:rPr>
        <w:t>1.</w:t>
      </w:r>
      <w:r>
        <w:rPr>
          <w:noProof/>
        </w:rPr>
        <w:tab/>
        <w:t xml:space="preserve">Принципът на предпазливост се прилага при определяне на равнищата на устойчив улов, риболовния капацитет и други управленски стратегии за избягване или коригиране на нежелани резултати, като свръхкапацитет и </w:t>
      </w:r>
      <w:r>
        <w:rPr>
          <w:noProof/>
        </w:rPr>
        <w:lastRenderedPageBreak/>
        <w:t>прекомерен риболов, както и на нежелано въздействие върху екосистемите и занаятчийския риболов.</w:t>
      </w:r>
    </w:p>
    <w:p>
      <w:pPr>
        <w:pStyle w:val="ManualNumPar1"/>
        <w:rPr>
          <w:rFonts w:eastAsia="Times New Roman"/>
          <w:noProof/>
          <w:szCs w:val="24"/>
        </w:rPr>
      </w:pPr>
      <w:r>
        <w:rPr>
          <w:noProof/>
        </w:rPr>
        <w:t>2.</w:t>
      </w:r>
      <w:r>
        <w:rPr>
          <w:noProof/>
        </w:rPr>
        <w:tab/>
        <w:t>Всяка държава партньор от ИАО може да предприеме подходящи мерки, включително сезонни ограничения или ограничения по отношение на използваните съоръжения, за да защити своите териториални води и да гарантира устойчивостта на занаятчийския и крайбрежния риболов.</w:t>
      </w:r>
    </w:p>
    <w:p>
      <w:pPr>
        <w:pStyle w:val="ManualNumPar1"/>
        <w:rPr>
          <w:rFonts w:eastAsia="Times New Roman"/>
          <w:noProof/>
          <w:szCs w:val="24"/>
        </w:rPr>
      </w:pPr>
      <w:r>
        <w:rPr>
          <w:noProof/>
        </w:rPr>
        <w:t>3.</w:t>
      </w:r>
      <w:r>
        <w:rPr>
          <w:noProof/>
        </w:rPr>
        <w:tab/>
        <w:t>Страните насърчават членството на всички засегнати държави партньори от ИАО в Комисията по рибата тон в Индийския океан (IOTC) и другите имащи отношение риболовни организации. Засегнатите държави партньори от ИАО заедно с ЕС координират действията си, за да осигурят управлението и опазването на всички рибни видове, включително на запасите от риба тон и подобни на риба тон видове, и да улеснят съответните научни изследвания.</w:t>
      </w:r>
    </w:p>
    <w:p>
      <w:pPr>
        <w:pStyle w:val="ManualNumPar1"/>
        <w:rPr>
          <w:rFonts w:eastAsia="Times New Roman"/>
          <w:noProof/>
          <w:szCs w:val="24"/>
        </w:rPr>
      </w:pPr>
      <w:r>
        <w:rPr>
          <w:noProof/>
        </w:rPr>
        <w:t>4.</w:t>
      </w:r>
      <w:r>
        <w:rPr>
          <w:noProof/>
        </w:rPr>
        <w:tab/>
        <w:t>При липса на достатъчно научни доказателства, позволяващи на компетентния национален управляващ орган да определи ограниченията и целевите равнища за устойчив улов в дадена изключителна икономическа зона в държавите партньори от ИАО, страните подкрепят такива научни анализи, като се консултират с компетентния национален орган и си сътрудничат с IOTC, и, когато е приложимо, с други регионални риболовни организации.</w:t>
      </w:r>
    </w:p>
    <w:p>
      <w:pPr>
        <w:pStyle w:val="ManualNumPar1"/>
        <w:rPr>
          <w:rFonts w:eastAsia="Times New Roman"/>
          <w:noProof/>
          <w:szCs w:val="24"/>
        </w:rPr>
      </w:pPr>
      <w:r>
        <w:rPr>
          <w:noProof/>
        </w:rPr>
        <w:t>5.</w:t>
      </w:r>
      <w:r>
        <w:rPr>
          <w:noProof/>
        </w:rPr>
        <w:tab/>
        <w:t>Страните се споразумяват да предприемат подходящи мерки, ако вследствие на повишени усилия равнищата на улов надхвърлят целевото равнище за устойчив улов, определено от компетентния национален орган.</w:t>
      </w:r>
    </w:p>
    <w:p>
      <w:pPr>
        <w:pStyle w:val="ManualNumPar1"/>
        <w:rPr>
          <w:rFonts w:eastAsia="Times New Roman"/>
          <w:noProof/>
          <w:szCs w:val="24"/>
        </w:rPr>
      </w:pPr>
      <w:r>
        <w:rPr>
          <w:noProof/>
        </w:rPr>
        <w:t>6.</w:t>
      </w:r>
      <w:r>
        <w:rPr>
          <w:noProof/>
        </w:rPr>
        <w:tab/>
        <w:t>С цел опазване и управление на трансгранично преминаващите и далекомигриращите рибни запаси ЕС и държавите партньори от ИАО гарантират съответствието на плавателните съдове, плаващи под техен флаг, с имащите отношение национални, регионални и подрегионални мерки за управление на рибарството и свързаните национални законови и подзаконови разпоредби.</w:t>
      </w:r>
    </w:p>
    <w:p>
      <w:pPr>
        <w:pStyle w:val="Titrearticle"/>
        <w:rPr>
          <w:rFonts w:eastAsia="Times New Roman"/>
          <w:b/>
          <w:noProof/>
          <w:szCs w:val="24"/>
        </w:rPr>
      </w:pPr>
      <w:r>
        <w:rPr>
          <w:b/>
          <w:noProof/>
        </w:rPr>
        <w:t>ЧЛЕН 55</w:t>
      </w:r>
    </w:p>
    <w:p>
      <w:pPr>
        <w:jc w:val="center"/>
        <w:rPr>
          <w:rFonts w:eastAsia="Times New Roman"/>
          <w:b/>
          <w:noProof/>
          <w:szCs w:val="24"/>
        </w:rPr>
      </w:pPr>
      <w:r>
        <w:rPr>
          <w:b/>
          <w:noProof/>
        </w:rPr>
        <w:t>Управление на плавателните съдове и договорености относно периода след улова</w:t>
      </w:r>
    </w:p>
    <w:p>
      <w:pPr>
        <w:pStyle w:val="ManualNumPar1"/>
        <w:rPr>
          <w:rFonts w:eastAsia="Times New Roman"/>
          <w:noProof/>
          <w:szCs w:val="24"/>
        </w:rPr>
      </w:pPr>
      <w:r>
        <w:rPr>
          <w:noProof/>
        </w:rPr>
        <w:t>1.</w:t>
      </w:r>
      <w:r>
        <w:rPr>
          <w:noProof/>
        </w:rPr>
        <w:tab/>
        <w:t>Управлението на плавателните съдове и договореностите относно периода след улова, произтичащи от решение на IOTC и всяка друга имаща отношение регионална риболовна организация, ще бъдат съблюдавани. Държавите партньори от ИАО и ЕС определят минимални условия по отношение на мониторинга, контрола и наблюдението на риболовни кораби на ЕС, действащи във водите на държавите партньори от ИАО, като тези условия включват следното:</w:t>
      </w:r>
    </w:p>
    <w:p>
      <w:pPr>
        <w:pStyle w:val="Point1"/>
        <w:rPr>
          <w:noProof/>
          <w:color w:val="000000"/>
        </w:rPr>
      </w:pPr>
      <w:r>
        <w:rPr>
          <w:noProof/>
        </w:rPr>
        <w:t>а)</w:t>
      </w:r>
      <w:r>
        <w:rPr>
          <w:noProof/>
        </w:rPr>
        <w:tab/>
        <w:t>ще бъде създадена система за мониторинг на плавателните съдове (VMS) за държавите партньори от ИАО и всички държави партньори от ИАО ще използват съвместима VMS. Държавите партньори от ИАО, които не разполагат с VMS, ще бъдат подпомогнати от ЕС в създаването на съвместима такава;</w:t>
      </w:r>
    </w:p>
    <w:p>
      <w:pPr>
        <w:pStyle w:val="Point1"/>
        <w:rPr>
          <w:noProof/>
          <w:color w:val="000000"/>
        </w:rPr>
      </w:pPr>
      <w:r>
        <w:rPr>
          <w:noProof/>
          <w:color w:val="000000"/>
        </w:rPr>
        <w:t>б)</w:t>
      </w:r>
      <w:r>
        <w:rPr>
          <w:noProof/>
        </w:rPr>
        <w:tab/>
      </w:r>
      <w:r>
        <w:rPr>
          <w:noProof/>
          <w:color w:val="000000"/>
        </w:rPr>
        <w:t xml:space="preserve">освен задължителната съвместима система VMS всички крайбрежни държави партньори от ИАО, съвместно с ЕС, ще разработят други </w:t>
      </w:r>
      <w:r>
        <w:rPr>
          <w:noProof/>
          <w:color w:val="000000"/>
        </w:rPr>
        <w:lastRenderedPageBreak/>
        <w:t>механизми, чрез които да осигурят ефикасен мониторинг, контрол и наблюдение, а ЕС ще окаже подкрепа на държавите партньори от ИАО при въвеждането на одобрена такава система и ще подпомага нейното прилагане;</w:t>
      </w:r>
    </w:p>
    <w:p>
      <w:pPr>
        <w:pStyle w:val="Point1"/>
        <w:rPr>
          <w:noProof/>
          <w:color w:val="000000"/>
        </w:rPr>
      </w:pPr>
      <w:r>
        <w:rPr>
          <w:noProof/>
          <w:color w:val="000000"/>
        </w:rPr>
        <w:t>в)</w:t>
      </w:r>
      <w:r>
        <w:rPr>
          <w:noProof/>
        </w:rPr>
        <w:tab/>
      </w:r>
      <w:r>
        <w:rPr>
          <w:noProof/>
          <w:color w:val="000000"/>
        </w:rPr>
        <w:t>ЕС и държавите партньори от ИАО имат право да изпращат наблюдатели както в националните, така и в международните води, при ясно определени процедури относно тяхното разполагане. Възнагражденията на наблюдателите се изплащат от националните правителства, но всички разходи, свързани с пребиваването на борда, са за сметка на корабособственика. ЕС участва в разходите по обучение на наблюдателите;</w:t>
      </w:r>
    </w:p>
    <w:p>
      <w:pPr>
        <w:pStyle w:val="Point1"/>
        <w:rPr>
          <w:noProof/>
          <w:color w:val="000000"/>
        </w:rPr>
      </w:pPr>
      <w:r>
        <w:rPr>
          <w:noProof/>
          <w:color w:val="000000"/>
        </w:rPr>
        <w:t>г)</w:t>
      </w:r>
      <w:r>
        <w:rPr>
          <w:noProof/>
        </w:rPr>
        <w:tab/>
      </w:r>
      <w:r>
        <w:rPr>
          <w:noProof/>
          <w:color w:val="000000"/>
        </w:rPr>
        <w:t>общи системи за докладване на риболовните дейности ще бъдат разработени и използвани в региона, като се определят минимални изисквания за докладване;</w:t>
      </w:r>
    </w:p>
    <w:p>
      <w:pPr>
        <w:pStyle w:val="Point1"/>
        <w:rPr>
          <w:noProof/>
          <w:color w:val="000000"/>
        </w:rPr>
      </w:pPr>
      <w:r>
        <w:rPr>
          <w:noProof/>
          <w:color w:val="000000"/>
        </w:rPr>
        <w:t>д)</w:t>
      </w:r>
      <w:r>
        <w:rPr>
          <w:noProof/>
        </w:rPr>
        <w:tab/>
      </w:r>
      <w:r>
        <w:rPr>
          <w:noProof/>
          <w:color w:val="000000"/>
        </w:rPr>
        <w:t>всички плавателни съдове, които разтоварват своя улов или го прехвърлят на друг плавателен съд в държава партньор от ИАО, осъществяват това в пристанищата или зоните на външните пристанища. Не се разрешава претоварване на друг плавателен съд в морето, освен при специални условия, определени от съответните регионални организации за управление на рибарството (RFMO). Страните си сътрудничат за развиване и модернизиране на пристанищната инфраструктура на държавите партньори от ИАО за разтоварване или прехвърляне на товара на друг плавателен съд, включително капацитета за развитие по отношение на рибните продукти;</w:t>
      </w:r>
    </w:p>
    <w:p>
      <w:pPr>
        <w:pStyle w:val="Point1"/>
        <w:rPr>
          <w:rFonts w:eastAsia="Times New Roman"/>
          <w:noProof/>
          <w:szCs w:val="24"/>
        </w:rPr>
      </w:pPr>
      <w:r>
        <w:rPr>
          <w:noProof/>
          <w:color w:val="000000"/>
        </w:rPr>
        <w:t>е)</w:t>
      </w:r>
      <w:r>
        <w:rPr>
          <w:noProof/>
        </w:rPr>
        <w:tab/>
      </w:r>
      <w:r>
        <w:rPr>
          <w:noProof/>
          <w:color w:val="000000"/>
        </w:rPr>
        <w:t xml:space="preserve">докладването на случаи на изхвърляне в морето е задължително. </w:t>
      </w:r>
      <w:r>
        <w:rPr>
          <w:noProof/>
        </w:rPr>
        <w:t>На избягването на изхвърляне в морето следва да се отдава приоритетно значение чрез използването на селективни методи за риболов в съответствие с принципите на IOTC и на имащите отношение регионални риболовни организации. В рамките на възможното приловът се изнася на брега.</w:t>
      </w:r>
    </w:p>
    <w:p>
      <w:pPr>
        <w:pStyle w:val="ManualNumPar1"/>
        <w:rPr>
          <w:rFonts w:eastAsia="Times New Roman"/>
          <w:noProof/>
          <w:szCs w:val="24"/>
        </w:rPr>
      </w:pPr>
      <w:r>
        <w:rPr>
          <w:noProof/>
        </w:rPr>
        <w:t>2.</w:t>
      </w:r>
      <w:r>
        <w:rPr>
          <w:noProof/>
        </w:rPr>
        <w:tab/>
        <w:t>Страните се споразумяват да си сътрудничат в разработването и въвеждането на национални/регионални програми, предназначени за обучение на граждани на държави от ИАО с цел улесняване на ефикасното им участие в рибната промишленост. Наемането на граждани от държави от ИАО се насърчава, когато ЕС договори двустранно споразумение в областта на рибарството. Декларацията на Международната организация на труда (МОТ) за основните принципи и права в областта на труда се прилага по право за моряците, наети на европейски плавателни съдове.</w:t>
      </w:r>
    </w:p>
    <w:p>
      <w:pPr>
        <w:pStyle w:val="ManualNumPar1"/>
        <w:rPr>
          <w:rFonts w:eastAsia="Times New Roman"/>
          <w:noProof/>
          <w:szCs w:val="24"/>
        </w:rPr>
      </w:pPr>
      <w:r>
        <w:rPr>
          <w:noProof/>
        </w:rPr>
        <w:t>3.</w:t>
      </w:r>
      <w:r>
        <w:rPr>
          <w:noProof/>
        </w:rPr>
        <w:tab/>
        <w:t xml:space="preserve">Страните предприемат координирани усилия за подобряване на средствата за предотвратяване, възпиране и премахване на незаконния, недокладвания и нерегулирания риболов и за тази цел предприемат подходящи мерки. Риболовните кораби, участващи в незаконен, недокладван и нерегулиран риболов, следва да бъдат конфискувани, а по отношение на собствениците да бъде предприето наказателно преследване от страна на компетентните органи. Следва да им бъде отнето правото отново да извършват риболов във водите на засегнатите държави партньори от ИАО, освен ако не са получили </w:t>
      </w:r>
      <w:r>
        <w:rPr>
          <w:noProof/>
        </w:rPr>
        <w:lastRenderedPageBreak/>
        <w:t>предварително разрешение от държавата на знамето и от засегнатите държави партньори от ИАО, както и, ако е приложимо, от съответната RFMO.</w:t>
      </w:r>
    </w:p>
    <w:p>
      <w:pPr>
        <w:jc w:val="center"/>
        <w:rPr>
          <w:b/>
          <w:noProof/>
          <w:sz w:val="28"/>
          <w:szCs w:val="28"/>
        </w:rPr>
      </w:pPr>
      <w:bookmarkStart w:id="21" w:name="_Toc202345623"/>
      <w:r>
        <w:rPr>
          <w:b/>
          <w:noProof/>
          <w:sz w:val="28"/>
        </w:rPr>
        <w:t>ДЯЛ III: РАЗВИТИЕ НА СЛАДКОВОДНИЯ РИБОЛОВ И АКВАКУЛТУРИТЕ</w:t>
      </w:r>
      <w:bookmarkEnd w:id="21"/>
    </w:p>
    <w:p>
      <w:pPr>
        <w:pStyle w:val="Titrearticle"/>
        <w:rPr>
          <w:rFonts w:eastAsia="Times New Roman"/>
          <w:b/>
          <w:noProof/>
          <w:szCs w:val="24"/>
        </w:rPr>
      </w:pPr>
      <w:r>
        <w:rPr>
          <w:b/>
          <w:noProof/>
        </w:rPr>
        <w:t>ЧЛЕН 56</w:t>
      </w:r>
    </w:p>
    <w:p>
      <w:pPr>
        <w:jc w:val="center"/>
        <w:rPr>
          <w:rFonts w:eastAsia="Times New Roman"/>
          <w:b/>
          <w:noProof/>
          <w:szCs w:val="24"/>
        </w:rPr>
      </w:pPr>
      <w:r>
        <w:rPr>
          <w:b/>
          <w:noProof/>
        </w:rPr>
        <w:t>Обхват и цели</w:t>
      </w:r>
    </w:p>
    <w:p>
      <w:pPr>
        <w:pStyle w:val="ManualNumPar1"/>
        <w:rPr>
          <w:rFonts w:eastAsia="Times New Roman"/>
          <w:noProof/>
          <w:szCs w:val="24"/>
        </w:rPr>
      </w:pPr>
      <w:r>
        <w:rPr>
          <w:noProof/>
        </w:rPr>
        <w:t>1.</w:t>
      </w:r>
      <w:r>
        <w:rPr>
          <w:noProof/>
        </w:rPr>
        <w:tab/>
        <w:t>Разпоредбите на настоящия дял се прилагат за развитието на сладководния риболов, крайбрежния риболов и на аквакултурите в държавите партньори от ИАО по отношение на изграждането на капацитет, трансфера на технологии, санитарните и фитосанитарните стандарти, инвестициите и финансирането на инвестициите, опазването на околната среда, както и правните и нормативни рамки.</w:t>
      </w:r>
    </w:p>
    <w:p>
      <w:pPr>
        <w:pStyle w:val="ManualNumPar1"/>
        <w:rPr>
          <w:rFonts w:eastAsia="Calibri"/>
          <w:noProof/>
          <w:szCs w:val="24"/>
        </w:rPr>
      </w:pPr>
      <w:r>
        <w:rPr>
          <w:noProof/>
        </w:rPr>
        <w:t>2.</w:t>
      </w:r>
      <w:r>
        <w:rPr>
          <w:noProof/>
        </w:rPr>
        <w:tab/>
        <w:t>Целите на сътрудничеството в областта на развитието на сладководния риболов и аквакултурите ще бъдат насърчаване на устойчивото експлоатиране на сладководните рибни ресурси и увеличаване на производството на аквакултури, отстраняване на ограниченията пред предлагането, подобряване на качеството на рибата и рибните продукти, за да могат те да отговорят на международните СФМ, подобряване на достъпа до пазара на ЕС, разглеждане на пречките пред вътрешнорегионалната търговия, привличане на приток на капитали и на инвестиции в сектора, изграждане на капацитет и увеличаване достъпа до финансова подкрепа за частните инвеститори за развитието на сладководния риболов и аквакултурите.</w:t>
      </w:r>
    </w:p>
    <w:p>
      <w:pPr>
        <w:jc w:val="center"/>
        <w:rPr>
          <w:rFonts w:eastAsia="Times New Roman"/>
          <w:b/>
          <w:bCs/>
          <w:smallCaps/>
          <w:noProof/>
          <w:szCs w:val="24"/>
        </w:rPr>
      </w:pPr>
      <w:bookmarkStart w:id="22" w:name="_Toc401595119"/>
      <w:r>
        <w:rPr>
          <w:b/>
          <w:smallCaps/>
          <w:noProof/>
        </w:rPr>
        <w:t xml:space="preserve">ЧАСТ IV: </w:t>
      </w:r>
      <w:r>
        <w:rPr>
          <w:b/>
          <w:noProof/>
        </w:rPr>
        <w:t>СЕЛСКО СТОПАНСТВО</w:t>
      </w:r>
      <w:bookmarkEnd w:id="22"/>
    </w:p>
    <w:p>
      <w:pPr>
        <w:pStyle w:val="Titrearticle"/>
        <w:rPr>
          <w:rFonts w:eastAsia="Times New Roman"/>
          <w:b/>
          <w:noProof/>
          <w:szCs w:val="24"/>
        </w:rPr>
      </w:pPr>
      <w:r>
        <w:rPr>
          <w:b/>
          <w:noProof/>
        </w:rPr>
        <w:t>ЧЛЕН 57</w:t>
      </w:r>
    </w:p>
    <w:p>
      <w:pPr>
        <w:jc w:val="center"/>
        <w:rPr>
          <w:rFonts w:eastAsia="Times New Roman"/>
          <w:b/>
          <w:noProof/>
          <w:szCs w:val="24"/>
        </w:rPr>
      </w:pPr>
      <w:r>
        <w:rPr>
          <w:b/>
          <w:noProof/>
        </w:rPr>
        <w:t xml:space="preserve">Обхват и определения </w:t>
      </w:r>
    </w:p>
    <w:p>
      <w:pPr>
        <w:pStyle w:val="ManualNumPar1"/>
        <w:rPr>
          <w:rFonts w:eastAsia="Times New Roman"/>
          <w:noProof/>
          <w:szCs w:val="24"/>
        </w:rPr>
      </w:pPr>
      <w:r>
        <w:rPr>
          <w:noProof/>
        </w:rPr>
        <w:t>1.</w:t>
      </w:r>
      <w:r>
        <w:rPr>
          <w:noProof/>
        </w:rPr>
        <w:tab/>
        <w:t>Разпоредбите на настоящата част се прилагат за растениевъдството и животновъдството, включително за отглеждането на насекоми за стопански цели.</w:t>
      </w:r>
    </w:p>
    <w:p>
      <w:pPr>
        <w:pStyle w:val="ManualNumPar1"/>
        <w:rPr>
          <w:rFonts w:eastAsia="Times New Roman"/>
          <w:noProof/>
          <w:szCs w:val="24"/>
        </w:rPr>
      </w:pPr>
      <w:r>
        <w:rPr>
          <w:noProof/>
        </w:rPr>
        <w:t>2.</w:t>
      </w:r>
      <w:r>
        <w:rPr>
          <w:noProof/>
        </w:rPr>
        <w:tab/>
        <w:t>За целите на настоящата част и дял II от част V се прилагат следните определения:</w:t>
      </w:r>
    </w:p>
    <w:p>
      <w:pPr>
        <w:pStyle w:val="Point1"/>
        <w:rPr>
          <w:noProof/>
        </w:rPr>
      </w:pPr>
      <w:r>
        <w:rPr>
          <w:noProof/>
        </w:rPr>
        <w:t>а)</w:t>
      </w:r>
      <w:r>
        <w:rPr>
          <w:noProof/>
        </w:rPr>
        <w:tab/>
        <w:t>„селско стопанство“ включва растениевъдството, животновъдството и отглеждането на насекоми за стопански цели;</w:t>
      </w:r>
    </w:p>
    <w:p>
      <w:pPr>
        <w:pStyle w:val="Point1"/>
        <w:rPr>
          <w:rFonts w:eastAsia="Times New Roman"/>
          <w:noProof/>
        </w:rPr>
      </w:pPr>
      <w:r>
        <w:rPr>
          <w:noProof/>
        </w:rPr>
        <w:t>б)</w:t>
      </w:r>
      <w:r>
        <w:rPr>
          <w:noProof/>
        </w:rPr>
        <w:tab/>
        <w:t>„селскостопански продукти“ са продуктите, попадащи в обхвата на приложение I към Споразумението на СТО за селското стопанство;</w:t>
      </w:r>
    </w:p>
    <w:p>
      <w:pPr>
        <w:pStyle w:val="Point1"/>
        <w:rPr>
          <w:rFonts w:eastAsia="Times New Roman"/>
          <w:noProof/>
        </w:rPr>
      </w:pPr>
      <w:r>
        <w:rPr>
          <w:noProof/>
        </w:rPr>
        <w:t>в)</w:t>
      </w:r>
      <w:r>
        <w:rPr>
          <w:noProof/>
        </w:rPr>
        <w:tab/>
        <w:t>„финансиране на селското стопанство“ означава предоставяне на финансови ресурси в подкрепа на дейности, свързани със селското стопанство, по цялата верига за създаване на стойност, като доставки на суровини, селскостопански услуги, производство, съхранение, дистрибуция, преобразуване и пускане на пазара на продуктите;</w:t>
      </w:r>
    </w:p>
    <w:p>
      <w:pPr>
        <w:pStyle w:val="Point1"/>
        <w:rPr>
          <w:rFonts w:eastAsia="Times New Roman"/>
          <w:noProof/>
        </w:rPr>
      </w:pPr>
      <w:r>
        <w:rPr>
          <w:noProof/>
        </w:rPr>
        <w:lastRenderedPageBreak/>
        <w:t>г)</w:t>
      </w:r>
      <w:r>
        <w:rPr>
          <w:noProof/>
        </w:rPr>
        <w:tab/>
        <w:t>„селскостопански суровини“ означава всички вещества или материали, оборудване и инструменти, използвани при производството и обработката на селскостопански продукти;</w:t>
      </w:r>
    </w:p>
    <w:p>
      <w:pPr>
        <w:pStyle w:val="Point1"/>
        <w:rPr>
          <w:rFonts w:eastAsia="Times New Roman"/>
          <w:noProof/>
        </w:rPr>
      </w:pPr>
      <w:r>
        <w:rPr>
          <w:noProof/>
        </w:rPr>
        <w:t>д)</w:t>
      </w:r>
      <w:r>
        <w:rPr>
          <w:noProof/>
        </w:rPr>
        <w:tab/>
        <w:t xml:space="preserve">„устойчива селскостопанска технология“ означава технология, създадена като специално са взети предвид нейните екологични, социални и икономически въздействия; </w:t>
      </w:r>
    </w:p>
    <w:p>
      <w:pPr>
        <w:pStyle w:val="Point1"/>
        <w:rPr>
          <w:rFonts w:eastAsia="Times New Roman"/>
          <w:noProof/>
        </w:rPr>
      </w:pPr>
      <w:r>
        <w:rPr>
          <w:noProof/>
        </w:rPr>
        <w:t>е)</w:t>
      </w:r>
      <w:r>
        <w:rPr>
          <w:noProof/>
        </w:rPr>
        <w:tab/>
        <w:t xml:space="preserve">„продоволствена сигурност и сигурност на храните“ означава, че всички хора по всяко време имат физически и икономически достъп до безопасна, достатъчна като количество и питателна храна, за да задоволят своите нужди за продуктивен и здравословен начин на живот; </w:t>
      </w:r>
    </w:p>
    <w:p>
      <w:pPr>
        <w:pStyle w:val="Point1"/>
        <w:rPr>
          <w:rFonts w:eastAsia="Times New Roman"/>
          <w:noProof/>
        </w:rPr>
      </w:pPr>
      <w:r>
        <w:rPr>
          <w:noProof/>
        </w:rPr>
        <w:t>ж)</w:t>
      </w:r>
      <w:r>
        <w:rPr>
          <w:noProof/>
        </w:rPr>
        <w:tab/>
        <w:t>„осигуряване на препитанието“ се определя като адекватен и устойчив достъп до доходи и ресурси за задоволяване на основните нужди по справедлив начин (включително адекватен достъп до храна, питейна вода, здравни услуги, възможности за образование, жилищно настаняване и време за участие в живота на общността и социална интеграция);</w:t>
      </w:r>
    </w:p>
    <w:p>
      <w:pPr>
        <w:pStyle w:val="Point1"/>
        <w:rPr>
          <w:rFonts w:eastAsia="Times New Roman"/>
          <w:noProof/>
        </w:rPr>
      </w:pPr>
      <w:r>
        <w:rPr>
          <w:noProof/>
        </w:rPr>
        <w:t>з)</w:t>
      </w:r>
      <w:r>
        <w:rPr>
          <w:noProof/>
        </w:rPr>
        <w:tab/>
        <w:t xml:space="preserve">„природно бедствие“ е следствие от разрушителни природни явления, например суша, земетресения, свлачища, изригвания на вулкани, наводнения, вредители и болести; </w:t>
      </w:r>
    </w:p>
    <w:p>
      <w:pPr>
        <w:pStyle w:val="Point1"/>
        <w:rPr>
          <w:rFonts w:eastAsia="Times New Roman"/>
          <w:noProof/>
        </w:rPr>
      </w:pPr>
      <w:r>
        <w:rPr>
          <w:noProof/>
        </w:rPr>
        <w:t>и)</w:t>
      </w:r>
      <w:r>
        <w:rPr>
          <w:noProof/>
        </w:rPr>
        <w:tab/>
        <w:t xml:space="preserve">„дребни селскостопански производители“ са производителите с ограничени ресурси, притежаващи малко парче земя с размер под два (2) хектара, чиято дейност е с твърде малък мащаб, за да може да привлече предоставянето на услуги, необходими за значително повишаване на производителността и за увеличаване на пазарните възможности; </w:t>
      </w:r>
    </w:p>
    <w:p>
      <w:pPr>
        <w:pStyle w:val="Point1"/>
        <w:rPr>
          <w:rFonts w:eastAsia="Times New Roman"/>
          <w:noProof/>
          <w:color w:val="76923C"/>
        </w:rPr>
      </w:pPr>
      <w:r>
        <w:rPr>
          <w:noProof/>
        </w:rPr>
        <w:t>й)</w:t>
      </w:r>
      <w:r>
        <w:rPr>
          <w:noProof/>
        </w:rPr>
        <w:tab/>
        <w:t>„устойчиво развитие“ в контекста на настоящата част включва управлението и опазването на природните ресурси, служещи за основа на икономическото и социалното развитие, по такъв начин, че да са насочени към задоволяване на човешките потребности за настоящите и бъдещите поколения.</w:t>
      </w:r>
    </w:p>
    <w:p>
      <w:pPr>
        <w:pStyle w:val="Titrearticle"/>
        <w:rPr>
          <w:rFonts w:eastAsia="Times New Roman"/>
          <w:b/>
          <w:bCs/>
          <w:noProof/>
          <w:szCs w:val="24"/>
        </w:rPr>
      </w:pPr>
      <w:r>
        <w:rPr>
          <w:b/>
          <w:noProof/>
        </w:rPr>
        <w:t>ЧЛЕН 58</w:t>
      </w:r>
    </w:p>
    <w:p>
      <w:pPr>
        <w:jc w:val="center"/>
        <w:rPr>
          <w:rFonts w:eastAsia="Times New Roman"/>
          <w:b/>
          <w:noProof/>
          <w:szCs w:val="24"/>
        </w:rPr>
      </w:pPr>
      <w:r>
        <w:rPr>
          <w:b/>
          <w:noProof/>
        </w:rPr>
        <w:t>Цели</w:t>
      </w:r>
    </w:p>
    <w:p>
      <w:pPr>
        <w:pStyle w:val="ManualNumPar1"/>
        <w:rPr>
          <w:rFonts w:eastAsia="Times New Roman"/>
          <w:noProof/>
          <w:szCs w:val="24"/>
        </w:rPr>
      </w:pPr>
      <w:r>
        <w:rPr>
          <w:noProof/>
        </w:rPr>
        <w:t>1.</w:t>
      </w:r>
      <w:r>
        <w:rPr>
          <w:noProof/>
        </w:rPr>
        <w:tab/>
        <w:t xml:space="preserve">Страните се споразумяват, че фундаменталната цел на настоящата част е устойчиво развитие на селското стопанство, което включва, но не е ограничено до продоволствената сигурност и осигуряването на препитанието, развитието на селските райони и намаляването на бедността в държавите партньори от ИАО. </w:t>
      </w:r>
    </w:p>
    <w:p>
      <w:pPr>
        <w:pStyle w:val="ManualNumPar1"/>
        <w:rPr>
          <w:rFonts w:eastAsia="Times New Roman"/>
          <w:noProof/>
          <w:szCs w:val="24"/>
        </w:rPr>
      </w:pPr>
      <w:r>
        <w:rPr>
          <w:noProof/>
        </w:rPr>
        <w:t>2.</w:t>
      </w:r>
      <w:r>
        <w:rPr>
          <w:noProof/>
        </w:rPr>
        <w:tab/>
        <w:t>Целите на настоящата част са:</w:t>
      </w:r>
    </w:p>
    <w:p>
      <w:pPr>
        <w:pStyle w:val="Point1"/>
        <w:rPr>
          <w:rFonts w:eastAsia="Times New Roman"/>
          <w:noProof/>
        </w:rPr>
      </w:pPr>
      <w:r>
        <w:rPr>
          <w:noProof/>
        </w:rPr>
        <w:t>а)</w:t>
      </w:r>
      <w:r>
        <w:rPr>
          <w:noProof/>
        </w:rPr>
        <w:tab/>
        <w:t>насърчаване на сътрудничеството между страните с оглед създаването на благосъстояние и подобряването на качеството на живот на хората, осъществяващи селскостопанска дейност, посредством увеличаване на производството, производителността и пазарния дял;</w:t>
      </w:r>
    </w:p>
    <w:p>
      <w:pPr>
        <w:pStyle w:val="Point1"/>
        <w:rPr>
          <w:rFonts w:eastAsia="Times New Roman"/>
          <w:noProof/>
        </w:rPr>
      </w:pPr>
      <w:r>
        <w:rPr>
          <w:noProof/>
        </w:rPr>
        <w:t>б)</w:t>
      </w:r>
      <w:r>
        <w:rPr>
          <w:noProof/>
        </w:rPr>
        <w:tab/>
        <w:t xml:space="preserve">подобряване на продоволствената сигурност и сигурността на храните в държавите партньори от ИАО, като се насърчават създаването на </w:t>
      </w:r>
      <w:r>
        <w:rPr>
          <w:noProof/>
        </w:rPr>
        <w:lastRenderedPageBreak/>
        <w:t>добавена стойност, увеличаването на продукцията, качеството, безопасността, пазарната интеграция, търговията, наличността и достъпността;</w:t>
      </w:r>
    </w:p>
    <w:p>
      <w:pPr>
        <w:pStyle w:val="Point1"/>
        <w:rPr>
          <w:rFonts w:eastAsia="Times New Roman"/>
          <w:noProof/>
        </w:rPr>
      </w:pPr>
      <w:r>
        <w:rPr>
          <w:noProof/>
        </w:rPr>
        <w:t>в)</w:t>
      </w:r>
      <w:r>
        <w:rPr>
          <w:noProof/>
        </w:rPr>
        <w:tab/>
        <w:t xml:space="preserve">допринасяне за осигуряването на платена професионална дейност по цялата верига за създаване на стойност на модернизирания сектор на селското стопанство; </w:t>
      </w:r>
    </w:p>
    <w:p>
      <w:pPr>
        <w:pStyle w:val="Point1"/>
        <w:rPr>
          <w:rFonts w:eastAsia="Times New Roman"/>
          <w:noProof/>
        </w:rPr>
      </w:pPr>
      <w:r>
        <w:rPr>
          <w:noProof/>
        </w:rPr>
        <w:t>г)</w:t>
      </w:r>
      <w:r>
        <w:rPr>
          <w:noProof/>
        </w:rPr>
        <w:tab/>
        <w:t xml:space="preserve">развитие на модерни и конкурентоспособни промишлени отрасли, основани на селското стопанство; </w:t>
      </w:r>
    </w:p>
    <w:p>
      <w:pPr>
        <w:pStyle w:val="Point1"/>
        <w:rPr>
          <w:rFonts w:eastAsia="Times New Roman"/>
          <w:noProof/>
        </w:rPr>
      </w:pPr>
      <w:r>
        <w:rPr>
          <w:noProof/>
        </w:rPr>
        <w:t>д)</w:t>
      </w:r>
      <w:r>
        <w:rPr>
          <w:noProof/>
        </w:rPr>
        <w:tab/>
        <w:t xml:space="preserve">насърчаване на устойчивото използване и управление на природните и културните ресурси чрез разработване на екологосъобразни и устойчиви технологии, които подобряват производителността в селското стопанство; </w:t>
      </w:r>
    </w:p>
    <w:p>
      <w:pPr>
        <w:pStyle w:val="Point1"/>
        <w:rPr>
          <w:rFonts w:eastAsia="Times New Roman"/>
          <w:noProof/>
        </w:rPr>
      </w:pPr>
      <w:r>
        <w:rPr>
          <w:noProof/>
        </w:rPr>
        <w:t>е)</w:t>
      </w:r>
      <w:r>
        <w:rPr>
          <w:noProof/>
        </w:rPr>
        <w:tab/>
        <w:t>допринасяне за конкурентоспособността чрез насърчаване на създаването на добавена стойност по цялата верига на доставки с цел получаване на достъп до пазарите;</w:t>
      </w:r>
    </w:p>
    <w:p>
      <w:pPr>
        <w:pStyle w:val="Point1"/>
        <w:rPr>
          <w:rFonts w:eastAsia="Times New Roman"/>
          <w:noProof/>
        </w:rPr>
      </w:pPr>
      <w:r>
        <w:rPr>
          <w:noProof/>
        </w:rPr>
        <w:t>ж)</w:t>
      </w:r>
      <w:r>
        <w:rPr>
          <w:noProof/>
        </w:rPr>
        <w:tab/>
        <w:t>подобряване на доходите на производителите, като се развива пускането на пазара на селскостопански продукти с добавена стойност;</w:t>
      </w:r>
    </w:p>
    <w:p>
      <w:pPr>
        <w:pStyle w:val="Point1"/>
        <w:rPr>
          <w:rFonts w:eastAsia="Times New Roman"/>
          <w:noProof/>
        </w:rPr>
      </w:pPr>
      <w:r>
        <w:rPr>
          <w:noProof/>
        </w:rPr>
        <w:t>з)</w:t>
      </w:r>
      <w:r>
        <w:rPr>
          <w:noProof/>
        </w:rPr>
        <w:tab/>
        <w:t xml:space="preserve">улесняване на приспособяването на селскостопанския сектор и на икономиката в селските райони, за да се справят с глобалните икономически промени; </w:t>
      </w:r>
    </w:p>
    <w:p>
      <w:pPr>
        <w:pStyle w:val="Point1"/>
        <w:rPr>
          <w:rFonts w:eastAsia="Times New Roman"/>
          <w:noProof/>
        </w:rPr>
      </w:pPr>
      <w:r>
        <w:rPr>
          <w:noProof/>
        </w:rPr>
        <w:t>и)</w:t>
      </w:r>
      <w:r>
        <w:rPr>
          <w:noProof/>
        </w:rPr>
        <w:tab/>
        <w:t>мобилизиране и увеличаване на икономическата ефективност на дребните селскостопански производители чрез изграждане на капацитет на организациите на селскостопанските производители;</w:t>
      </w:r>
    </w:p>
    <w:p>
      <w:pPr>
        <w:pStyle w:val="Point1"/>
        <w:rPr>
          <w:rFonts w:eastAsia="Times New Roman"/>
          <w:noProof/>
        </w:rPr>
      </w:pPr>
      <w:r>
        <w:rPr>
          <w:noProof/>
        </w:rPr>
        <w:t>й)</w:t>
      </w:r>
      <w:r>
        <w:rPr>
          <w:noProof/>
        </w:rPr>
        <w:tab/>
        <w:t>подобряване на улесняването на търговията и пазара за селскостопанските суровини с цел увеличаване на приходите в чуждестранна валута;</w:t>
      </w:r>
    </w:p>
    <w:p>
      <w:pPr>
        <w:pStyle w:val="Point1"/>
        <w:rPr>
          <w:rFonts w:eastAsia="Times New Roman"/>
          <w:noProof/>
          <w:szCs w:val="24"/>
        </w:rPr>
      </w:pPr>
      <w:r>
        <w:rPr>
          <w:noProof/>
        </w:rPr>
        <w:t>к)</w:t>
      </w:r>
      <w:r>
        <w:rPr>
          <w:noProof/>
        </w:rPr>
        <w:tab/>
        <w:t>подобряване на инфраструктурата в рамките на държавите партньори от ИАО за насърчаване на производството, производителността, пускането на пазара и дистрибуцията на селскостопански суровини и продукти, като се обръща особено внимание на складирането, сортирането, обработката, опаковането и транспорта.</w:t>
      </w:r>
    </w:p>
    <w:p>
      <w:pPr>
        <w:pStyle w:val="Titrearticle"/>
        <w:rPr>
          <w:rFonts w:eastAsia="Times New Roman"/>
          <w:b/>
          <w:noProof/>
          <w:szCs w:val="24"/>
        </w:rPr>
      </w:pPr>
      <w:r>
        <w:rPr>
          <w:b/>
          <w:noProof/>
        </w:rPr>
        <w:t>ЧЛЕН 59</w:t>
      </w:r>
    </w:p>
    <w:p>
      <w:pPr>
        <w:jc w:val="center"/>
        <w:rPr>
          <w:rFonts w:eastAsia="Times New Roman"/>
          <w:b/>
          <w:noProof/>
          <w:szCs w:val="24"/>
        </w:rPr>
      </w:pPr>
      <w:r>
        <w:rPr>
          <w:b/>
          <w:noProof/>
        </w:rPr>
        <w:t>Общи принципи</w:t>
      </w:r>
    </w:p>
    <w:p>
      <w:pPr>
        <w:pStyle w:val="ManualNumPar1"/>
        <w:rPr>
          <w:rFonts w:eastAsia="Times New Roman"/>
          <w:noProof/>
          <w:szCs w:val="24"/>
        </w:rPr>
      </w:pPr>
      <w:r>
        <w:rPr>
          <w:noProof/>
        </w:rPr>
        <w:t>1.</w:t>
      </w:r>
      <w:r>
        <w:rPr>
          <w:noProof/>
        </w:rPr>
        <w:tab/>
        <w:t xml:space="preserve">Страните признават значението на селското стопанство в икономиките на държавите партньори от ИАО като основен източник на препитание за по-голямата част от населението на държавите партньори от ИАО, като основен фактор за гарантиране на продоволствената сигурност и сигурността на храните, като потенциален сектор за голям растеж и добавена стойност и като източник на приходи от износ. </w:t>
      </w:r>
    </w:p>
    <w:p>
      <w:pPr>
        <w:pStyle w:val="ManualNumPar1"/>
        <w:rPr>
          <w:rFonts w:eastAsia="Times New Roman"/>
          <w:noProof/>
          <w:szCs w:val="24"/>
        </w:rPr>
      </w:pPr>
      <w:r>
        <w:rPr>
          <w:noProof/>
        </w:rPr>
        <w:t>2.</w:t>
      </w:r>
      <w:r>
        <w:rPr>
          <w:noProof/>
        </w:rPr>
        <w:tab/>
        <w:t xml:space="preserve">С оглед на многофункционалната роля, която селското стопанство играе в икономиката на държавите партньори от ИАО, страните се споразумяват да използват всеобхватен подход към селското стопанство като основа за устойчиво развитие. </w:t>
      </w:r>
    </w:p>
    <w:p>
      <w:pPr>
        <w:pStyle w:val="ManualNumPar1"/>
        <w:rPr>
          <w:rFonts w:eastAsia="Times New Roman"/>
          <w:noProof/>
          <w:szCs w:val="24"/>
        </w:rPr>
      </w:pPr>
      <w:r>
        <w:rPr>
          <w:noProof/>
        </w:rPr>
        <w:lastRenderedPageBreak/>
        <w:t>3.</w:t>
      </w:r>
      <w:r>
        <w:rPr>
          <w:noProof/>
        </w:rPr>
        <w:tab/>
        <w:t>Страните се споразумяват да си сътрудничат за насърчаване на устойчивия растеж на селското стопанство, като вземат предвид неговите различни аспекти и разнообразието в икономическите, социалните и екологичните характеристики и в стратегиите за развитие на държавите партньори от ИАО.</w:t>
      </w:r>
    </w:p>
    <w:p>
      <w:pPr>
        <w:pStyle w:val="ManualNumPar1"/>
        <w:rPr>
          <w:rFonts w:eastAsia="Times New Roman"/>
          <w:noProof/>
          <w:szCs w:val="24"/>
        </w:rPr>
      </w:pPr>
      <w:r>
        <w:rPr>
          <w:noProof/>
        </w:rPr>
        <w:t>4.</w:t>
      </w:r>
      <w:r>
        <w:rPr>
          <w:noProof/>
        </w:rPr>
        <w:tab/>
        <w:t>Страните признават, че по-дълбоката интеграция на селскостопанския сектор в държавите партньори от ИАО ще допринесе за разширяването на вътрешнорегионалните пазари и ще увеличи възможностите за инвестиции и развитие на частния сектор.</w:t>
      </w:r>
    </w:p>
    <w:p>
      <w:pPr>
        <w:pStyle w:val="ManualNumPar1"/>
        <w:rPr>
          <w:rFonts w:eastAsia="Times New Roman"/>
          <w:noProof/>
          <w:szCs w:val="24"/>
        </w:rPr>
      </w:pPr>
      <w:r>
        <w:rPr>
          <w:noProof/>
        </w:rPr>
        <w:t>5.</w:t>
      </w:r>
      <w:r>
        <w:rPr>
          <w:noProof/>
        </w:rPr>
        <w:tab/>
        <w:t>Страните признават значението на оказването на подкрепа за селскостопанското производство, насърчаването на създаването на добавена стойност, инициативите за развитие на търговията със селскостопански продукти и на пазара на селскостопански продукти чрез подходящи инструменти и осигуряването на подходяща регулаторна рамка с цел да се отговори на променящите се пазарни условия. Във връзка с това страните са решени да работят заедно, за да се привлекат необходимите инвестиции в държавите партньори от ИАО.</w:t>
      </w:r>
    </w:p>
    <w:p>
      <w:pPr>
        <w:pStyle w:val="ManualNumPar1"/>
        <w:rPr>
          <w:rFonts w:eastAsia="Times New Roman"/>
          <w:bCs/>
          <w:noProof/>
          <w:szCs w:val="24"/>
        </w:rPr>
      </w:pPr>
      <w:r>
        <w:rPr>
          <w:noProof/>
        </w:rPr>
        <w:t>6.</w:t>
      </w:r>
      <w:r>
        <w:rPr>
          <w:noProof/>
        </w:rPr>
        <w:tab/>
        <w:t>Страните се съгласяват, че селскостопанските приоритети, разгледани в настоящата част, са ясно свързани с регионалната всеобхватна рамка на политиката за продоволствена сигурност и сигурност на храните и за намаляването на бедността, за да се осигури съгласуваност и насоченост на регионалната програма за развитие.</w:t>
      </w:r>
    </w:p>
    <w:p>
      <w:pPr>
        <w:pStyle w:val="Titrearticle"/>
        <w:rPr>
          <w:rFonts w:eastAsia="Calibri"/>
          <w:b/>
          <w:bCs/>
          <w:noProof/>
          <w:szCs w:val="24"/>
        </w:rPr>
      </w:pPr>
      <w:r>
        <w:rPr>
          <w:b/>
          <w:noProof/>
        </w:rPr>
        <w:t>ЧЛЕН 60</w:t>
      </w:r>
    </w:p>
    <w:p>
      <w:pPr>
        <w:jc w:val="center"/>
        <w:rPr>
          <w:rFonts w:eastAsia="Times New Roman"/>
          <w:b/>
          <w:noProof/>
          <w:szCs w:val="24"/>
        </w:rPr>
      </w:pPr>
      <w:r>
        <w:rPr>
          <w:b/>
          <w:noProof/>
        </w:rPr>
        <w:t>Всеобхватен диалог</w:t>
      </w:r>
    </w:p>
    <w:p>
      <w:pPr>
        <w:pStyle w:val="ManualNumPar1"/>
        <w:rPr>
          <w:rFonts w:eastAsia="Calibri" w:cs="Courier New"/>
          <w:bCs/>
          <w:noProof/>
          <w:szCs w:val="24"/>
        </w:rPr>
      </w:pPr>
      <w:r>
        <w:rPr>
          <w:noProof/>
        </w:rPr>
        <w:t>1.</w:t>
      </w:r>
      <w:r>
        <w:rPr>
          <w:noProof/>
        </w:rPr>
        <w:tab/>
        <w:t xml:space="preserve">ЕС и ИАО установяват всеобхватен диалог помежду си по въпросите на политиката за селско стопанство и развитие на селските райони („диалога за селското стопанство“) по всички въпроси, обхванати от настоящата част. В рамките на диалога за селското стопанство ще се наблюдава напредъкът при прилагането на настоящата част, като той представлява форум за обмен и сътрудничество във връзка със съответните национални селскостопански политики на страните, и по-специално във връзка с ролята на селското стопанство в държавите партньори от ИАО за увеличаване на доходите на селскостопанските производители, продоволствената сигурност, устойчивото използване на ресурсите, развитието на селските райони и икономическия растеж. </w:t>
      </w:r>
    </w:p>
    <w:p>
      <w:pPr>
        <w:pStyle w:val="ManualNumPar1"/>
        <w:rPr>
          <w:rFonts w:eastAsia="Calibri" w:cs="Courier New"/>
          <w:bCs/>
          <w:noProof/>
          <w:szCs w:val="24"/>
        </w:rPr>
      </w:pPr>
      <w:r>
        <w:rPr>
          <w:noProof/>
        </w:rPr>
        <w:t>2.</w:t>
      </w:r>
      <w:r>
        <w:rPr>
          <w:noProof/>
        </w:rPr>
        <w:tab/>
        <w:t xml:space="preserve">Диалогът за селското стопанство се осъществява в рамките на Комитета на висшите служители, създаден по силата на член 106. </w:t>
      </w:r>
    </w:p>
    <w:p>
      <w:pPr>
        <w:pStyle w:val="ManualNumPar1"/>
        <w:rPr>
          <w:rFonts w:eastAsia="Times New Roman"/>
          <w:noProof/>
          <w:szCs w:val="24"/>
        </w:rPr>
      </w:pPr>
      <w:r>
        <w:rPr>
          <w:noProof/>
        </w:rPr>
        <w:t>3.</w:t>
      </w:r>
      <w:r>
        <w:rPr>
          <w:noProof/>
        </w:rPr>
        <w:tab/>
        <w:t>Страните установяват работните процедури и условия на диалога за селското стопанство по взаимно съгласие.</w:t>
      </w:r>
    </w:p>
    <w:p>
      <w:pPr>
        <w:pStyle w:val="Titrearticle"/>
        <w:rPr>
          <w:rFonts w:eastAsia="Times New Roman"/>
          <w:b/>
          <w:noProof/>
          <w:szCs w:val="24"/>
        </w:rPr>
      </w:pPr>
      <w:r>
        <w:rPr>
          <w:b/>
          <w:noProof/>
        </w:rPr>
        <w:t>ЧЛЕН 61</w:t>
      </w:r>
    </w:p>
    <w:p>
      <w:pPr>
        <w:jc w:val="center"/>
        <w:rPr>
          <w:rFonts w:eastAsia="Times New Roman"/>
          <w:b/>
          <w:noProof/>
          <w:szCs w:val="24"/>
        </w:rPr>
      </w:pPr>
      <w:r>
        <w:rPr>
          <w:b/>
          <w:noProof/>
        </w:rPr>
        <w:t>Регионална интеграция</w:t>
      </w:r>
    </w:p>
    <w:p>
      <w:pPr>
        <w:rPr>
          <w:noProof/>
        </w:rPr>
      </w:pPr>
      <w:r>
        <w:rPr>
          <w:noProof/>
        </w:rPr>
        <w:t xml:space="preserve">Страните признават, че чрез постепенното премахване на пречките и осигуряването на подходяща регулаторна и институционална рамка, както и чрез хармонизацията и </w:t>
      </w:r>
      <w:r>
        <w:rPr>
          <w:noProof/>
        </w:rPr>
        <w:lastRenderedPageBreak/>
        <w:t>сближаването на политиките, интеграцията в селскостопанския сектор в държавите партньори от ИАО ще допринесе за задълбочаването на процеса на регионална интеграция и по този начин ще допринесе за разширяването на регионалните пазари, което ще увеличи възможностите за инвестиции и развитие на частния сектор.</w:t>
      </w:r>
    </w:p>
    <w:p>
      <w:pPr>
        <w:pStyle w:val="Titrearticle"/>
        <w:rPr>
          <w:rFonts w:eastAsia="Times New Roman"/>
          <w:b/>
          <w:noProof/>
          <w:szCs w:val="24"/>
        </w:rPr>
      </w:pPr>
      <w:r>
        <w:rPr>
          <w:b/>
          <w:noProof/>
        </w:rPr>
        <w:t>ЧЛЕН 62</w:t>
      </w:r>
    </w:p>
    <w:p>
      <w:pPr>
        <w:jc w:val="center"/>
        <w:rPr>
          <w:rFonts w:eastAsia="Times New Roman"/>
          <w:b/>
          <w:noProof/>
          <w:szCs w:val="24"/>
        </w:rPr>
      </w:pPr>
      <w:r>
        <w:rPr>
          <w:b/>
          <w:noProof/>
        </w:rPr>
        <w:t>Спомагателни политики</w:t>
      </w:r>
    </w:p>
    <w:p>
      <w:pPr>
        <w:rPr>
          <w:rFonts w:eastAsia="Times New Roman"/>
          <w:b/>
          <w:noProof/>
          <w:szCs w:val="24"/>
          <w:highlight w:val="lightGray"/>
        </w:rPr>
      </w:pPr>
      <w:r>
        <w:rPr>
          <w:noProof/>
        </w:rPr>
        <w:t>Страните признават значението на приемането и прилагането на политики и институционални реформи, с които да се направи възможно и да се улесни постигането на целите на настоящата част.</w:t>
      </w:r>
    </w:p>
    <w:p>
      <w:pPr>
        <w:pStyle w:val="Titrearticle"/>
        <w:rPr>
          <w:rFonts w:eastAsia="Times New Roman"/>
          <w:b/>
          <w:noProof/>
          <w:szCs w:val="24"/>
        </w:rPr>
      </w:pPr>
      <w:r>
        <w:rPr>
          <w:b/>
          <w:noProof/>
        </w:rPr>
        <w:t>ЧЛЕН 63</w:t>
      </w:r>
    </w:p>
    <w:p>
      <w:pPr>
        <w:jc w:val="center"/>
        <w:rPr>
          <w:rFonts w:eastAsia="Times New Roman"/>
          <w:noProof/>
          <w:szCs w:val="24"/>
        </w:rPr>
      </w:pPr>
      <w:r>
        <w:rPr>
          <w:b/>
          <w:noProof/>
        </w:rPr>
        <w:t>Устойчиво развитие на селското стопанство</w:t>
      </w:r>
    </w:p>
    <w:p>
      <w:pPr>
        <w:rPr>
          <w:rFonts w:eastAsia="Times New Roman"/>
          <w:noProof/>
          <w:szCs w:val="24"/>
        </w:rPr>
      </w:pPr>
      <w:r>
        <w:rPr>
          <w:noProof/>
        </w:rPr>
        <w:t>Страните си сътрудничат за постигането на устойчиво развитие на селското стопанство със специален акцент върху подкрепата за уязвимото население в селските райони в държавите партньори от ИАО в контекста на променящите се световни модели на производство и търговия, както и на потребителския вкус и предпочитания.</w:t>
      </w:r>
    </w:p>
    <w:p>
      <w:pPr>
        <w:pStyle w:val="Titrearticle"/>
        <w:rPr>
          <w:rFonts w:eastAsia="Times New Roman"/>
          <w:b/>
          <w:noProof/>
          <w:szCs w:val="24"/>
        </w:rPr>
      </w:pPr>
      <w:r>
        <w:rPr>
          <w:b/>
          <w:noProof/>
        </w:rPr>
        <w:t>ЧЛЕН 64</w:t>
      </w:r>
    </w:p>
    <w:p>
      <w:pPr>
        <w:jc w:val="center"/>
        <w:rPr>
          <w:rFonts w:eastAsia="Times New Roman"/>
          <w:b/>
          <w:noProof/>
          <w:szCs w:val="24"/>
        </w:rPr>
      </w:pPr>
      <w:r>
        <w:rPr>
          <w:b/>
          <w:noProof/>
        </w:rPr>
        <w:t>Продоволствена сигурност и сигурност на храните</w:t>
      </w:r>
    </w:p>
    <w:p>
      <w:pPr>
        <w:pStyle w:val="ManualNumPar1"/>
        <w:rPr>
          <w:rFonts w:eastAsia="Calibri" w:cs="Courier New"/>
          <w:bCs/>
          <w:noProof/>
          <w:szCs w:val="24"/>
        </w:rPr>
      </w:pPr>
      <w:r>
        <w:rPr>
          <w:noProof/>
          <w:color w:val="000000"/>
        </w:rPr>
        <w:t>1.</w:t>
      </w:r>
      <w:r>
        <w:rPr>
          <w:noProof/>
        </w:rPr>
        <w:tab/>
        <w:t>Страните се споразумяват, че разпоредбите на настоящото споразумение следва да позволяват на държавите партньори от ИАО да предприемат ефективни мерки за постигане на продоволствена сигурност и сигурност на храните и устойчиво развитие на селското стопанство, както и да разработят търговски селскостопански пазари в региона, за да се гарантира продоволствената сигурност и сигурността на храните.</w:t>
      </w:r>
    </w:p>
    <w:p>
      <w:pPr>
        <w:pStyle w:val="ManualNumPar1"/>
        <w:rPr>
          <w:rFonts w:eastAsia="Times New Roman"/>
          <w:noProof/>
          <w:color w:val="000000"/>
          <w:szCs w:val="24"/>
        </w:rPr>
      </w:pPr>
      <w:r>
        <w:rPr>
          <w:noProof/>
        </w:rPr>
        <w:t>2.</w:t>
      </w:r>
      <w:r>
        <w:rPr>
          <w:noProof/>
        </w:rPr>
        <w:tab/>
        <w:t>Страните гарантират, че действията, предприети съгласно настоящата част, са насочени към повишаване на продоволствената сигурност и сигурността на храните и към избягване на приемането на мерки, които биха могли да застрашат постигането на продоволствена сигурност и сигурност на храните на равнището на домакинствата и на национално и регионално равнище.</w:t>
      </w:r>
    </w:p>
    <w:p>
      <w:pPr>
        <w:pStyle w:val="Titrearticle"/>
        <w:rPr>
          <w:rFonts w:eastAsia="Times New Roman"/>
          <w:b/>
          <w:noProof/>
          <w:szCs w:val="24"/>
        </w:rPr>
      </w:pPr>
      <w:r>
        <w:rPr>
          <w:b/>
          <w:noProof/>
        </w:rPr>
        <w:t>ЧЛЕН 65</w:t>
      </w:r>
    </w:p>
    <w:p>
      <w:pPr>
        <w:jc w:val="center"/>
        <w:rPr>
          <w:rFonts w:eastAsia="Times New Roman"/>
          <w:b/>
          <w:noProof/>
          <w:szCs w:val="24"/>
        </w:rPr>
      </w:pPr>
      <w:r>
        <w:rPr>
          <w:b/>
          <w:noProof/>
        </w:rPr>
        <w:t>Управление на веригата за създаване на стойност</w:t>
      </w:r>
    </w:p>
    <w:p>
      <w:pPr>
        <w:rPr>
          <w:rFonts w:eastAsia="Times New Roman"/>
          <w:noProof/>
          <w:szCs w:val="24"/>
        </w:rPr>
      </w:pPr>
      <w:r>
        <w:rPr>
          <w:noProof/>
        </w:rPr>
        <w:t xml:space="preserve">Страните се споразумяват да създадат регионална стратегия за увеличаване на капацитета за предлагане в селското стопанство, за определяне на селскостопански подотрасли с висока стойност, за които регионът има конкурентно предимство, и за възползване от инвестициите, които могат да улеснят преминаването от сравнително към конкурентно предимство. </w:t>
      </w:r>
    </w:p>
    <w:p>
      <w:pPr>
        <w:pStyle w:val="Titrearticle"/>
        <w:rPr>
          <w:rFonts w:eastAsia="Times New Roman"/>
          <w:b/>
          <w:noProof/>
          <w:szCs w:val="24"/>
        </w:rPr>
      </w:pPr>
      <w:r>
        <w:rPr>
          <w:b/>
          <w:noProof/>
        </w:rPr>
        <w:t>ЧЛЕН 66</w:t>
      </w:r>
    </w:p>
    <w:p>
      <w:pPr>
        <w:jc w:val="center"/>
        <w:rPr>
          <w:rFonts w:eastAsia="Times New Roman"/>
          <w:b/>
          <w:noProof/>
          <w:szCs w:val="24"/>
        </w:rPr>
      </w:pPr>
      <w:r>
        <w:rPr>
          <w:b/>
          <w:noProof/>
        </w:rPr>
        <w:t xml:space="preserve">Системи за ранно предупреждение </w:t>
      </w:r>
    </w:p>
    <w:p>
      <w:pPr>
        <w:rPr>
          <w:rFonts w:eastAsia="Times New Roman"/>
          <w:noProof/>
          <w:szCs w:val="24"/>
        </w:rPr>
      </w:pPr>
      <w:r>
        <w:rPr>
          <w:noProof/>
        </w:rPr>
        <w:lastRenderedPageBreak/>
        <w:t>Страните признават необходимостта от създаване, подобряване и повишаване на ефективността на информационните системи за продоволствената сигурност, включително на националните системи за ранно предупреждение, както и на системите за оценка на уязвимостта и наблюдение, и от осъществяване на действия за изграждане на капацитет, във връзка със и чрез съществуващите международни и регионални механизми.</w:t>
      </w:r>
    </w:p>
    <w:p>
      <w:pPr>
        <w:pStyle w:val="Titrearticle"/>
        <w:rPr>
          <w:rFonts w:eastAsia="Times New Roman"/>
          <w:b/>
          <w:noProof/>
          <w:szCs w:val="24"/>
        </w:rPr>
      </w:pPr>
      <w:r>
        <w:rPr>
          <w:b/>
          <w:noProof/>
        </w:rPr>
        <w:t>ЧЛЕН 67</w:t>
      </w:r>
    </w:p>
    <w:p>
      <w:pPr>
        <w:jc w:val="center"/>
        <w:rPr>
          <w:rFonts w:eastAsia="Times New Roman"/>
          <w:b/>
          <w:noProof/>
          <w:szCs w:val="24"/>
        </w:rPr>
      </w:pPr>
      <w:r>
        <w:rPr>
          <w:b/>
          <w:noProof/>
        </w:rPr>
        <w:t>Технология</w:t>
      </w:r>
    </w:p>
    <w:p>
      <w:pPr>
        <w:rPr>
          <w:rFonts w:eastAsia="Times New Roman"/>
          <w:noProof/>
          <w:szCs w:val="24"/>
        </w:rPr>
      </w:pPr>
      <w:r>
        <w:rPr>
          <w:noProof/>
        </w:rPr>
        <w:t xml:space="preserve">Страните признават значението на съвременните и устойчиви селскостопански технологии и се споразумяват да развиват и насърчават прилагането на съвременни селскостопански технологии, които включват: </w:t>
      </w:r>
    </w:p>
    <w:p>
      <w:pPr>
        <w:pStyle w:val="Point0"/>
        <w:rPr>
          <w:noProof/>
        </w:rPr>
      </w:pPr>
      <w:r>
        <w:rPr>
          <w:noProof/>
        </w:rPr>
        <w:t>а)</w:t>
      </w:r>
      <w:r>
        <w:rPr>
          <w:noProof/>
        </w:rPr>
        <w:tab/>
        <w:t>устойчиви технологии за напояване и фертигация;</w:t>
      </w:r>
    </w:p>
    <w:p>
      <w:pPr>
        <w:pStyle w:val="Point0"/>
        <w:rPr>
          <w:noProof/>
        </w:rPr>
      </w:pPr>
      <w:r>
        <w:rPr>
          <w:noProof/>
        </w:rPr>
        <w:t>б)</w:t>
      </w:r>
      <w:r>
        <w:rPr>
          <w:noProof/>
        </w:rPr>
        <w:tab/>
        <w:t xml:space="preserve">тъканни култури и микроразмножаване; </w:t>
      </w:r>
    </w:p>
    <w:p>
      <w:pPr>
        <w:pStyle w:val="Point0"/>
        <w:rPr>
          <w:noProof/>
        </w:rPr>
      </w:pPr>
      <w:r>
        <w:rPr>
          <w:noProof/>
        </w:rPr>
        <w:t>в)</w:t>
      </w:r>
      <w:r>
        <w:rPr>
          <w:noProof/>
        </w:rPr>
        <w:tab/>
        <w:t xml:space="preserve">подобрени семена; </w:t>
      </w:r>
    </w:p>
    <w:p>
      <w:pPr>
        <w:pStyle w:val="Point0"/>
        <w:rPr>
          <w:noProof/>
        </w:rPr>
      </w:pPr>
      <w:r>
        <w:rPr>
          <w:noProof/>
        </w:rPr>
        <w:t>г)</w:t>
      </w:r>
      <w:r>
        <w:rPr>
          <w:noProof/>
        </w:rPr>
        <w:tab/>
        <w:t>изкуствено осеменяване;</w:t>
      </w:r>
    </w:p>
    <w:p>
      <w:pPr>
        <w:pStyle w:val="Point0"/>
        <w:rPr>
          <w:noProof/>
        </w:rPr>
      </w:pPr>
      <w:r>
        <w:rPr>
          <w:noProof/>
        </w:rPr>
        <w:t>д)</w:t>
      </w:r>
      <w:r>
        <w:rPr>
          <w:noProof/>
        </w:rPr>
        <w:tab/>
        <w:t>интегрирана борба с вредителите;</w:t>
      </w:r>
    </w:p>
    <w:p>
      <w:pPr>
        <w:pStyle w:val="Point0"/>
        <w:rPr>
          <w:noProof/>
        </w:rPr>
      </w:pPr>
      <w:r>
        <w:rPr>
          <w:noProof/>
        </w:rPr>
        <w:t>е)</w:t>
      </w:r>
      <w:r>
        <w:rPr>
          <w:noProof/>
        </w:rPr>
        <w:tab/>
        <w:t>опаковане на продуктите;</w:t>
      </w:r>
    </w:p>
    <w:p>
      <w:pPr>
        <w:pStyle w:val="Point0"/>
        <w:rPr>
          <w:noProof/>
        </w:rPr>
      </w:pPr>
      <w:r>
        <w:rPr>
          <w:noProof/>
        </w:rPr>
        <w:t>ж)</w:t>
      </w:r>
      <w:r>
        <w:rPr>
          <w:noProof/>
        </w:rPr>
        <w:tab/>
        <w:t>обработка в периода след прибирането на реколтата;</w:t>
      </w:r>
    </w:p>
    <w:p>
      <w:pPr>
        <w:pStyle w:val="Point0"/>
        <w:rPr>
          <w:noProof/>
        </w:rPr>
      </w:pPr>
      <w:r>
        <w:rPr>
          <w:noProof/>
        </w:rPr>
        <w:t>з)</w:t>
      </w:r>
      <w:r>
        <w:rPr>
          <w:noProof/>
        </w:rPr>
        <w:tab/>
        <w:t>акредитирани лаборатории;</w:t>
      </w:r>
    </w:p>
    <w:p>
      <w:pPr>
        <w:pStyle w:val="Point0"/>
        <w:rPr>
          <w:noProof/>
        </w:rPr>
      </w:pPr>
      <w:r>
        <w:rPr>
          <w:noProof/>
        </w:rPr>
        <w:t>и)</w:t>
      </w:r>
      <w:r>
        <w:rPr>
          <w:noProof/>
        </w:rPr>
        <w:tab/>
        <w:t>биотехнологии;</w:t>
      </w:r>
    </w:p>
    <w:p>
      <w:pPr>
        <w:pStyle w:val="Point0"/>
        <w:rPr>
          <w:noProof/>
        </w:rPr>
      </w:pPr>
      <w:r>
        <w:rPr>
          <w:noProof/>
        </w:rPr>
        <w:t>й)</w:t>
      </w:r>
      <w:r>
        <w:rPr>
          <w:noProof/>
        </w:rPr>
        <w:tab/>
        <w:t>оценка и управление на риска.</w:t>
      </w:r>
    </w:p>
    <w:p>
      <w:pPr>
        <w:pStyle w:val="Titrearticle"/>
        <w:rPr>
          <w:rFonts w:eastAsia="Times New Roman"/>
          <w:b/>
          <w:bCs/>
          <w:noProof/>
          <w:szCs w:val="24"/>
        </w:rPr>
      </w:pPr>
      <w:r>
        <w:rPr>
          <w:b/>
          <w:noProof/>
        </w:rPr>
        <w:t>ЧЛЕН 68</w:t>
      </w:r>
    </w:p>
    <w:p>
      <w:pPr>
        <w:jc w:val="center"/>
        <w:rPr>
          <w:rFonts w:eastAsia="Times New Roman"/>
          <w:b/>
          <w:bCs/>
          <w:noProof/>
          <w:szCs w:val="24"/>
        </w:rPr>
      </w:pPr>
      <w:r>
        <w:rPr>
          <w:b/>
          <w:noProof/>
        </w:rPr>
        <w:t>Вътрешни мерки на политиката</w:t>
      </w:r>
    </w:p>
    <w:p>
      <w:pPr>
        <w:pStyle w:val="ManualNumPar1"/>
        <w:rPr>
          <w:rFonts w:eastAsia="Calibri" w:cs="Courier New"/>
          <w:bCs/>
          <w:noProof/>
          <w:szCs w:val="24"/>
        </w:rPr>
      </w:pPr>
      <w:r>
        <w:rPr>
          <w:noProof/>
        </w:rPr>
        <w:t>1.</w:t>
      </w:r>
      <w:r>
        <w:rPr>
          <w:noProof/>
        </w:rPr>
        <w:tab/>
        <w:t xml:space="preserve">Всяка страна осигурява прозрачност в областта на подкрепата за селското стопанство, свързана с търговията със селскостопански продукти. За тази цел ЕС докладва периодично в рамките на диалога за селското стопанство на държавите партньори от ИАО относно правното основание, формата и размера на тази подкрепа. Тази информация се счита за представена, ако е оповестена от страните или от тяхно име на общодостъпен уебсайт. </w:t>
      </w:r>
    </w:p>
    <w:p>
      <w:pPr>
        <w:pStyle w:val="ManualNumPar1"/>
        <w:rPr>
          <w:rFonts w:eastAsia="Times New Roman"/>
          <w:noProof/>
          <w:szCs w:val="24"/>
        </w:rPr>
      </w:pPr>
      <w:r>
        <w:rPr>
          <w:noProof/>
        </w:rPr>
        <w:t>2.</w:t>
      </w:r>
      <w:r>
        <w:rPr>
          <w:noProof/>
        </w:rPr>
        <w:tab/>
        <w:t>От момента на влизане в сила на настоящото споразумение ЕС не предоставя субсидии за износ на всички селскостопански продукти, предназначени за държавите партньори от ИАО. Тази забрана се преразглежда от Съвета по СИП след 48 месеца.</w:t>
      </w:r>
    </w:p>
    <w:p>
      <w:pPr>
        <w:pStyle w:val="ManualNumPar1"/>
        <w:rPr>
          <w:rFonts w:eastAsia="Times New Roman"/>
          <w:noProof/>
          <w:szCs w:val="24"/>
        </w:rPr>
      </w:pPr>
      <w:r>
        <w:rPr>
          <w:noProof/>
        </w:rPr>
        <w:t>3.</w:t>
      </w:r>
      <w:r>
        <w:rPr>
          <w:noProof/>
        </w:rPr>
        <w:tab/>
        <w:t>Освен това Комитетът на висшите служители разглежда въпросите, които могат да възникнат във връзка с достъпа на селскостопанските продукти на страните до пазарите на всяка една от тях. Този комитет може да отправя препоръки към Съвета по СИП в съответствие с член 107.</w:t>
      </w:r>
    </w:p>
    <w:p>
      <w:pPr>
        <w:pStyle w:val="Titrearticle"/>
        <w:rPr>
          <w:rFonts w:eastAsia="Times New Roman"/>
          <w:b/>
          <w:noProof/>
          <w:szCs w:val="24"/>
        </w:rPr>
      </w:pPr>
      <w:r>
        <w:rPr>
          <w:b/>
          <w:noProof/>
        </w:rPr>
        <w:lastRenderedPageBreak/>
        <w:t>ЧЛЕН 69</w:t>
      </w:r>
    </w:p>
    <w:p>
      <w:pPr>
        <w:jc w:val="center"/>
        <w:rPr>
          <w:rFonts w:eastAsia="Times New Roman"/>
          <w:b/>
          <w:noProof/>
          <w:szCs w:val="24"/>
        </w:rPr>
      </w:pPr>
      <w:r>
        <w:rPr>
          <w:b/>
          <w:noProof/>
        </w:rPr>
        <w:t>Производство и пускане на пазара на селскостопански суровини</w:t>
      </w:r>
    </w:p>
    <w:p>
      <w:pPr>
        <w:pStyle w:val="ManualNumPar1"/>
        <w:rPr>
          <w:rFonts w:eastAsia="Calibri" w:cs="Courier New"/>
          <w:bCs/>
          <w:noProof/>
          <w:szCs w:val="24"/>
        </w:rPr>
      </w:pPr>
      <w:r>
        <w:rPr>
          <w:noProof/>
        </w:rPr>
        <w:t>1.</w:t>
      </w:r>
      <w:r>
        <w:rPr>
          <w:noProof/>
        </w:rPr>
        <w:tab/>
        <w:t>Страните осъзнават предизвикателствата, пред които са изправени държавите партньори от ИАО поради зависимостта си от износ на първични селскостопански суровини, които се характеризират с висока нестабилност на цените и влошаващи се търговски условия, за приходите си в чуждестранна валута.</w:t>
      </w:r>
    </w:p>
    <w:p>
      <w:pPr>
        <w:pStyle w:val="ManualNumPar1"/>
        <w:rPr>
          <w:rFonts w:eastAsia="Calibri" w:cs="Courier New"/>
          <w:bCs/>
          <w:noProof/>
          <w:szCs w:val="24"/>
        </w:rPr>
      </w:pPr>
      <w:r>
        <w:rPr>
          <w:noProof/>
        </w:rPr>
        <w:t>2.</w:t>
      </w:r>
      <w:r>
        <w:rPr>
          <w:noProof/>
        </w:rPr>
        <w:tab/>
        <w:t>Страните се споразумяват да:</w:t>
      </w:r>
    </w:p>
    <w:p>
      <w:pPr>
        <w:pStyle w:val="Point1"/>
        <w:rPr>
          <w:noProof/>
        </w:rPr>
      </w:pPr>
      <w:r>
        <w:rPr>
          <w:noProof/>
        </w:rPr>
        <w:t>а)</w:t>
      </w:r>
      <w:r>
        <w:rPr>
          <w:noProof/>
        </w:rPr>
        <w:tab/>
        <w:t xml:space="preserve">укрепват публично-частните партньорства в инвестициите за производство, преработка и пускане на пазара на селскостопански суровини; </w:t>
      </w:r>
    </w:p>
    <w:p>
      <w:pPr>
        <w:pStyle w:val="Point1"/>
        <w:rPr>
          <w:noProof/>
        </w:rPr>
      </w:pPr>
      <w:r>
        <w:rPr>
          <w:noProof/>
        </w:rPr>
        <w:t>б)</w:t>
      </w:r>
      <w:r>
        <w:rPr>
          <w:noProof/>
        </w:rPr>
        <w:tab/>
        <w:t>си сътрудничат при изграждането на капацитет за достъп до пазарни ниши и да улесняват спазването на стандартите по отношение на суровините, за да се отговори на изискванията на тези пазари;</w:t>
      </w:r>
    </w:p>
    <w:p>
      <w:pPr>
        <w:pStyle w:val="Point1"/>
        <w:rPr>
          <w:noProof/>
        </w:rPr>
      </w:pPr>
      <w:r>
        <w:rPr>
          <w:noProof/>
        </w:rPr>
        <w:t>в)</w:t>
      </w:r>
      <w:r>
        <w:rPr>
          <w:noProof/>
        </w:rPr>
        <w:tab/>
        <w:t>подпомагат диверсификацията на селскостопанското производство и продуктите за износ в държавите партньори от ИАО;</w:t>
      </w:r>
    </w:p>
    <w:p>
      <w:pPr>
        <w:pStyle w:val="Point1"/>
        <w:rPr>
          <w:noProof/>
        </w:rPr>
      </w:pPr>
      <w:r>
        <w:rPr>
          <w:noProof/>
        </w:rPr>
        <w:t>г)</w:t>
      </w:r>
      <w:r>
        <w:rPr>
          <w:noProof/>
        </w:rPr>
        <w:tab/>
        <w:t>подобряват доходите на производителите чрез развитие в областта на пускането на пазара на селскостопански продукти с добавена стойност.</w:t>
      </w:r>
    </w:p>
    <w:p>
      <w:pPr>
        <w:pStyle w:val="Titrearticle"/>
        <w:rPr>
          <w:rFonts w:eastAsia="Times New Roman"/>
          <w:b/>
          <w:noProof/>
          <w:szCs w:val="24"/>
        </w:rPr>
      </w:pPr>
      <w:r>
        <w:rPr>
          <w:b/>
          <w:noProof/>
        </w:rPr>
        <w:t>ЧЛЕН 70</w:t>
      </w:r>
    </w:p>
    <w:p>
      <w:pPr>
        <w:jc w:val="center"/>
        <w:rPr>
          <w:rFonts w:eastAsia="Times New Roman"/>
          <w:b/>
          <w:noProof/>
          <w:szCs w:val="24"/>
        </w:rPr>
      </w:pPr>
      <w:r>
        <w:rPr>
          <w:b/>
          <w:noProof/>
        </w:rPr>
        <w:t>Наблюдение</w:t>
      </w:r>
    </w:p>
    <w:p>
      <w:pPr>
        <w:rPr>
          <w:rFonts w:eastAsia="Times New Roman"/>
          <w:noProof/>
          <w:szCs w:val="24"/>
        </w:rPr>
      </w:pPr>
      <w:r>
        <w:rPr>
          <w:noProof/>
        </w:rPr>
        <w:t xml:space="preserve">Страните се договарят, че Съветът по СИП прави преглед и наблюдава изпълнението на техните задължения по настоящото споразумение. Съветът по СИП осигурява ефективно наблюдение на спазването на задълженията чрез осигуряването на прозрачност и дава възможност на страните да направят оценка на приноса на тези задължения към дългосрочната им цел за установяване на справедлива и пазарно ориентирана система на търговия със селскостопански стоки. </w:t>
      </w:r>
    </w:p>
    <w:p>
      <w:pPr>
        <w:pStyle w:val="Titrearticle"/>
        <w:rPr>
          <w:rFonts w:eastAsia="Times New Roman"/>
          <w:b/>
          <w:noProof/>
          <w:szCs w:val="24"/>
        </w:rPr>
      </w:pPr>
      <w:r>
        <w:rPr>
          <w:b/>
          <w:noProof/>
        </w:rPr>
        <w:t>ЧЛЕН 71</w:t>
      </w:r>
    </w:p>
    <w:p>
      <w:pPr>
        <w:jc w:val="center"/>
        <w:rPr>
          <w:rFonts w:eastAsia="Times New Roman"/>
          <w:b/>
          <w:noProof/>
          <w:szCs w:val="24"/>
        </w:rPr>
      </w:pPr>
      <w:r>
        <w:rPr>
          <w:b/>
          <w:noProof/>
        </w:rPr>
        <w:t>Държави — нетни вносители на храни</w:t>
      </w:r>
    </w:p>
    <w:p>
      <w:pPr>
        <w:pStyle w:val="ManualNumPar1"/>
        <w:rPr>
          <w:rFonts w:eastAsia="Calibri" w:cs="Courier New"/>
          <w:noProof/>
          <w:szCs w:val="24"/>
        </w:rPr>
      </w:pPr>
      <w:r>
        <w:rPr>
          <w:noProof/>
        </w:rPr>
        <w:t>1.</w:t>
      </w:r>
      <w:r>
        <w:rPr>
          <w:noProof/>
        </w:rPr>
        <w:tab/>
        <w:t xml:space="preserve">Страните признават, че е важно да се отговори на загрижеността на държавите партньори от ИАО, които са нетни вносители на храни. Следователно целта на настоящия член е да подпомогне държавите, които са нетни вносители на храни, да разработят програми с цел гарантиране на продоволствената сигурност. </w:t>
      </w:r>
    </w:p>
    <w:p>
      <w:pPr>
        <w:pStyle w:val="ManualNumPar1"/>
        <w:rPr>
          <w:rFonts w:eastAsia="Calibri" w:cs="Courier New"/>
          <w:noProof/>
          <w:szCs w:val="24"/>
        </w:rPr>
      </w:pPr>
      <w:r>
        <w:rPr>
          <w:noProof/>
        </w:rPr>
        <w:t>2.</w:t>
      </w:r>
      <w:r>
        <w:rPr>
          <w:noProof/>
        </w:rPr>
        <w:tab/>
        <w:t xml:space="preserve">Страните се споразумяват за: </w:t>
      </w:r>
    </w:p>
    <w:p>
      <w:pPr>
        <w:pStyle w:val="Point1"/>
        <w:rPr>
          <w:noProof/>
        </w:rPr>
      </w:pPr>
      <w:r>
        <w:rPr>
          <w:noProof/>
        </w:rPr>
        <w:t>а)</w:t>
      </w:r>
      <w:r>
        <w:rPr>
          <w:noProof/>
        </w:rPr>
        <w:tab/>
        <w:t xml:space="preserve">справяне с ограниченията върху производството, съхранението и разпространението на храни в региона на ИАО; </w:t>
      </w:r>
    </w:p>
    <w:p>
      <w:pPr>
        <w:pStyle w:val="Point1"/>
        <w:rPr>
          <w:rFonts w:eastAsia="Times New Roman"/>
          <w:noProof/>
        </w:rPr>
      </w:pPr>
      <w:r>
        <w:rPr>
          <w:noProof/>
        </w:rPr>
        <w:t>б)</w:t>
      </w:r>
      <w:r>
        <w:rPr>
          <w:noProof/>
        </w:rPr>
        <w:tab/>
        <w:t xml:space="preserve">набавяне на хранителни помощи от държавите партньори от ИАО и от други африкански регионални икономически общности; </w:t>
      </w:r>
    </w:p>
    <w:p>
      <w:pPr>
        <w:pStyle w:val="Point1"/>
        <w:rPr>
          <w:rFonts w:eastAsia="Times New Roman"/>
          <w:noProof/>
        </w:rPr>
      </w:pPr>
      <w:r>
        <w:rPr>
          <w:noProof/>
        </w:rPr>
        <w:t>в)</w:t>
      </w:r>
      <w:r>
        <w:rPr>
          <w:noProof/>
        </w:rPr>
        <w:tab/>
        <w:t>подобряване на координацията на хранителните помощи.</w:t>
      </w:r>
    </w:p>
    <w:p>
      <w:pPr>
        <w:pStyle w:val="ManualNumPar1"/>
        <w:rPr>
          <w:rFonts w:eastAsia="Calibri" w:cs="Courier New"/>
          <w:noProof/>
          <w:szCs w:val="24"/>
        </w:rPr>
      </w:pPr>
      <w:r>
        <w:rPr>
          <w:noProof/>
        </w:rPr>
        <w:t>3.</w:t>
      </w:r>
      <w:r>
        <w:rPr>
          <w:noProof/>
        </w:rPr>
        <w:tab/>
        <w:t xml:space="preserve">Страните се споразумяват да поддържат адекватно равнище на хранителни помощи, като вземат предвид интересите на получателите на хранителни помощи, и да гарантират, че мерките, посочени в параграф 2, не възпрепятстват неумишлено предоставянето на хранителна помощ, предвидена за справяне с извънредни ситуации. </w:t>
      </w:r>
    </w:p>
    <w:p>
      <w:pPr>
        <w:pStyle w:val="ManualNumPar1"/>
        <w:rPr>
          <w:rFonts w:eastAsia="Calibri" w:cs="Courier New"/>
          <w:noProof/>
          <w:szCs w:val="24"/>
        </w:rPr>
      </w:pPr>
      <w:r>
        <w:rPr>
          <w:noProof/>
        </w:rPr>
        <w:t>4.</w:t>
      </w:r>
      <w:r>
        <w:rPr>
          <w:noProof/>
        </w:rPr>
        <w:tab/>
        <w:t>Страните гарантират, че хранителните помощи се предоставят в пълно съответствие с мерките, които имат за цел да се предотврати изместване на търговските потоци и които:</w:t>
      </w:r>
    </w:p>
    <w:p>
      <w:pPr>
        <w:pStyle w:val="Point1"/>
        <w:rPr>
          <w:rFonts w:eastAsia="Times New Roman"/>
          <w:noProof/>
        </w:rPr>
      </w:pPr>
      <w:r>
        <w:rPr>
          <w:noProof/>
        </w:rPr>
        <w:t>а)</w:t>
      </w:r>
      <w:r>
        <w:rPr>
          <w:noProof/>
        </w:rPr>
        <w:tab/>
        <w:t>гарантират, че всички сделки с хранителни помощи са породени от необходимост и са изцяло под формата на безвъзмездна помощ;</w:t>
      </w:r>
    </w:p>
    <w:p>
      <w:pPr>
        <w:pStyle w:val="Point1"/>
        <w:rPr>
          <w:rFonts w:eastAsia="Times New Roman"/>
          <w:b/>
          <w:noProof/>
          <w:szCs w:val="24"/>
        </w:rPr>
      </w:pPr>
      <w:r>
        <w:rPr>
          <w:noProof/>
        </w:rPr>
        <w:t>б)</w:t>
      </w:r>
      <w:r>
        <w:rPr>
          <w:noProof/>
        </w:rPr>
        <w:tab/>
        <w:t>не са пряко или косвено обвързани с търговски износ на селскостопански продукти или други стоки и услуги.</w:t>
      </w:r>
    </w:p>
    <w:p>
      <w:pPr>
        <w:pStyle w:val="Titrearticle"/>
        <w:rPr>
          <w:rFonts w:eastAsia="Times New Roman"/>
          <w:b/>
          <w:noProof/>
          <w:szCs w:val="24"/>
        </w:rPr>
      </w:pPr>
      <w:r>
        <w:rPr>
          <w:b/>
          <w:noProof/>
        </w:rPr>
        <w:t>ЧЛЕН 72</w:t>
      </w:r>
    </w:p>
    <w:p>
      <w:pPr>
        <w:jc w:val="center"/>
        <w:rPr>
          <w:rFonts w:eastAsia="Times New Roman"/>
          <w:b/>
          <w:noProof/>
          <w:szCs w:val="24"/>
        </w:rPr>
      </w:pPr>
      <w:r>
        <w:rPr>
          <w:b/>
          <w:noProof/>
        </w:rPr>
        <w:t>Значение на определени сектори</w:t>
      </w:r>
    </w:p>
    <w:p>
      <w:pPr>
        <w:pStyle w:val="ManualNumPar1"/>
        <w:rPr>
          <w:rFonts w:eastAsia="Times New Roman"/>
          <w:b/>
          <w:noProof/>
          <w:szCs w:val="24"/>
        </w:rPr>
      </w:pPr>
      <w:r>
        <w:rPr>
          <w:noProof/>
        </w:rPr>
        <w:t>1.</w:t>
      </w:r>
      <w:r>
        <w:rPr>
          <w:noProof/>
        </w:rPr>
        <w:tab/>
        <w:t xml:space="preserve">Страните признават, че: </w:t>
      </w:r>
    </w:p>
    <w:p>
      <w:pPr>
        <w:pStyle w:val="Point1"/>
        <w:rPr>
          <w:noProof/>
        </w:rPr>
      </w:pPr>
      <w:r>
        <w:rPr>
          <w:noProof/>
        </w:rPr>
        <w:t>а)</w:t>
      </w:r>
      <w:r>
        <w:rPr>
          <w:noProof/>
        </w:rPr>
        <w:tab/>
        <w:t xml:space="preserve">предоставянето на адекватен достъп до храна, чиста и безопасна питейна вода, здравни услуги, възможности за образование, жилищно настаняване и време за участие в живота на общността и социална интеграция е важен фактор за осигуряването на препитанието на населението в селските райони; </w:t>
      </w:r>
    </w:p>
    <w:p>
      <w:pPr>
        <w:pStyle w:val="Point1"/>
        <w:rPr>
          <w:noProof/>
        </w:rPr>
      </w:pPr>
      <w:r>
        <w:rPr>
          <w:noProof/>
        </w:rPr>
        <w:t>б)</w:t>
      </w:r>
      <w:r>
        <w:rPr>
          <w:noProof/>
        </w:rPr>
        <w:tab/>
        <w:t>развитието на селскостопанската инфраструктура, включително производството, преработката, предлагането на пазара и разпространението, играе изключително важна роля за социално-икономическото развитие на селските райони и регионална интеграция в държавите партньори от ИАО;</w:t>
      </w:r>
    </w:p>
    <w:p>
      <w:pPr>
        <w:pStyle w:val="Point1"/>
        <w:rPr>
          <w:noProof/>
        </w:rPr>
      </w:pPr>
      <w:r>
        <w:rPr>
          <w:noProof/>
        </w:rPr>
        <w:t>в)</w:t>
      </w:r>
      <w:r>
        <w:rPr>
          <w:noProof/>
        </w:rPr>
        <w:tab/>
        <w:t>услугите за техническа помощ, като например научните изследвания в областта на селското стопанство и обученията за предоставяне на консултантски услуги, са важни за увеличаването на селскостопанската производителност;</w:t>
      </w:r>
    </w:p>
    <w:p>
      <w:pPr>
        <w:pStyle w:val="Point1"/>
        <w:rPr>
          <w:noProof/>
        </w:rPr>
      </w:pPr>
      <w:r>
        <w:rPr>
          <w:noProof/>
        </w:rPr>
        <w:t>г)</w:t>
      </w:r>
      <w:r>
        <w:rPr>
          <w:noProof/>
        </w:rPr>
        <w:tab/>
        <w:t>подпомагането на финансирането на селското стопанство е важна мярка за преобразуването на селскостопанския сектор в държавите партньори от ИАО. Финансирането е необходимо за развитието на селскостопански технологии, кредитирането и застраховането в областта на селското стопанство, развитието на инфраструктурата и пазарите, както и за обучението на селскостопанските производители; и</w:t>
      </w:r>
    </w:p>
    <w:p>
      <w:pPr>
        <w:pStyle w:val="Point1"/>
        <w:rPr>
          <w:noProof/>
        </w:rPr>
      </w:pPr>
      <w:r>
        <w:rPr>
          <w:noProof/>
        </w:rPr>
        <w:t>д)</w:t>
      </w:r>
      <w:r>
        <w:rPr>
          <w:noProof/>
        </w:rPr>
        <w:tab/>
        <w:t>устойчивото развитие на селските райони е важно за подобряването на жизненото равнище на населението в селските райони на държавите партньори от ИАО.</w:t>
      </w:r>
    </w:p>
    <w:p>
      <w:pPr>
        <w:pStyle w:val="ManualNumPar1"/>
        <w:rPr>
          <w:rFonts w:eastAsia="Times New Roman"/>
          <w:bCs/>
          <w:noProof/>
          <w:szCs w:val="24"/>
        </w:rPr>
      </w:pPr>
      <w:r>
        <w:rPr>
          <w:noProof/>
        </w:rPr>
        <w:t>2.</w:t>
      </w:r>
      <w:r>
        <w:rPr>
          <w:noProof/>
        </w:rPr>
        <w:tab/>
        <w:t>Страните се споразумяват да си сътрудничат в областта на осигуряването на препитанието, селскостопанската инфраструктура, услугите за техническа помощ, финансовите услуги в областта на селското стопанство и развитието на селските райони, съгласно предвиденото в дял II от част V.</w:t>
      </w:r>
    </w:p>
    <w:p>
      <w:pPr>
        <w:pStyle w:val="Titrearticle"/>
        <w:rPr>
          <w:rFonts w:eastAsia="Times New Roman"/>
          <w:b/>
          <w:noProof/>
          <w:szCs w:val="24"/>
        </w:rPr>
      </w:pPr>
      <w:r>
        <w:rPr>
          <w:b/>
          <w:noProof/>
        </w:rPr>
        <w:t>ЧЛЕН 73</w:t>
      </w:r>
    </w:p>
    <w:p>
      <w:pPr>
        <w:jc w:val="center"/>
        <w:rPr>
          <w:rFonts w:eastAsia="Times New Roman"/>
          <w:b/>
          <w:noProof/>
          <w:szCs w:val="24"/>
        </w:rPr>
      </w:pPr>
      <w:r>
        <w:rPr>
          <w:b/>
          <w:noProof/>
        </w:rPr>
        <w:t>Обмен на информация и консултации</w:t>
      </w:r>
    </w:p>
    <w:p>
      <w:pPr>
        <w:pStyle w:val="ManualNumPar1"/>
        <w:rPr>
          <w:rFonts w:eastAsia="Times New Roman"/>
          <w:bCs/>
          <w:noProof/>
          <w:szCs w:val="24"/>
        </w:rPr>
      </w:pPr>
      <w:r>
        <w:rPr>
          <w:noProof/>
        </w:rPr>
        <w:t>1.</w:t>
      </w:r>
      <w:r>
        <w:rPr>
          <w:noProof/>
        </w:rPr>
        <w:tab/>
        <w:t xml:space="preserve">Страните се споразумяват да обменят опит и информация за най-добри практики и да се консултират помежду си по всички въпроси в стремежа си за постигането на целите на настоящата част. </w:t>
      </w:r>
    </w:p>
    <w:p>
      <w:pPr>
        <w:pStyle w:val="ManualNumPar1"/>
        <w:rPr>
          <w:rFonts w:eastAsia="Calibri" w:cs="Courier New"/>
          <w:noProof/>
          <w:szCs w:val="24"/>
        </w:rPr>
      </w:pPr>
      <w:r>
        <w:rPr>
          <w:noProof/>
        </w:rPr>
        <w:t>2.</w:t>
      </w:r>
      <w:r>
        <w:rPr>
          <w:noProof/>
        </w:rPr>
        <w:tab/>
        <w:t>Страните се споразумяват за:</w:t>
      </w:r>
    </w:p>
    <w:p>
      <w:pPr>
        <w:pStyle w:val="Point1"/>
        <w:rPr>
          <w:noProof/>
        </w:rPr>
      </w:pPr>
      <w:r>
        <w:rPr>
          <w:noProof/>
        </w:rPr>
        <w:t>а)</w:t>
      </w:r>
      <w:r>
        <w:rPr>
          <w:noProof/>
        </w:rPr>
        <w:tab/>
        <w:t>обмен на информация относно производството, потреблението и търговията със селскостопански продукти, както и относно съответното развитие на пазарите на селскостопански продукти;</w:t>
      </w:r>
    </w:p>
    <w:p>
      <w:pPr>
        <w:pStyle w:val="Point1"/>
        <w:rPr>
          <w:noProof/>
        </w:rPr>
      </w:pPr>
      <w:r>
        <w:rPr>
          <w:noProof/>
        </w:rPr>
        <w:t>б)</w:t>
      </w:r>
      <w:r>
        <w:rPr>
          <w:noProof/>
        </w:rPr>
        <w:tab/>
        <w:t>обмен на информация относно възможностите за инвестиции и съществуващите стимули в селскостопанския сектор, включително относно дейностите от по-малък мащаб;</w:t>
      </w:r>
    </w:p>
    <w:p>
      <w:pPr>
        <w:pStyle w:val="Point1"/>
        <w:rPr>
          <w:noProof/>
        </w:rPr>
      </w:pPr>
      <w:r>
        <w:rPr>
          <w:noProof/>
        </w:rPr>
        <w:t>в)</w:t>
      </w:r>
      <w:r>
        <w:rPr>
          <w:noProof/>
        </w:rPr>
        <w:tab/>
        <w:t>обмен на информация относно политиките, законовите и подзаконовите актове в областта на селското стопанство между двете страни;</w:t>
      </w:r>
    </w:p>
    <w:p>
      <w:pPr>
        <w:pStyle w:val="Point1"/>
        <w:rPr>
          <w:noProof/>
        </w:rPr>
      </w:pPr>
      <w:r>
        <w:rPr>
          <w:noProof/>
        </w:rPr>
        <w:t>г)</w:t>
      </w:r>
      <w:r>
        <w:rPr>
          <w:noProof/>
        </w:rPr>
        <w:tab/>
        <w:t>обсъждане на измененията в политиките и институционалните промени, необходими в подкрепа на преобразуването на сектора на селското стопанство, както и на формулирането и прилагането на регионални политики в областта на селското стопанство и развитието на селските райони в изпълнение на целта за регионална интеграция;</w:t>
      </w:r>
    </w:p>
    <w:p>
      <w:pPr>
        <w:pStyle w:val="Point1"/>
        <w:rPr>
          <w:rFonts w:eastAsia="Times New Roman"/>
          <w:noProof/>
          <w:szCs w:val="24"/>
        </w:rPr>
      </w:pPr>
      <w:r>
        <w:rPr>
          <w:noProof/>
        </w:rPr>
        <w:t>д)</w:t>
      </w:r>
      <w:r>
        <w:rPr>
          <w:noProof/>
        </w:rPr>
        <w:tab/>
        <w:t>обмен на информация за новите и най-подходящите технологии, както и за политики и мерки, свързани с качеството на селскостопанските продукти.</w:t>
      </w:r>
    </w:p>
    <w:p>
      <w:pPr>
        <w:pStyle w:val="Titrearticle"/>
        <w:rPr>
          <w:rFonts w:eastAsia="Times New Roman"/>
          <w:b/>
          <w:noProof/>
          <w:szCs w:val="24"/>
        </w:rPr>
      </w:pPr>
      <w:r>
        <w:rPr>
          <w:b/>
          <w:noProof/>
        </w:rPr>
        <w:t>ЧЛЕН 74</w:t>
      </w:r>
    </w:p>
    <w:p>
      <w:pPr>
        <w:jc w:val="center"/>
        <w:rPr>
          <w:rFonts w:eastAsia="Arial Unicode MS"/>
          <w:b/>
          <w:noProof/>
          <w:szCs w:val="24"/>
        </w:rPr>
      </w:pPr>
      <w:r>
        <w:rPr>
          <w:b/>
          <w:noProof/>
        </w:rPr>
        <w:t xml:space="preserve">Географски означения </w:t>
      </w:r>
    </w:p>
    <w:p>
      <w:pPr>
        <w:pStyle w:val="ManualNumPar1"/>
        <w:rPr>
          <w:rFonts w:eastAsia="Times New Roman"/>
          <w:bCs/>
          <w:noProof/>
          <w:szCs w:val="24"/>
        </w:rPr>
      </w:pPr>
      <w:r>
        <w:rPr>
          <w:noProof/>
        </w:rPr>
        <w:t>1.</w:t>
      </w:r>
      <w:r>
        <w:rPr>
          <w:noProof/>
        </w:rPr>
        <w:tab/>
        <w:t xml:space="preserve">Страните признават значението на географските означения за устойчивото селско стопанство и развитието на селските райони. </w:t>
      </w:r>
    </w:p>
    <w:p>
      <w:pPr>
        <w:pStyle w:val="ManualNumPar1"/>
        <w:rPr>
          <w:rFonts w:eastAsia="Times New Roman"/>
          <w:noProof/>
          <w:szCs w:val="24"/>
        </w:rPr>
      </w:pPr>
      <w:r>
        <w:rPr>
          <w:noProof/>
        </w:rPr>
        <w:t>2.</w:t>
      </w:r>
      <w:r>
        <w:rPr>
          <w:noProof/>
        </w:rPr>
        <w:tab/>
        <w:t xml:space="preserve">Страните се споразумяват да си сътрудничат за определяне, признаване и регистрация на продукти, които биха могли да се ползват от закрилата на географските означения, и при всяко друго действие, насочено към постигане на закрила за така определените продукти. </w:t>
      </w:r>
    </w:p>
    <w:p>
      <w:pPr>
        <w:jc w:val="center"/>
        <w:rPr>
          <w:rFonts w:eastAsia="Times New Roman"/>
          <w:b/>
          <w:bCs/>
          <w:smallCaps/>
          <w:noProof/>
          <w:kern w:val="32"/>
          <w:szCs w:val="24"/>
        </w:rPr>
      </w:pPr>
      <w:bookmarkStart w:id="23" w:name="_Toc202345624"/>
      <w:r>
        <w:rPr>
          <w:b/>
          <w:noProof/>
          <w:kern w:val="32"/>
        </w:rPr>
        <w:t xml:space="preserve">ЧАСТ V: </w:t>
      </w:r>
      <w:bookmarkStart w:id="24" w:name="_Toc401595120"/>
      <w:r>
        <w:rPr>
          <w:b/>
          <w:noProof/>
          <w:kern w:val="32"/>
        </w:rPr>
        <w:t>ИКОНОМИЧЕСКО СЪТРУДНИЧЕСТВО И СЪТРУДНИЧЕСТВО ЗА РАЗВИТИЕ</w:t>
      </w:r>
      <w:bookmarkEnd w:id="23"/>
      <w:bookmarkEnd w:id="24"/>
    </w:p>
    <w:p>
      <w:pPr>
        <w:pStyle w:val="Titrearticle"/>
        <w:rPr>
          <w:rFonts w:eastAsia="Times New Roman"/>
          <w:b/>
          <w:noProof/>
          <w:szCs w:val="24"/>
        </w:rPr>
      </w:pPr>
      <w:r>
        <w:rPr>
          <w:b/>
          <w:noProof/>
        </w:rPr>
        <w:t>ЧЛЕН 75</w:t>
      </w:r>
    </w:p>
    <w:p>
      <w:pPr>
        <w:jc w:val="center"/>
        <w:rPr>
          <w:b/>
          <w:noProof/>
        </w:rPr>
      </w:pPr>
      <w:bookmarkStart w:id="25" w:name="_Toc401595121"/>
      <w:r>
        <w:rPr>
          <w:b/>
          <w:noProof/>
        </w:rPr>
        <w:t>Общи разпоредби</w:t>
      </w:r>
      <w:bookmarkEnd w:id="25"/>
    </w:p>
    <w:p>
      <w:pPr>
        <w:pStyle w:val="ManualNumPar1"/>
        <w:rPr>
          <w:rFonts w:eastAsia="Times New Roman"/>
          <w:bCs/>
          <w:noProof/>
          <w:szCs w:val="24"/>
        </w:rPr>
      </w:pPr>
      <w:r>
        <w:rPr>
          <w:noProof/>
          <w:color w:val="000000"/>
        </w:rPr>
        <w:t>1.</w:t>
      </w:r>
      <w:r>
        <w:rPr>
          <w:noProof/>
        </w:rPr>
        <w:tab/>
        <w:t>В съответствие с членове 34 и 35 от Споразумението за партньорство между АКТБ и ЕС, подписано в Котону на 23 юни 2000 г., и неговите изменения до момента, страните потвърждават отново, че сътрудничеството за развитие е ключов елемент от партньорството помежду им и съществен фактор за осъществяването на целите на настоящото споразумение.</w:t>
      </w:r>
    </w:p>
    <w:p>
      <w:pPr>
        <w:pStyle w:val="ManualNumPar1"/>
        <w:rPr>
          <w:rFonts w:eastAsia="Times New Roman"/>
          <w:bCs/>
          <w:noProof/>
          <w:szCs w:val="24"/>
        </w:rPr>
      </w:pPr>
      <w:r>
        <w:rPr>
          <w:noProof/>
        </w:rPr>
        <w:t>2.</w:t>
      </w:r>
      <w:r>
        <w:rPr>
          <w:noProof/>
        </w:rPr>
        <w:tab/>
        <w:t>Страните се споразумяват да обръщат внимание на нуждите за развитие на държавите партньори от ИАО чрез увеличаване на капацитета за производство и предлагане, насърчаване на структурното преобразуване и конкурентоспособността на техните икономики, подобряване на тяхната икономическа диверсификация и повишаване на добавената стойност с цел насърчаване на устойчивото развитие и подпомагане на регионалната интеграция.</w:t>
      </w:r>
    </w:p>
    <w:p>
      <w:pPr>
        <w:pStyle w:val="ManualNumPar1"/>
        <w:rPr>
          <w:rFonts w:eastAsia="Times New Roman"/>
          <w:bCs/>
          <w:noProof/>
          <w:szCs w:val="24"/>
        </w:rPr>
      </w:pPr>
      <w:r>
        <w:rPr>
          <w:noProof/>
        </w:rPr>
        <w:t>3.</w:t>
      </w:r>
      <w:r>
        <w:rPr>
          <w:noProof/>
        </w:rPr>
        <w:tab/>
        <w:t>Страните се ангажират да си сътрудничат с оглед на улесняване на прилагането на настоящото споразумение и оказване на подкрепа за регионалната интеграция и стратегиите за развитие. Страните се споразумяват, че сътрудничеството се основава на частта относно сътрудничеството за развитие и на Модела за развитие по СИП, в допълнение към регионалните и националните стратегии за развитие на държавите партньори от ИАО. Моделът за развитие и съответните базови целеви показатели, други показатели и цели, съответстващи на потребностите, установени от държавите партньори от ИАО към момента на подписването, са включени в приложение IIIа и приложение IIIб. Те се преразглеждат на всеки пет (5) години. Сътрудничеството е под формата на финансова и нефинансова подкрепа за държавите партньори от ИАО.</w:t>
      </w:r>
    </w:p>
    <w:p>
      <w:pPr>
        <w:pStyle w:val="ManualNumPar1"/>
        <w:rPr>
          <w:rFonts w:eastAsia="Times New Roman"/>
          <w:noProof/>
          <w:color w:val="000000"/>
          <w:szCs w:val="24"/>
        </w:rPr>
      </w:pPr>
      <w:r>
        <w:rPr>
          <w:noProof/>
        </w:rPr>
        <w:t>4.</w:t>
      </w:r>
      <w:r>
        <w:rPr>
          <w:noProof/>
        </w:rPr>
        <w:tab/>
        <w:t>В това отношение финансирането във връзка със сътрудничеството за развитие между държавите партньори от ИАО и ЕС, отпускано за прилагането на настоящото споразумение, се осъществява в рамките на правилата и съответните процедури, предвидени в Споразумението от Котону, по-специално на програмните процедури на Европейския фонд за развитие, и в рамките на съответните последващи инструменти, финансирани от общия бюджет на ЕС.</w:t>
      </w:r>
      <w:r>
        <w:rPr>
          <w:noProof/>
          <w:color w:val="000000"/>
        </w:rPr>
        <w:t xml:space="preserve"> В този контекст, отчитайки новите предизвикателства, произтичащи от засилената регионална интеграция и конкуренция на световните пазари, страните се споразумяват, че подкрепата за прилагането на настоящото споразумение ще е един от приоритетите. Страните се споразумяват, че финансовите инструменти, посочени в Споразумението от Котону, се мобилизират по такъв начин, че да се максимизират очакваните ползи от настоящото споразумение.</w:t>
      </w:r>
    </w:p>
    <w:p>
      <w:pPr>
        <w:pStyle w:val="ManualNumPar1"/>
        <w:rPr>
          <w:rFonts w:eastAsia="Times New Roman"/>
          <w:noProof/>
          <w:color w:val="000000"/>
          <w:szCs w:val="24"/>
        </w:rPr>
      </w:pPr>
      <w:r>
        <w:rPr>
          <w:noProof/>
          <w:color w:val="000000"/>
        </w:rPr>
        <w:t>5.</w:t>
      </w:r>
      <w:r>
        <w:rPr>
          <w:noProof/>
        </w:rPr>
        <w:tab/>
      </w:r>
      <w:r>
        <w:rPr>
          <w:noProof/>
          <w:color w:val="000000"/>
        </w:rPr>
        <w:t>За целите на прилагането на настоящото споразумение страните се ангажират да мобилизират ресурси заедно и поотделно в съответствие с насоките, предоставени от специфичните разпоредби на дял X относно мобилизирането на ресурси.</w:t>
      </w:r>
    </w:p>
    <w:p>
      <w:pPr>
        <w:pStyle w:val="ManualNumPar1"/>
        <w:rPr>
          <w:rFonts w:eastAsia="Times New Roman"/>
          <w:noProof/>
          <w:color w:val="000000"/>
          <w:szCs w:val="24"/>
          <w:highlight w:val="yellow"/>
        </w:rPr>
      </w:pPr>
      <w:r>
        <w:rPr>
          <w:noProof/>
          <w:color w:val="000000"/>
        </w:rPr>
        <w:t>6.</w:t>
      </w:r>
      <w:r>
        <w:rPr>
          <w:noProof/>
        </w:rPr>
        <w:tab/>
      </w:r>
      <w:r>
        <w:rPr>
          <w:noProof/>
          <w:color w:val="000000"/>
        </w:rPr>
        <w:t xml:space="preserve">В съответствие с Парижката декларация относно ефективността на помощите, приета през 2005 г., страните се споразумяват да използват и подкрепят по целесъобразност национално или регионално притежаваните механизми за доставяне, фондове или структури за насочване и координиране на ресурси за прилагане на настоящото споразумение. </w:t>
      </w:r>
    </w:p>
    <w:p>
      <w:pPr>
        <w:pStyle w:val="Titrearticle"/>
        <w:rPr>
          <w:rFonts w:eastAsia="Times New Roman"/>
          <w:b/>
          <w:noProof/>
          <w:color w:val="000000"/>
          <w:szCs w:val="24"/>
        </w:rPr>
      </w:pPr>
      <w:r>
        <w:rPr>
          <w:b/>
          <w:noProof/>
        </w:rPr>
        <w:t>ЧЛЕН 76</w:t>
      </w:r>
    </w:p>
    <w:p>
      <w:pPr>
        <w:jc w:val="center"/>
        <w:rPr>
          <w:rFonts w:eastAsia="Times New Roman"/>
          <w:b/>
          <w:noProof/>
          <w:color w:val="000000"/>
          <w:szCs w:val="24"/>
        </w:rPr>
      </w:pPr>
      <w:r>
        <w:rPr>
          <w:b/>
          <w:noProof/>
        </w:rPr>
        <w:t>Цели</w:t>
      </w:r>
    </w:p>
    <w:p>
      <w:pPr>
        <w:rPr>
          <w:rFonts w:eastAsia="Calibri" w:cs="Courier New"/>
          <w:noProof/>
          <w:color w:val="000000"/>
          <w:szCs w:val="24"/>
        </w:rPr>
      </w:pPr>
      <w:r>
        <w:rPr>
          <w:noProof/>
          <w:color w:val="000000"/>
        </w:rPr>
        <w:t>Икономическото сътрудничество и сътрудничеството за развитие целят:</w:t>
      </w:r>
    </w:p>
    <w:p>
      <w:pPr>
        <w:pStyle w:val="Point0"/>
        <w:rPr>
          <w:noProof/>
        </w:rPr>
      </w:pPr>
      <w:r>
        <w:rPr>
          <w:noProof/>
        </w:rPr>
        <w:t>а)</w:t>
      </w:r>
      <w:r>
        <w:rPr>
          <w:noProof/>
        </w:rPr>
        <w:tab/>
        <w:t xml:space="preserve">повишаване на конкурентоспособността на икономиките на държавите партньори от ИАО; </w:t>
      </w:r>
    </w:p>
    <w:p>
      <w:pPr>
        <w:pStyle w:val="Point0"/>
        <w:rPr>
          <w:noProof/>
        </w:rPr>
      </w:pPr>
      <w:r>
        <w:rPr>
          <w:noProof/>
        </w:rPr>
        <w:t>б)</w:t>
      </w:r>
      <w:r>
        <w:rPr>
          <w:noProof/>
        </w:rPr>
        <w:tab/>
        <w:t>изграждане на капацитет за предлагане и създаване на условия за гладкото прилагане на настоящото споразумение;</w:t>
      </w:r>
    </w:p>
    <w:p>
      <w:pPr>
        <w:pStyle w:val="Point0"/>
        <w:rPr>
          <w:noProof/>
        </w:rPr>
      </w:pPr>
      <w:r>
        <w:rPr>
          <w:noProof/>
        </w:rPr>
        <w:t>в)</w:t>
      </w:r>
      <w:r>
        <w:rPr>
          <w:noProof/>
        </w:rPr>
        <w:tab/>
        <w:t>преобразуване на структурата на икономиките на държавите партньори от ИАО чрез създаване на силна, конкурентоспособна и диверсифицирана икономическа база посредством насърчаването на производството, разпространението, транспорта и предлагането на пазара;</w:t>
      </w:r>
    </w:p>
    <w:p>
      <w:pPr>
        <w:pStyle w:val="Point0"/>
        <w:rPr>
          <w:noProof/>
        </w:rPr>
      </w:pPr>
      <w:r>
        <w:rPr>
          <w:noProof/>
        </w:rPr>
        <w:t>г)</w:t>
      </w:r>
      <w:r>
        <w:rPr>
          <w:noProof/>
        </w:rPr>
        <w:tab/>
        <w:t>развиване на капацитета за търговия, както и на капацитета за привличане на инвестиции;</w:t>
      </w:r>
    </w:p>
    <w:p>
      <w:pPr>
        <w:pStyle w:val="Point0"/>
        <w:rPr>
          <w:noProof/>
        </w:rPr>
      </w:pPr>
      <w:r>
        <w:rPr>
          <w:noProof/>
        </w:rPr>
        <w:t>д)</w:t>
      </w:r>
      <w:r>
        <w:rPr>
          <w:noProof/>
        </w:rPr>
        <w:tab/>
        <w:t>засилване на политиките и разпоредбите в областта на търговията и инвестициите;</w:t>
      </w:r>
    </w:p>
    <w:p>
      <w:pPr>
        <w:pStyle w:val="Point0"/>
        <w:rPr>
          <w:noProof/>
        </w:rPr>
      </w:pPr>
      <w:r>
        <w:rPr>
          <w:noProof/>
        </w:rPr>
        <w:t>е)</w:t>
      </w:r>
      <w:r>
        <w:rPr>
          <w:noProof/>
        </w:rPr>
        <w:tab/>
        <w:t>задълбочаване на регионалната интеграция.</w:t>
      </w:r>
    </w:p>
    <w:p>
      <w:pPr>
        <w:pStyle w:val="Titrearticle"/>
        <w:rPr>
          <w:rFonts w:eastAsia="Times New Roman"/>
          <w:b/>
          <w:noProof/>
          <w:color w:val="000000"/>
          <w:szCs w:val="24"/>
        </w:rPr>
      </w:pPr>
      <w:r>
        <w:rPr>
          <w:b/>
          <w:noProof/>
          <w:color w:val="000000"/>
        </w:rPr>
        <w:t>ЧЛЕН 77</w:t>
      </w:r>
    </w:p>
    <w:p>
      <w:pPr>
        <w:jc w:val="center"/>
        <w:rPr>
          <w:rFonts w:eastAsia="Times New Roman"/>
          <w:b/>
          <w:noProof/>
          <w:color w:val="000000"/>
          <w:szCs w:val="24"/>
        </w:rPr>
      </w:pPr>
      <w:r>
        <w:rPr>
          <w:b/>
          <w:noProof/>
        </w:rPr>
        <w:t>Области на сътрудничество</w:t>
      </w:r>
    </w:p>
    <w:p>
      <w:pPr>
        <w:rPr>
          <w:rFonts w:eastAsia="Times New Roman"/>
          <w:noProof/>
          <w:color w:val="000000"/>
          <w:szCs w:val="24"/>
        </w:rPr>
      </w:pPr>
      <w:r>
        <w:rPr>
          <w:noProof/>
          <w:color w:val="000000"/>
        </w:rPr>
        <w:t>Икономическото сътрудничество и сътрудничеството за развитие включват следните области:</w:t>
      </w:r>
    </w:p>
    <w:p>
      <w:pPr>
        <w:pStyle w:val="Point0"/>
        <w:rPr>
          <w:noProof/>
        </w:rPr>
      </w:pPr>
      <w:r>
        <w:rPr>
          <w:noProof/>
        </w:rPr>
        <w:t>а)</w:t>
      </w:r>
      <w:r>
        <w:rPr>
          <w:noProof/>
        </w:rPr>
        <w:tab/>
        <w:t>инфраструктура;</w:t>
      </w:r>
    </w:p>
    <w:p>
      <w:pPr>
        <w:pStyle w:val="Point0"/>
        <w:rPr>
          <w:noProof/>
        </w:rPr>
      </w:pPr>
      <w:r>
        <w:rPr>
          <w:noProof/>
        </w:rPr>
        <w:t>б)</w:t>
      </w:r>
      <w:r>
        <w:rPr>
          <w:noProof/>
        </w:rPr>
        <w:tab/>
        <w:t>селско стопанство и животновъдство;</w:t>
      </w:r>
    </w:p>
    <w:p>
      <w:pPr>
        <w:pStyle w:val="Point0"/>
        <w:rPr>
          <w:noProof/>
        </w:rPr>
      </w:pPr>
      <w:r>
        <w:rPr>
          <w:noProof/>
        </w:rPr>
        <w:t>в)</w:t>
      </w:r>
      <w:r>
        <w:rPr>
          <w:noProof/>
        </w:rPr>
        <w:tab/>
        <w:t>развитие на частния сектор;</w:t>
      </w:r>
    </w:p>
    <w:p>
      <w:pPr>
        <w:pStyle w:val="Point0"/>
        <w:rPr>
          <w:noProof/>
        </w:rPr>
      </w:pPr>
      <w:r>
        <w:rPr>
          <w:noProof/>
        </w:rPr>
        <w:t>г)</w:t>
      </w:r>
      <w:r>
        <w:rPr>
          <w:noProof/>
        </w:rPr>
        <w:tab/>
        <w:t>рибарство;</w:t>
      </w:r>
    </w:p>
    <w:p>
      <w:pPr>
        <w:pStyle w:val="Point0"/>
        <w:rPr>
          <w:noProof/>
        </w:rPr>
      </w:pPr>
      <w:r>
        <w:rPr>
          <w:noProof/>
        </w:rPr>
        <w:t>д)</w:t>
      </w:r>
      <w:r>
        <w:rPr>
          <w:noProof/>
        </w:rPr>
        <w:tab/>
        <w:t>водни ресурси и околна среда;</w:t>
      </w:r>
    </w:p>
    <w:p>
      <w:pPr>
        <w:pStyle w:val="Point0"/>
        <w:rPr>
          <w:rFonts w:eastAsia="Times New Roman" w:cs="Arial"/>
          <w:noProof/>
          <w:color w:val="000000"/>
          <w:szCs w:val="24"/>
        </w:rPr>
      </w:pPr>
      <w:r>
        <w:rPr>
          <w:noProof/>
        </w:rPr>
        <w:t>е)</w:t>
      </w:r>
      <w:r>
        <w:rPr>
          <w:noProof/>
        </w:rPr>
        <w:tab/>
        <w:t>въпроси във връзка с достъпа до пазара:</w:t>
      </w:r>
    </w:p>
    <w:p>
      <w:pPr>
        <w:pStyle w:val="Point1"/>
        <w:rPr>
          <w:noProof/>
        </w:rPr>
      </w:pPr>
      <w:r>
        <w:rPr>
          <w:noProof/>
        </w:rPr>
        <w:t>i)</w:t>
      </w:r>
      <w:r>
        <w:rPr>
          <w:noProof/>
        </w:rPr>
        <w:tab/>
        <w:t xml:space="preserve">СФМ </w:t>
      </w:r>
    </w:p>
    <w:p>
      <w:pPr>
        <w:pStyle w:val="Point1"/>
        <w:rPr>
          <w:noProof/>
        </w:rPr>
      </w:pPr>
      <w:r>
        <w:rPr>
          <w:noProof/>
        </w:rPr>
        <w:t>ii)</w:t>
      </w:r>
      <w:r>
        <w:rPr>
          <w:noProof/>
        </w:rPr>
        <w:tab/>
        <w:t>ТПТ</w:t>
      </w:r>
    </w:p>
    <w:p>
      <w:pPr>
        <w:pStyle w:val="Point1"/>
        <w:rPr>
          <w:noProof/>
        </w:rPr>
      </w:pPr>
      <w:r>
        <w:rPr>
          <w:noProof/>
        </w:rPr>
        <w:t>iii)</w:t>
      </w:r>
      <w:r>
        <w:rPr>
          <w:noProof/>
        </w:rPr>
        <w:tab/>
        <w:t>митници и улесняване на търговията в държавите партньори от ИАО;</w:t>
      </w:r>
    </w:p>
    <w:p>
      <w:pPr>
        <w:pStyle w:val="Point0"/>
        <w:rPr>
          <w:rFonts w:eastAsia="Times New Roman" w:cs="Arial"/>
          <w:noProof/>
          <w:color w:val="000000"/>
          <w:szCs w:val="24"/>
        </w:rPr>
      </w:pPr>
      <w:r>
        <w:rPr>
          <w:noProof/>
          <w:color w:val="000000"/>
        </w:rPr>
        <w:t>ж)</w:t>
      </w:r>
      <w:r>
        <w:rPr>
          <w:noProof/>
        </w:rPr>
        <w:tab/>
      </w:r>
      <w:r>
        <w:rPr>
          <w:noProof/>
          <w:color w:val="000000"/>
        </w:rPr>
        <w:t>мерки за адаптиране на СИП;</w:t>
      </w:r>
    </w:p>
    <w:p>
      <w:pPr>
        <w:pStyle w:val="Point0"/>
        <w:rPr>
          <w:rFonts w:eastAsia="Calibri" w:cs="Courier New"/>
          <w:noProof/>
          <w:color w:val="000000"/>
          <w:szCs w:val="24"/>
        </w:rPr>
      </w:pPr>
      <w:r>
        <w:rPr>
          <w:noProof/>
          <w:color w:val="000000"/>
        </w:rPr>
        <w:t>з)</w:t>
      </w:r>
      <w:r>
        <w:rPr>
          <w:noProof/>
        </w:rPr>
        <w:tab/>
        <w:t>мобилизиране на ресурси.</w:t>
      </w:r>
    </w:p>
    <w:p>
      <w:pPr>
        <w:jc w:val="center"/>
        <w:rPr>
          <w:b/>
          <w:noProof/>
          <w:sz w:val="28"/>
          <w:szCs w:val="28"/>
        </w:rPr>
      </w:pPr>
      <w:r>
        <w:rPr>
          <w:b/>
          <w:noProof/>
          <w:sz w:val="28"/>
        </w:rPr>
        <w:t>ДЯЛ I: ИНФРАСТРУКТУРА</w:t>
      </w:r>
    </w:p>
    <w:p>
      <w:pPr>
        <w:pStyle w:val="Titrearticle"/>
        <w:rPr>
          <w:rFonts w:eastAsia="Times New Roman"/>
          <w:b/>
          <w:bCs/>
          <w:noProof/>
          <w:color w:val="000000"/>
          <w:szCs w:val="24"/>
        </w:rPr>
      </w:pPr>
      <w:r>
        <w:rPr>
          <w:b/>
          <w:noProof/>
          <w:color w:val="000000"/>
        </w:rPr>
        <w:t>ЧЛЕН 78</w:t>
      </w:r>
    </w:p>
    <w:p>
      <w:pPr>
        <w:jc w:val="center"/>
        <w:rPr>
          <w:rFonts w:eastAsia="Times New Roman"/>
          <w:noProof/>
          <w:color w:val="000000"/>
          <w:szCs w:val="24"/>
        </w:rPr>
      </w:pPr>
      <w:r>
        <w:rPr>
          <w:b/>
          <w:noProof/>
        </w:rPr>
        <w:t>Обхват и цели</w:t>
      </w:r>
    </w:p>
    <w:p>
      <w:pPr>
        <w:pStyle w:val="ManualNumPar1"/>
        <w:rPr>
          <w:noProof/>
        </w:rPr>
      </w:pPr>
      <w:r>
        <w:rPr>
          <w:noProof/>
        </w:rPr>
        <w:t>1.</w:t>
      </w:r>
      <w:r>
        <w:rPr>
          <w:noProof/>
        </w:rPr>
        <w:tab/>
        <w:t>Сътрудничеството при разработването на физическата инфраструктура включва по-специално транспорта, енергетиката, информационните и комуникационните технологии.</w:t>
      </w:r>
    </w:p>
    <w:p>
      <w:pPr>
        <w:pStyle w:val="ManualNumPar1"/>
        <w:rPr>
          <w:noProof/>
        </w:rPr>
      </w:pPr>
      <w:r>
        <w:rPr>
          <w:noProof/>
        </w:rPr>
        <w:t>2.</w:t>
      </w:r>
      <w:r>
        <w:rPr>
          <w:noProof/>
        </w:rPr>
        <w:tab/>
        <w:t>Целите в тази сфера са следните:</w:t>
      </w:r>
    </w:p>
    <w:p>
      <w:pPr>
        <w:pStyle w:val="Point1"/>
        <w:rPr>
          <w:noProof/>
        </w:rPr>
      </w:pPr>
      <w:r>
        <w:rPr>
          <w:noProof/>
          <w:color w:val="000000"/>
        </w:rPr>
        <w:t>а)</w:t>
      </w:r>
      <w:r>
        <w:rPr>
          <w:noProof/>
        </w:rPr>
        <w:tab/>
        <w:t>повишаване на конкурентоспособността на държавите партньори от ИАО;</w:t>
      </w:r>
    </w:p>
    <w:p>
      <w:pPr>
        <w:pStyle w:val="Point1"/>
        <w:rPr>
          <w:noProof/>
        </w:rPr>
      </w:pPr>
      <w:r>
        <w:rPr>
          <w:noProof/>
        </w:rPr>
        <w:t>б)</w:t>
      </w:r>
      <w:r>
        <w:rPr>
          <w:noProof/>
        </w:rPr>
        <w:tab/>
        <w:t>преодоляване на ограниченията по отношение на предлагането на институционално, национално и регионално равнище; както и</w:t>
      </w:r>
    </w:p>
    <w:p>
      <w:pPr>
        <w:pStyle w:val="Point1"/>
        <w:rPr>
          <w:rFonts w:eastAsia="Calibri" w:cs="Courier New"/>
          <w:noProof/>
          <w:color w:val="000000"/>
          <w:szCs w:val="24"/>
        </w:rPr>
      </w:pPr>
      <w:r>
        <w:rPr>
          <w:noProof/>
        </w:rPr>
        <w:t>в)</w:t>
      </w:r>
      <w:r>
        <w:rPr>
          <w:noProof/>
        </w:rPr>
        <w:tab/>
        <w:t>насърчаване на развитието на публично-частните партньорства.</w:t>
      </w:r>
    </w:p>
    <w:p>
      <w:pPr>
        <w:pStyle w:val="Titrearticle"/>
        <w:rPr>
          <w:rFonts w:eastAsia="Times New Roman"/>
          <w:b/>
          <w:noProof/>
          <w:color w:val="000000"/>
          <w:kern w:val="32"/>
          <w:szCs w:val="24"/>
        </w:rPr>
      </w:pPr>
      <w:r>
        <w:rPr>
          <w:b/>
          <w:noProof/>
          <w:color w:val="000000"/>
          <w:kern w:val="32"/>
        </w:rPr>
        <w:t>ЧЛЕН 79</w:t>
      </w:r>
    </w:p>
    <w:p>
      <w:pPr>
        <w:jc w:val="center"/>
        <w:rPr>
          <w:rFonts w:eastAsia="Times New Roman"/>
          <w:b/>
          <w:noProof/>
          <w:color w:val="000000"/>
          <w:kern w:val="32"/>
          <w:szCs w:val="24"/>
        </w:rPr>
      </w:pPr>
      <w:r>
        <w:rPr>
          <w:b/>
          <w:noProof/>
        </w:rPr>
        <w:t>Транспорт</w:t>
      </w:r>
    </w:p>
    <w:p>
      <w:pPr>
        <w:pStyle w:val="ManualNumPar1"/>
        <w:rPr>
          <w:noProof/>
        </w:rPr>
      </w:pPr>
      <w:r>
        <w:rPr>
          <w:noProof/>
          <w:color w:val="000000"/>
        </w:rPr>
        <w:t>1.</w:t>
      </w:r>
      <w:r>
        <w:rPr>
          <w:noProof/>
        </w:rPr>
        <w:tab/>
        <w:t xml:space="preserve">Сътрудничеството в областта на транспорта включва пътния, железопътния, въздушния и водния транспорт. </w:t>
      </w:r>
    </w:p>
    <w:p>
      <w:pPr>
        <w:pStyle w:val="ManualNumPar1"/>
        <w:rPr>
          <w:noProof/>
        </w:rPr>
      </w:pPr>
      <w:r>
        <w:rPr>
          <w:noProof/>
        </w:rPr>
        <w:t>2.</w:t>
      </w:r>
      <w:r>
        <w:rPr>
          <w:noProof/>
        </w:rPr>
        <w:tab/>
        <w:t>Целите в тази сфера са следните:</w:t>
      </w:r>
    </w:p>
    <w:p>
      <w:pPr>
        <w:pStyle w:val="Point1"/>
        <w:rPr>
          <w:noProof/>
        </w:rPr>
      </w:pPr>
      <w:r>
        <w:rPr>
          <w:noProof/>
          <w:color w:val="000000"/>
        </w:rPr>
        <w:t>а)</w:t>
      </w:r>
      <w:r>
        <w:rPr>
          <w:noProof/>
        </w:rPr>
        <w:tab/>
        <w:t xml:space="preserve">подобряване на националната и регионалната свързаност с цел задълбочаване на регионалната икономическа интеграция; </w:t>
      </w:r>
    </w:p>
    <w:p>
      <w:pPr>
        <w:pStyle w:val="Point1"/>
        <w:rPr>
          <w:noProof/>
        </w:rPr>
      </w:pPr>
      <w:r>
        <w:rPr>
          <w:noProof/>
        </w:rPr>
        <w:t>б)</w:t>
      </w:r>
      <w:r>
        <w:rPr>
          <w:noProof/>
        </w:rPr>
        <w:tab/>
        <w:t>разработване, преструктуриране, възстановяване, усъвършенстване и модернизиране на трайни и ефикасни транспортни системи на държавите партньори от ИАО;</w:t>
      </w:r>
    </w:p>
    <w:p>
      <w:pPr>
        <w:pStyle w:val="Point1"/>
        <w:rPr>
          <w:noProof/>
        </w:rPr>
      </w:pPr>
      <w:r>
        <w:rPr>
          <w:noProof/>
        </w:rPr>
        <w:t>в)</w:t>
      </w:r>
      <w:r>
        <w:rPr>
          <w:noProof/>
        </w:rPr>
        <w:tab/>
        <w:t xml:space="preserve">подобряване на транспорта на хора и стоки; както и </w:t>
      </w:r>
    </w:p>
    <w:p>
      <w:pPr>
        <w:pStyle w:val="Point1"/>
        <w:rPr>
          <w:rFonts w:eastAsia="Times New Roman"/>
          <w:noProof/>
          <w:color w:val="000000"/>
          <w:szCs w:val="24"/>
        </w:rPr>
      </w:pPr>
      <w:r>
        <w:rPr>
          <w:noProof/>
        </w:rPr>
        <w:t>г)</w:t>
      </w:r>
      <w:r>
        <w:rPr>
          <w:noProof/>
        </w:rPr>
        <w:tab/>
        <w:t>предоставяне на по-добър достъп до пазари посредством подобряване на пътния, въздушния, морския, речния и железопътния транспорт.</w:t>
      </w:r>
      <w:r>
        <w:rPr>
          <w:noProof/>
          <w:color w:val="000000"/>
        </w:rPr>
        <w:t xml:space="preserve"> </w:t>
      </w:r>
    </w:p>
    <w:p>
      <w:pPr>
        <w:pStyle w:val="ManualNumPar1"/>
        <w:rPr>
          <w:rFonts w:eastAsia="Times New Roman"/>
          <w:noProof/>
          <w:color w:val="000000"/>
          <w:szCs w:val="24"/>
        </w:rPr>
      </w:pPr>
      <w:r>
        <w:rPr>
          <w:noProof/>
          <w:color w:val="000000"/>
        </w:rPr>
        <w:t>3.</w:t>
      </w:r>
      <w:r>
        <w:rPr>
          <w:noProof/>
        </w:rPr>
        <w:tab/>
        <w:t>При спазване на разпоредбите на член 75, страните се споразумяват да си сътрудничат в следните области:</w:t>
      </w:r>
    </w:p>
    <w:p>
      <w:pPr>
        <w:pStyle w:val="Point1"/>
        <w:rPr>
          <w:rFonts w:eastAsia="Times New Roman"/>
          <w:noProof/>
          <w:color w:val="000000"/>
          <w:szCs w:val="24"/>
        </w:rPr>
      </w:pPr>
      <w:r>
        <w:rPr>
          <w:noProof/>
          <w:color w:val="000000"/>
        </w:rPr>
        <w:t>а)</w:t>
      </w:r>
      <w:r>
        <w:rPr>
          <w:noProof/>
        </w:rPr>
        <w:tab/>
      </w:r>
      <w:r>
        <w:rPr>
          <w:noProof/>
          <w:color w:val="000000"/>
        </w:rPr>
        <w:t>управление на транспортните системи;</w:t>
      </w:r>
    </w:p>
    <w:p>
      <w:pPr>
        <w:pStyle w:val="Point1"/>
        <w:rPr>
          <w:rFonts w:eastAsia="Times New Roman"/>
          <w:noProof/>
          <w:color w:val="000000"/>
          <w:szCs w:val="24"/>
        </w:rPr>
      </w:pPr>
      <w:r>
        <w:rPr>
          <w:noProof/>
          <w:color w:val="000000"/>
        </w:rPr>
        <w:t>б)</w:t>
      </w:r>
      <w:r>
        <w:rPr>
          <w:noProof/>
        </w:rPr>
        <w:tab/>
      </w:r>
      <w:r>
        <w:rPr>
          <w:noProof/>
          <w:color w:val="000000"/>
        </w:rPr>
        <w:t xml:space="preserve">подобряване, развитие и модернизиране на инфраструктурата на всички равнища, включително развитието на инфраструктурни мрежи за интермодален транспорт; </w:t>
      </w:r>
    </w:p>
    <w:p>
      <w:pPr>
        <w:pStyle w:val="Point1"/>
        <w:rPr>
          <w:rFonts w:eastAsia="Times New Roman"/>
          <w:noProof/>
          <w:color w:val="000000"/>
          <w:szCs w:val="24"/>
        </w:rPr>
      </w:pPr>
      <w:r>
        <w:rPr>
          <w:noProof/>
          <w:color w:val="000000"/>
        </w:rPr>
        <w:t>в)</w:t>
      </w:r>
      <w:r>
        <w:rPr>
          <w:noProof/>
        </w:rPr>
        <w:tab/>
      </w:r>
      <w:r>
        <w:rPr>
          <w:noProof/>
          <w:color w:val="000000"/>
        </w:rPr>
        <w:t xml:space="preserve">засилване на институционалния, техническия и административния капацитет на държавите партньори от ИАО по отношение на стандартите, гарантирането на качеството, метрологията и услугите по оценка на съответствието; </w:t>
      </w:r>
    </w:p>
    <w:p>
      <w:pPr>
        <w:pStyle w:val="Point1"/>
        <w:rPr>
          <w:rFonts w:eastAsia="Times New Roman"/>
          <w:noProof/>
          <w:color w:val="000000"/>
          <w:szCs w:val="24"/>
        </w:rPr>
      </w:pPr>
      <w:r>
        <w:rPr>
          <w:noProof/>
          <w:color w:val="000000"/>
        </w:rPr>
        <w:t>г)</w:t>
      </w:r>
      <w:r>
        <w:rPr>
          <w:noProof/>
        </w:rPr>
        <w:tab/>
      </w:r>
      <w:r>
        <w:rPr>
          <w:noProof/>
          <w:color w:val="000000"/>
        </w:rPr>
        <w:t xml:space="preserve">развитие и трансфер на технологии, иновации, обмен на информация, мрежи и предлагане на пазара; </w:t>
      </w:r>
    </w:p>
    <w:p>
      <w:pPr>
        <w:pStyle w:val="Point1"/>
        <w:rPr>
          <w:rFonts w:eastAsia="Times New Roman"/>
          <w:noProof/>
          <w:color w:val="000000"/>
          <w:szCs w:val="24"/>
        </w:rPr>
      </w:pPr>
      <w:r>
        <w:rPr>
          <w:noProof/>
          <w:color w:val="000000"/>
        </w:rPr>
        <w:t>д)</w:t>
      </w:r>
      <w:r>
        <w:rPr>
          <w:noProof/>
        </w:rPr>
        <w:tab/>
      </w:r>
      <w:r>
        <w:rPr>
          <w:noProof/>
          <w:color w:val="000000"/>
        </w:rPr>
        <w:t>насърчаване на партньорства, връзки и съвместни предприятия между икономическите оператори;</w:t>
      </w:r>
    </w:p>
    <w:p>
      <w:pPr>
        <w:pStyle w:val="Point1"/>
        <w:rPr>
          <w:rFonts w:eastAsia="Times New Roman"/>
          <w:noProof/>
          <w:color w:val="000000"/>
          <w:szCs w:val="24"/>
        </w:rPr>
      </w:pPr>
      <w:r>
        <w:rPr>
          <w:noProof/>
          <w:color w:val="000000"/>
        </w:rPr>
        <w:t>е)</w:t>
      </w:r>
      <w:r>
        <w:rPr>
          <w:noProof/>
        </w:rPr>
        <w:tab/>
      </w:r>
      <w:r>
        <w:rPr>
          <w:noProof/>
          <w:color w:val="000000"/>
        </w:rPr>
        <w:t>подобряване на безопасността и надеждността на транспортния сектор, включително метеорологичните прогнози, управлението на опасни стоки и спешни действия при аварии;</w:t>
      </w:r>
    </w:p>
    <w:p>
      <w:pPr>
        <w:pStyle w:val="Point1"/>
        <w:rPr>
          <w:rFonts w:eastAsia="Times New Roman"/>
          <w:noProof/>
          <w:color w:val="000000"/>
          <w:szCs w:val="24"/>
        </w:rPr>
      </w:pPr>
      <w:r>
        <w:rPr>
          <w:noProof/>
          <w:color w:val="000000"/>
        </w:rPr>
        <w:t>ж)</w:t>
      </w:r>
      <w:r>
        <w:rPr>
          <w:noProof/>
        </w:rPr>
        <w:tab/>
      </w:r>
      <w:r>
        <w:rPr>
          <w:noProof/>
          <w:color w:val="000000"/>
        </w:rPr>
        <w:t>развитие на регионални политики и регулаторни рамки в областта на транспорта.</w:t>
      </w:r>
    </w:p>
    <w:p>
      <w:pPr>
        <w:pStyle w:val="Titrearticle"/>
        <w:rPr>
          <w:rFonts w:eastAsia="Times New Roman"/>
          <w:b/>
          <w:bCs/>
          <w:noProof/>
          <w:color w:val="000000"/>
          <w:szCs w:val="24"/>
        </w:rPr>
      </w:pPr>
      <w:r>
        <w:rPr>
          <w:b/>
          <w:noProof/>
          <w:color w:val="000000"/>
          <w:kern w:val="32"/>
        </w:rPr>
        <w:t>ЧЛЕН 80</w:t>
      </w:r>
    </w:p>
    <w:p>
      <w:pPr>
        <w:jc w:val="center"/>
        <w:rPr>
          <w:rFonts w:eastAsia="Times New Roman"/>
          <w:b/>
          <w:bCs/>
          <w:noProof/>
          <w:color w:val="000000"/>
          <w:szCs w:val="24"/>
        </w:rPr>
      </w:pPr>
      <w:r>
        <w:rPr>
          <w:b/>
          <w:noProof/>
        </w:rPr>
        <w:t>Енергетика</w:t>
      </w:r>
    </w:p>
    <w:p>
      <w:pPr>
        <w:pStyle w:val="ManualNumPar1"/>
        <w:rPr>
          <w:rFonts w:eastAsia="Times New Roman"/>
          <w:noProof/>
          <w:color w:val="000000"/>
          <w:szCs w:val="24"/>
        </w:rPr>
      </w:pPr>
      <w:r>
        <w:rPr>
          <w:noProof/>
          <w:color w:val="000000"/>
        </w:rPr>
        <w:t>1.</w:t>
      </w:r>
      <w:r>
        <w:rPr>
          <w:noProof/>
        </w:rPr>
        <w:tab/>
      </w:r>
      <w:r>
        <w:rPr>
          <w:noProof/>
          <w:color w:val="000000"/>
        </w:rPr>
        <w:t>Сътрудничеството в сектора на енергетиката включва участие на публичния и на частния сектор в производството, преноса, разпределението и трансграничната търговия с енергия.</w:t>
      </w:r>
    </w:p>
    <w:p>
      <w:pPr>
        <w:pStyle w:val="ManualNumPar1"/>
        <w:rPr>
          <w:rFonts w:eastAsia="Times New Roman"/>
          <w:noProof/>
          <w:color w:val="000000"/>
          <w:szCs w:val="24"/>
        </w:rPr>
      </w:pPr>
      <w:r>
        <w:rPr>
          <w:noProof/>
          <w:color w:val="000000"/>
        </w:rPr>
        <w:t>2.</w:t>
      </w:r>
      <w:r>
        <w:rPr>
          <w:noProof/>
        </w:rPr>
        <w:tab/>
      </w:r>
      <w:r>
        <w:rPr>
          <w:noProof/>
          <w:color w:val="000000"/>
        </w:rPr>
        <w:t>Целите в тази сфера са следните:</w:t>
      </w:r>
    </w:p>
    <w:p>
      <w:pPr>
        <w:pStyle w:val="Point1"/>
        <w:rPr>
          <w:rFonts w:eastAsia="Times New Roman"/>
          <w:noProof/>
          <w:color w:val="000000"/>
          <w:szCs w:val="24"/>
        </w:rPr>
      </w:pPr>
      <w:r>
        <w:rPr>
          <w:noProof/>
          <w:color w:val="000000"/>
        </w:rPr>
        <w:t>а)</w:t>
      </w:r>
      <w:r>
        <w:rPr>
          <w:noProof/>
        </w:rPr>
        <w:tab/>
      </w:r>
      <w:r>
        <w:rPr>
          <w:noProof/>
          <w:color w:val="000000"/>
        </w:rPr>
        <w:t>развитие, увеличаване и разширяване на капацитета на региона за производство на енергия;</w:t>
      </w:r>
    </w:p>
    <w:p>
      <w:pPr>
        <w:pStyle w:val="Point1"/>
        <w:rPr>
          <w:rFonts w:eastAsia="Times New Roman"/>
          <w:noProof/>
          <w:color w:val="000000"/>
          <w:szCs w:val="24"/>
        </w:rPr>
      </w:pPr>
      <w:r>
        <w:rPr>
          <w:noProof/>
          <w:color w:val="000000"/>
        </w:rPr>
        <w:t>б)</w:t>
      </w:r>
      <w:r>
        <w:rPr>
          <w:noProof/>
        </w:rPr>
        <w:tab/>
      </w:r>
      <w:r>
        <w:rPr>
          <w:noProof/>
          <w:color w:val="000000"/>
        </w:rPr>
        <w:t>увеличаване на броя на алтернативните източници на енергия;</w:t>
      </w:r>
    </w:p>
    <w:p>
      <w:pPr>
        <w:pStyle w:val="Point1"/>
        <w:rPr>
          <w:rFonts w:eastAsia="Times New Roman"/>
          <w:noProof/>
          <w:color w:val="000000"/>
          <w:szCs w:val="24"/>
        </w:rPr>
      </w:pPr>
      <w:r>
        <w:rPr>
          <w:noProof/>
          <w:color w:val="000000"/>
        </w:rPr>
        <w:t>в)</w:t>
      </w:r>
      <w:r>
        <w:rPr>
          <w:noProof/>
        </w:rPr>
        <w:tab/>
      </w:r>
      <w:r>
        <w:rPr>
          <w:noProof/>
          <w:color w:val="000000"/>
        </w:rPr>
        <w:t>развитие, увеличаване и разширяване на мрежите;</w:t>
      </w:r>
    </w:p>
    <w:p>
      <w:pPr>
        <w:pStyle w:val="Point1"/>
        <w:rPr>
          <w:rFonts w:eastAsia="Times New Roman"/>
          <w:noProof/>
          <w:color w:val="000000"/>
          <w:szCs w:val="24"/>
        </w:rPr>
      </w:pPr>
      <w:r>
        <w:rPr>
          <w:noProof/>
          <w:color w:val="000000"/>
        </w:rPr>
        <w:t>г)</w:t>
      </w:r>
      <w:r>
        <w:rPr>
          <w:noProof/>
        </w:rPr>
        <w:tab/>
      </w:r>
      <w:r>
        <w:rPr>
          <w:noProof/>
          <w:color w:val="000000"/>
        </w:rPr>
        <w:t xml:space="preserve">развитие, увеличаване и разширяване на разпределението и преноса; </w:t>
      </w:r>
    </w:p>
    <w:p>
      <w:pPr>
        <w:pStyle w:val="Point1"/>
        <w:rPr>
          <w:rFonts w:eastAsia="Times New Roman"/>
          <w:noProof/>
          <w:color w:val="000000"/>
          <w:szCs w:val="24"/>
        </w:rPr>
      </w:pPr>
      <w:r>
        <w:rPr>
          <w:noProof/>
          <w:color w:val="000000"/>
        </w:rPr>
        <w:t>д)</w:t>
      </w:r>
      <w:r>
        <w:rPr>
          <w:noProof/>
        </w:rPr>
        <w:tab/>
      </w:r>
      <w:r>
        <w:rPr>
          <w:noProof/>
          <w:color w:val="000000"/>
        </w:rPr>
        <w:t xml:space="preserve">подобряване на достъпа на държавите партньори от ИАО до съвременни, ефективни, надеждни, разнородни, устойчиви и възобновяеми източници на чиста енергия на конкурентни цени; </w:t>
      </w:r>
    </w:p>
    <w:p>
      <w:pPr>
        <w:pStyle w:val="Point1"/>
        <w:rPr>
          <w:rFonts w:eastAsia="Times New Roman"/>
          <w:noProof/>
          <w:color w:val="000000"/>
          <w:szCs w:val="24"/>
        </w:rPr>
      </w:pPr>
      <w:r>
        <w:rPr>
          <w:noProof/>
          <w:color w:val="000000"/>
        </w:rPr>
        <w:t>е)</w:t>
      </w:r>
      <w:r>
        <w:rPr>
          <w:noProof/>
        </w:rPr>
        <w:tab/>
      </w:r>
      <w:r>
        <w:rPr>
          <w:noProof/>
          <w:color w:val="000000"/>
        </w:rPr>
        <w:t>увеличаване на капацитета по отношение на производството, разпределението и управлението на енергията на национално и регионално равнище;</w:t>
      </w:r>
    </w:p>
    <w:p>
      <w:pPr>
        <w:pStyle w:val="Point1"/>
        <w:rPr>
          <w:rFonts w:eastAsia="Times New Roman"/>
          <w:noProof/>
          <w:color w:val="000000"/>
          <w:szCs w:val="24"/>
        </w:rPr>
      </w:pPr>
      <w:r>
        <w:rPr>
          <w:noProof/>
          <w:color w:val="000000"/>
        </w:rPr>
        <w:t>ж)</w:t>
      </w:r>
      <w:r>
        <w:rPr>
          <w:noProof/>
        </w:rPr>
        <w:tab/>
      </w:r>
      <w:r>
        <w:rPr>
          <w:noProof/>
          <w:color w:val="000000"/>
        </w:rPr>
        <w:t xml:space="preserve">насърчаване на свързаността на мощностите, както в рамките на държавите партньори от ИАО, така и извън нея, за максимално използване на енергията; както и </w:t>
      </w:r>
    </w:p>
    <w:p>
      <w:pPr>
        <w:pStyle w:val="Point1"/>
        <w:rPr>
          <w:rFonts w:eastAsia="Times New Roman"/>
          <w:noProof/>
          <w:color w:val="000000"/>
          <w:szCs w:val="24"/>
        </w:rPr>
      </w:pPr>
      <w:r>
        <w:rPr>
          <w:noProof/>
          <w:color w:val="000000"/>
        </w:rPr>
        <w:t>з)</w:t>
      </w:r>
      <w:r>
        <w:rPr>
          <w:noProof/>
        </w:rPr>
        <w:tab/>
      </w:r>
      <w:r>
        <w:rPr>
          <w:noProof/>
          <w:color w:val="000000"/>
        </w:rPr>
        <w:t>оказване на подкрепа за установяване на благоприятна среда за привличане на инвестиции в този сектор.</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Times New Roman"/>
          <w:noProof/>
          <w:color w:val="000000"/>
          <w:szCs w:val="24"/>
        </w:rPr>
      </w:pPr>
      <w:r>
        <w:rPr>
          <w:noProof/>
          <w:color w:val="000000"/>
        </w:rPr>
        <w:t>а)</w:t>
      </w:r>
      <w:r>
        <w:rPr>
          <w:noProof/>
        </w:rPr>
        <w:tab/>
      </w:r>
      <w:r>
        <w:rPr>
          <w:noProof/>
          <w:color w:val="000000"/>
        </w:rPr>
        <w:t>капацитет за производство, разпределение и пренос на енергия от съществуващи източници, и по-специално вода, нефт и биомаса;</w:t>
      </w:r>
    </w:p>
    <w:p>
      <w:pPr>
        <w:pStyle w:val="Point1"/>
        <w:rPr>
          <w:rFonts w:eastAsia="Times New Roman"/>
          <w:noProof/>
          <w:color w:val="000000"/>
          <w:szCs w:val="24"/>
        </w:rPr>
      </w:pPr>
      <w:r>
        <w:rPr>
          <w:noProof/>
          <w:color w:val="000000"/>
        </w:rPr>
        <w:t>б)</w:t>
      </w:r>
      <w:r>
        <w:rPr>
          <w:noProof/>
        </w:rPr>
        <w:tab/>
      </w:r>
      <w:r>
        <w:rPr>
          <w:noProof/>
          <w:color w:val="000000"/>
        </w:rPr>
        <w:t xml:space="preserve">диверсифициране на комбинацията от енергоносители, за да включва други възможни източници на енергия, които са социално и екологично приемливи и намаляват зависимостта от нефт; </w:t>
      </w:r>
    </w:p>
    <w:p>
      <w:pPr>
        <w:pStyle w:val="Point1"/>
        <w:rPr>
          <w:rFonts w:eastAsia="Times New Roman"/>
          <w:noProof/>
          <w:color w:val="000000"/>
          <w:szCs w:val="24"/>
        </w:rPr>
      </w:pPr>
      <w:r>
        <w:rPr>
          <w:noProof/>
          <w:color w:val="000000"/>
        </w:rPr>
        <w:t>в)</w:t>
      </w:r>
      <w:r>
        <w:rPr>
          <w:noProof/>
        </w:rPr>
        <w:tab/>
      </w:r>
      <w:r>
        <w:rPr>
          <w:noProof/>
          <w:color w:val="000000"/>
        </w:rPr>
        <w:t>развитие на енергийната инфраструктура, включително в селските райони;</w:t>
      </w:r>
    </w:p>
    <w:p>
      <w:pPr>
        <w:pStyle w:val="Point1"/>
        <w:rPr>
          <w:rFonts w:eastAsia="Times New Roman"/>
          <w:noProof/>
          <w:color w:val="000000"/>
          <w:szCs w:val="24"/>
        </w:rPr>
      </w:pPr>
      <w:r>
        <w:rPr>
          <w:noProof/>
          <w:color w:val="000000"/>
        </w:rPr>
        <w:t>г)</w:t>
      </w:r>
      <w:r>
        <w:rPr>
          <w:noProof/>
        </w:rPr>
        <w:tab/>
      </w:r>
      <w:r>
        <w:rPr>
          <w:noProof/>
          <w:color w:val="000000"/>
        </w:rPr>
        <w:t>разработване на подходящи реформи в областта на регулирането и политиката в сектора на енергетиката, включително търговското реализиране и приватизация;</w:t>
      </w:r>
    </w:p>
    <w:p>
      <w:pPr>
        <w:pStyle w:val="Point1"/>
        <w:rPr>
          <w:rFonts w:eastAsia="Times New Roman"/>
          <w:noProof/>
          <w:color w:val="000000"/>
          <w:szCs w:val="24"/>
        </w:rPr>
      </w:pPr>
      <w:r>
        <w:rPr>
          <w:noProof/>
          <w:color w:val="000000"/>
        </w:rPr>
        <w:t>д)</w:t>
      </w:r>
      <w:r>
        <w:rPr>
          <w:noProof/>
        </w:rPr>
        <w:tab/>
      </w:r>
      <w:r>
        <w:rPr>
          <w:noProof/>
          <w:color w:val="000000"/>
        </w:rPr>
        <w:t>свързаност и сътрудничество на регионално и вътрешнорегионално равнище при производството и разпределението на енергия;</w:t>
      </w:r>
    </w:p>
    <w:p>
      <w:pPr>
        <w:pStyle w:val="Point1"/>
        <w:rPr>
          <w:rFonts w:eastAsia="Times New Roman"/>
          <w:noProof/>
          <w:color w:val="000000"/>
          <w:szCs w:val="24"/>
        </w:rPr>
      </w:pPr>
      <w:r>
        <w:rPr>
          <w:noProof/>
          <w:color w:val="000000"/>
        </w:rPr>
        <w:t>е)</w:t>
      </w:r>
      <w:r>
        <w:rPr>
          <w:noProof/>
        </w:rPr>
        <w:tab/>
      </w:r>
      <w:r>
        <w:rPr>
          <w:noProof/>
          <w:color w:val="000000"/>
        </w:rPr>
        <w:t>изграждане на капацитет по отношение на човешките ресурси, подобряване на управлението, стандартите за услуги и институционалните структури;</w:t>
      </w:r>
    </w:p>
    <w:p>
      <w:pPr>
        <w:pStyle w:val="Point1"/>
        <w:rPr>
          <w:rFonts w:eastAsia="Times New Roman"/>
          <w:noProof/>
          <w:color w:val="000000"/>
          <w:szCs w:val="24"/>
        </w:rPr>
      </w:pPr>
      <w:r>
        <w:rPr>
          <w:noProof/>
          <w:color w:val="000000"/>
        </w:rPr>
        <w:t>ж)</w:t>
      </w:r>
      <w:r>
        <w:rPr>
          <w:noProof/>
        </w:rPr>
        <w:tab/>
      </w:r>
      <w:r>
        <w:rPr>
          <w:noProof/>
          <w:color w:val="000000"/>
        </w:rPr>
        <w:t>разработване и трансфер на технологии, научноизследователска и развойна дейност, иновации, информационен обмен, разработване на бази данни и мрежи;</w:t>
      </w:r>
    </w:p>
    <w:p>
      <w:pPr>
        <w:pStyle w:val="Point1"/>
        <w:rPr>
          <w:rFonts w:eastAsia="Calibri" w:cs="Courier New"/>
          <w:noProof/>
          <w:color w:val="000000"/>
          <w:szCs w:val="24"/>
        </w:rPr>
      </w:pPr>
      <w:r>
        <w:rPr>
          <w:noProof/>
          <w:color w:val="000000"/>
        </w:rPr>
        <w:t>з)</w:t>
      </w:r>
      <w:r>
        <w:rPr>
          <w:noProof/>
        </w:rPr>
        <w:tab/>
      </w:r>
      <w:r>
        <w:rPr>
          <w:noProof/>
          <w:color w:val="000000"/>
        </w:rPr>
        <w:t xml:space="preserve">партньорства, връзки и съвместни предприятия. </w:t>
      </w:r>
    </w:p>
    <w:p>
      <w:pPr>
        <w:pStyle w:val="Titrearticle"/>
        <w:rPr>
          <w:rFonts w:eastAsia="Times New Roman"/>
          <w:b/>
          <w:bCs/>
          <w:noProof/>
          <w:color w:val="000000"/>
          <w:szCs w:val="24"/>
        </w:rPr>
      </w:pPr>
      <w:r>
        <w:rPr>
          <w:b/>
          <w:noProof/>
          <w:color w:val="000000"/>
          <w:kern w:val="32"/>
        </w:rPr>
        <w:t>ЧЛЕН 81</w:t>
      </w:r>
    </w:p>
    <w:p>
      <w:pPr>
        <w:jc w:val="center"/>
        <w:rPr>
          <w:rFonts w:eastAsia="Times New Roman"/>
          <w:b/>
          <w:noProof/>
          <w:color w:val="000000"/>
          <w:szCs w:val="24"/>
        </w:rPr>
      </w:pPr>
      <w:r>
        <w:rPr>
          <w:b/>
          <w:noProof/>
        </w:rPr>
        <w:t>Информационни и комуникационни технологии (ИКТ)</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в сектора на ИКТ включва: развитието на информационните и комуникационните технологии, конкурентоспособността, иновациите, както и плавния преход към информационното общество. </w:t>
      </w:r>
    </w:p>
    <w:p>
      <w:pPr>
        <w:pStyle w:val="ManualNumPar1"/>
        <w:rPr>
          <w:rFonts w:eastAsia="Times New Roman"/>
          <w:noProof/>
          <w:color w:val="000000"/>
          <w:szCs w:val="24"/>
        </w:rPr>
      </w:pPr>
      <w:r>
        <w:rPr>
          <w:noProof/>
          <w:color w:val="000000"/>
        </w:rPr>
        <w:t>2.</w:t>
      </w:r>
      <w:r>
        <w:rPr>
          <w:noProof/>
        </w:rPr>
        <w:tab/>
      </w:r>
      <w:r>
        <w:rPr>
          <w:noProof/>
          <w:color w:val="000000"/>
        </w:rPr>
        <w:t>Целите в тази сфера са следните:</w:t>
      </w:r>
    </w:p>
    <w:p>
      <w:pPr>
        <w:pStyle w:val="Point1"/>
        <w:rPr>
          <w:rFonts w:eastAsia="Times New Roman"/>
          <w:noProof/>
          <w:color w:val="000000"/>
          <w:szCs w:val="24"/>
        </w:rPr>
      </w:pPr>
      <w:r>
        <w:rPr>
          <w:noProof/>
          <w:color w:val="000000"/>
        </w:rPr>
        <w:t>а)</w:t>
      </w:r>
      <w:r>
        <w:rPr>
          <w:noProof/>
        </w:rPr>
        <w:tab/>
      </w:r>
      <w:r>
        <w:rPr>
          <w:noProof/>
          <w:color w:val="000000"/>
        </w:rPr>
        <w:t>развитие на сектора на ИКТ;</w:t>
      </w:r>
    </w:p>
    <w:p>
      <w:pPr>
        <w:pStyle w:val="Point1"/>
        <w:rPr>
          <w:rFonts w:eastAsia="Times New Roman"/>
          <w:b/>
          <w:bCs/>
          <w:noProof/>
          <w:color w:val="000000"/>
          <w:szCs w:val="24"/>
        </w:rPr>
      </w:pPr>
      <w:r>
        <w:rPr>
          <w:noProof/>
          <w:color w:val="000000"/>
        </w:rPr>
        <w:t>б)</w:t>
      </w:r>
      <w:r>
        <w:rPr>
          <w:noProof/>
        </w:rPr>
        <w:tab/>
      </w:r>
      <w:r>
        <w:rPr>
          <w:noProof/>
          <w:color w:val="000000"/>
        </w:rPr>
        <w:t>засилване на приноса на ИКТ в улесняването на търговията посредством електронни услуги, електронна търговия, електронно правителство, електронно здравеопазване, сигурни трансакции и други социално-икономически сектори.</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Calibri" w:cs="Courier New"/>
          <w:noProof/>
          <w:color w:val="000000"/>
          <w:szCs w:val="24"/>
        </w:rPr>
      </w:pPr>
      <w:r>
        <w:rPr>
          <w:noProof/>
          <w:color w:val="000000"/>
        </w:rPr>
        <w:t>а)</w:t>
      </w:r>
      <w:r>
        <w:rPr>
          <w:noProof/>
        </w:rPr>
        <w:tab/>
      </w:r>
      <w:r>
        <w:rPr>
          <w:noProof/>
          <w:color w:val="000000"/>
        </w:rPr>
        <w:t xml:space="preserve">свързаност и ценова ефективност на ИКТ на национално, регионално и глобално равнище; </w:t>
      </w:r>
    </w:p>
    <w:p>
      <w:pPr>
        <w:pStyle w:val="Point1"/>
        <w:rPr>
          <w:rFonts w:eastAsia="Calibri" w:cs="Courier New"/>
          <w:noProof/>
          <w:color w:val="000000"/>
          <w:szCs w:val="24"/>
        </w:rPr>
      </w:pPr>
      <w:r>
        <w:rPr>
          <w:noProof/>
          <w:color w:val="000000"/>
        </w:rPr>
        <w:t>б)</w:t>
      </w:r>
      <w:r>
        <w:rPr>
          <w:noProof/>
        </w:rPr>
        <w:tab/>
      </w:r>
      <w:r>
        <w:rPr>
          <w:noProof/>
          <w:color w:val="000000"/>
        </w:rPr>
        <w:t>разпространяване на нови информационни и комуникационни технологии;</w:t>
      </w:r>
    </w:p>
    <w:p>
      <w:pPr>
        <w:pStyle w:val="Point1"/>
        <w:rPr>
          <w:rFonts w:eastAsia="Calibri" w:cs="Courier New"/>
          <w:noProof/>
          <w:color w:val="000000"/>
          <w:szCs w:val="24"/>
        </w:rPr>
      </w:pPr>
      <w:r>
        <w:rPr>
          <w:noProof/>
          <w:color w:val="000000"/>
        </w:rPr>
        <w:t>в)</w:t>
      </w:r>
      <w:r>
        <w:rPr>
          <w:noProof/>
        </w:rPr>
        <w:tab/>
      </w:r>
      <w:r>
        <w:rPr>
          <w:noProof/>
          <w:color w:val="000000"/>
        </w:rPr>
        <w:t xml:space="preserve">разработване на правни и регулаторни рамки за ИКТ; </w:t>
      </w:r>
    </w:p>
    <w:p>
      <w:pPr>
        <w:pStyle w:val="Point1"/>
        <w:rPr>
          <w:rFonts w:eastAsia="Calibri" w:cs="Courier New"/>
          <w:noProof/>
          <w:color w:val="000000"/>
          <w:szCs w:val="24"/>
        </w:rPr>
      </w:pPr>
      <w:r>
        <w:rPr>
          <w:noProof/>
          <w:color w:val="000000"/>
        </w:rPr>
        <w:t>г)</w:t>
      </w:r>
      <w:r>
        <w:rPr>
          <w:noProof/>
        </w:rPr>
        <w:tab/>
      </w:r>
      <w:r>
        <w:rPr>
          <w:noProof/>
          <w:color w:val="000000"/>
        </w:rPr>
        <w:t>развитие, трансфер и приложения на технологии, научноизследователска и развойна дейност, иновации, информационен обмен и мрежи и предлагане на пазара;</w:t>
      </w:r>
    </w:p>
    <w:p>
      <w:pPr>
        <w:pStyle w:val="Point1"/>
        <w:rPr>
          <w:rFonts w:eastAsia="Calibri" w:cs="Courier New"/>
          <w:noProof/>
          <w:color w:val="000000"/>
          <w:szCs w:val="24"/>
        </w:rPr>
      </w:pPr>
      <w:r>
        <w:rPr>
          <w:noProof/>
          <w:color w:val="000000"/>
        </w:rPr>
        <w:t>д)</w:t>
      </w:r>
      <w:r>
        <w:rPr>
          <w:noProof/>
        </w:rPr>
        <w:tab/>
      </w:r>
      <w:r>
        <w:rPr>
          <w:noProof/>
          <w:color w:val="000000"/>
        </w:rPr>
        <w:t xml:space="preserve">изграждане на капацитет по отношение на човешките ресурси, подобряване на стандартите за услуги и институционалните структури; </w:t>
      </w:r>
    </w:p>
    <w:p>
      <w:pPr>
        <w:pStyle w:val="Point1"/>
        <w:rPr>
          <w:rFonts w:eastAsia="Calibri" w:cs="Courier New"/>
          <w:noProof/>
          <w:color w:val="000000"/>
          <w:szCs w:val="24"/>
        </w:rPr>
      </w:pPr>
      <w:r>
        <w:rPr>
          <w:noProof/>
          <w:color w:val="000000"/>
        </w:rPr>
        <w:t>е)</w:t>
      </w:r>
      <w:r>
        <w:rPr>
          <w:noProof/>
        </w:rPr>
        <w:tab/>
      </w:r>
      <w:r>
        <w:rPr>
          <w:noProof/>
          <w:color w:val="000000"/>
        </w:rPr>
        <w:t xml:space="preserve">партньорства, връзки и съвместни предприятия между икономическите оператори; </w:t>
      </w:r>
    </w:p>
    <w:p>
      <w:pPr>
        <w:pStyle w:val="Point1"/>
        <w:rPr>
          <w:rFonts w:eastAsia="Times New Roman"/>
          <w:noProof/>
          <w:color w:val="000000"/>
          <w:szCs w:val="24"/>
        </w:rPr>
      </w:pPr>
      <w:r>
        <w:rPr>
          <w:noProof/>
          <w:color w:val="000000"/>
        </w:rPr>
        <w:t>ж)</w:t>
      </w:r>
      <w:r>
        <w:rPr>
          <w:noProof/>
        </w:rPr>
        <w:tab/>
      </w:r>
      <w:r>
        <w:rPr>
          <w:noProof/>
          <w:color w:val="000000"/>
        </w:rPr>
        <w:t>насърчаване и оказване на подкрепа за разработването на пазарни ниши за услуги, основаващи се на ИКТ.</w:t>
      </w:r>
    </w:p>
    <w:p>
      <w:pPr>
        <w:jc w:val="center"/>
        <w:rPr>
          <w:b/>
          <w:noProof/>
          <w:sz w:val="28"/>
          <w:szCs w:val="28"/>
        </w:rPr>
      </w:pPr>
      <w:r>
        <w:rPr>
          <w:b/>
          <w:noProof/>
          <w:sz w:val="28"/>
        </w:rPr>
        <w:t xml:space="preserve">ДЯЛ II: </w:t>
      </w:r>
      <w:bookmarkStart w:id="26" w:name="_Toc306374505"/>
      <w:r>
        <w:rPr>
          <w:b/>
          <w:noProof/>
          <w:sz w:val="28"/>
        </w:rPr>
        <w:t>СЕЛСКО СТОПАНСТВО</w:t>
      </w:r>
      <w:bookmarkEnd w:id="26"/>
    </w:p>
    <w:p>
      <w:pPr>
        <w:pStyle w:val="Titrearticle"/>
        <w:rPr>
          <w:rFonts w:eastAsia="Times New Roman"/>
          <w:b/>
          <w:bCs/>
          <w:noProof/>
          <w:color w:val="000000"/>
          <w:szCs w:val="24"/>
        </w:rPr>
      </w:pPr>
      <w:r>
        <w:rPr>
          <w:b/>
          <w:noProof/>
          <w:color w:val="000000"/>
          <w:kern w:val="32"/>
        </w:rPr>
        <w:t>ЧЛЕН 82</w:t>
      </w:r>
    </w:p>
    <w:p>
      <w:pPr>
        <w:jc w:val="center"/>
        <w:rPr>
          <w:rFonts w:eastAsia="Times New Roman"/>
          <w:b/>
          <w:bCs/>
          <w:noProof/>
          <w:color w:val="000000"/>
          <w:szCs w:val="24"/>
        </w:rPr>
      </w:pPr>
      <w:r>
        <w:rPr>
          <w:b/>
          <w:noProof/>
        </w:rPr>
        <w:t>Обхват и цели</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по настоящия дял се прилага за растениевъдството и животновъдството, включително за отглеждането на насекоми за стопански цели. </w:t>
      </w:r>
    </w:p>
    <w:p>
      <w:pPr>
        <w:pStyle w:val="ManualNumPar1"/>
        <w:rPr>
          <w:rFonts w:eastAsia="Times New Roman"/>
          <w:noProof/>
          <w:color w:val="000000"/>
          <w:szCs w:val="24"/>
        </w:rPr>
      </w:pPr>
      <w:r>
        <w:rPr>
          <w:noProof/>
          <w:color w:val="000000"/>
        </w:rPr>
        <w:t>2.</w:t>
      </w:r>
      <w:r>
        <w:rPr>
          <w:noProof/>
        </w:rPr>
        <w:tab/>
      </w:r>
      <w:r>
        <w:rPr>
          <w:noProof/>
          <w:color w:val="000000"/>
        </w:rPr>
        <w:t xml:space="preserve">Страните се споразумяват, че основната цел на настоящия дял е устойчиво развитие на селското стопанство, което включва, но не е ограничено до продоволствената сигурност и осигуряването на препитанието, развитието на селските райони и намаляването на бедността в държавите партньори от ИАО. </w:t>
      </w:r>
    </w:p>
    <w:p>
      <w:pPr>
        <w:pStyle w:val="ManualNumPar1"/>
        <w:rPr>
          <w:rFonts w:eastAsia="Times New Roman"/>
          <w:noProof/>
          <w:color w:val="000000"/>
          <w:szCs w:val="24"/>
        </w:rPr>
      </w:pPr>
      <w:r>
        <w:rPr>
          <w:noProof/>
          <w:color w:val="000000"/>
        </w:rPr>
        <w:t>3.</w:t>
      </w:r>
      <w:r>
        <w:rPr>
          <w:noProof/>
        </w:rPr>
        <w:tab/>
      </w:r>
      <w:r>
        <w:rPr>
          <w:noProof/>
          <w:color w:val="000000"/>
        </w:rPr>
        <w:t>Другите цели на настоящия дял са определени в член 58 от част IV.</w:t>
      </w:r>
    </w:p>
    <w:p>
      <w:pPr>
        <w:pStyle w:val="Titrearticle"/>
        <w:rPr>
          <w:rFonts w:eastAsia="Times New Roman"/>
          <w:b/>
          <w:bCs/>
          <w:noProof/>
          <w:color w:val="000000"/>
          <w:szCs w:val="24"/>
        </w:rPr>
      </w:pPr>
      <w:r>
        <w:rPr>
          <w:b/>
          <w:noProof/>
          <w:color w:val="000000"/>
        </w:rPr>
        <w:t>ЧЛЕН 83</w:t>
      </w:r>
    </w:p>
    <w:p>
      <w:pPr>
        <w:jc w:val="center"/>
        <w:rPr>
          <w:rFonts w:eastAsia="Times New Roman"/>
          <w:b/>
          <w:bCs/>
          <w:noProof/>
          <w:color w:val="000000"/>
          <w:szCs w:val="24"/>
        </w:rPr>
      </w:pPr>
      <w:r>
        <w:rPr>
          <w:b/>
          <w:noProof/>
          <w:color w:val="000000"/>
        </w:rPr>
        <w:t>Области на сътрудничество</w:t>
      </w:r>
    </w:p>
    <w:p>
      <w:pPr>
        <w:pStyle w:val="ManualNumPar1"/>
        <w:rPr>
          <w:rFonts w:eastAsia="Times New Roman"/>
          <w:noProof/>
          <w:color w:val="000000"/>
          <w:szCs w:val="24"/>
        </w:rPr>
      </w:pPr>
      <w:r>
        <w:rPr>
          <w:noProof/>
          <w:color w:val="000000"/>
        </w:rPr>
        <w:t>1.</w:t>
      </w:r>
      <w:r>
        <w:rPr>
          <w:noProof/>
        </w:rPr>
        <w:tab/>
      </w:r>
      <w:r>
        <w:rPr>
          <w:noProof/>
          <w:color w:val="000000"/>
        </w:rPr>
        <w:t xml:space="preserve">Страните признават важността на селскостопанския сектор за икономиките на държавите партньори от ИАО и се споразумяват да си сътрудничат за насърчаване на неговото преобразуване с цел увеличаване на конкурентоспособността му, гарантиране на продоволствената сигурност и сигурността на храните и развитието на селските райони, както и за улесняване на адаптирането на селското стопанство и икономиката в селските райони, за да се се вземат предвид последиците от прилагането на настоящото споразумение, като се отделя специално внимание на дребните селскостопански производители. </w:t>
      </w:r>
    </w:p>
    <w:p>
      <w:pPr>
        <w:pStyle w:val="ManualNumPar1"/>
        <w:rPr>
          <w:rFonts w:eastAsia="Times New Roman"/>
          <w:noProof/>
          <w:color w:val="000000"/>
          <w:szCs w:val="24"/>
        </w:rPr>
      </w:pPr>
      <w:r>
        <w:rPr>
          <w:noProof/>
          <w:color w:val="000000"/>
        </w:rPr>
        <w:t>2.</w:t>
      </w:r>
      <w:r>
        <w:rPr>
          <w:noProof/>
        </w:rPr>
        <w:tab/>
      </w:r>
      <w:r>
        <w:rPr>
          <w:noProof/>
          <w:color w:val="000000"/>
        </w:rPr>
        <w:t>Страните се споразумяват да си сътрудничат в следните области:</w:t>
      </w:r>
    </w:p>
    <w:p>
      <w:pPr>
        <w:jc w:val="center"/>
        <w:rPr>
          <w:rFonts w:eastAsia="Times New Roman"/>
          <w:b/>
          <w:noProof/>
          <w:color w:val="000000"/>
          <w:szCs w:val="24"/>
        </w:rPr>
      </w:pPr>
      <w:r>
        <w:rPr>
          <w:b/>
          <w:noProof/>
          <w:color w:val="000000"/>
        </w:rPr>
        <w:t>а) Регионална интеграция</w:t>
      </w:r>
    </w:p>
    <w:p>
      <w:pPr>
        <w:rPr>
          <w:rFonts w:eastAsia="Times New Roman"/>
          <w:noProof/>
          <w:color w:val="000000"/>
          <w:szCs w:val="24"/>
        </w:rPr>
      </w:pPr>
      <w:r>
        <w:rPr>
          <w:noProof/>
          <w:color w:val="000000"/>
        </w:rPr>
        <w:t>Подобряване на достъпа до регионални и международни пазари за селскостопански продукти, включително развитието на пазарни системи и стратегии за развитие на пазарите;</w:t>
      </w:r>
    </w:p>
    <w:p>
      <w:pPr>
        <w:jc w:val="center"/>
        <w:rPr>
          <w:rFonts w:eastAsia="Times New Roman"/>
          <w:b/>
          <w:noProof/>
          <w:color w:val="000000"/>
          <w:szCs w:val="24"/>
        </w:rPr>
      </w:pPr>
      <w:r>
        <w:rPr>
          <w:b/>
          <w:noProof/>
          <w:color w:val="000000"/>
        </w:rPr>
        <w:t>б) Спомагателни политики</w:t>
      </w:r>
    </w:p>
    <w:p>
      <w:pPr>
        <w:pStyle w:val="Point1"/>
        <w:rPr>
          <w:noProof/>
        </w:rPr>
      </w:pPr>
      <w:r>
        <w:rPr>
          <w:noProof/>
        </w:rPr>
        <w:t>i)</w:t>
      </w:r>
      <w:r>
        <w:rPr>
          <w:noProof/>
        </w:rPr>
        <w:tab/>
        <w:t>разработване на национални и регионални политики, правни и регулаторни рамки в областта на селското стопанство, изграждане на необходимия капацитет и подкрепа за институционалното развитие;</w:t>
      </w:r>
    </w:p>
    <w:p>
      <w:pPr>
        <w:pStyle w:val="Point1"/>
        <w:rPr>
          <w:noProof/>
        </w:rPr>
      </w:pPr>
      <w:r>
        <w:rPr>
          <w:noProof/>
        </w:rPr>
        <w:t>ii)</w:t>
      </w:r>
      <w:r>
        <w:rPr>
          <w:noProof/>
        </w:rPr>
        <w:tab/>
        <w:t>изграждане на капацитет в държавите партньори от ИАО, за да може те да се възползват в пълна степен от увеличените възможности за търговия и да се увеличат в максимална степен ползите от търговските реформи;</w:t>
      </w:r>
    </w:p>
    <w:p>
      <w:pPr>
        <w:jc w:val="center"/>
        <w:rPr>
          <w:rFonts w:eastAsia="Times New Roman"/>
          <w:b/>
          <w:noProof/>
          <w:color w:val="000000"/>
          <w:szCs w:val="24"/>
        </w:rPr>
      </w:pPr>
      <w:r>
        <w:rPr>
          <w:b/>
          <w:noProof/>
          <w:color w:val="000000"/>
        </w:rPr>
        <w:t>в) Устойчиво развитие на селското стопанство</w:t>
      </w:r>
    </w:p>
    <w:p>
      <w:pPr>
        <w:pStyle w:val="Point1"/>
        <w:rPr>
          <w:noProof/>
        </w:rPr>
      </w:pPr>
      <w:r>
        <w:rPr>
          <w:noProof/>
        </w:rPr>
        <w:t>i)</w:t>
      </w:r>
      <w:r>
        <w:rPr>
          <w:noProof/>
        </w:rPr>
        <w:tab/>
        <w:t>осъществяване на съвместни дейности на регионално равнище, включително производството на торове, производството на семена, развитието на животновъдството и контрола върху болестите по растенията и животните;</w:t>
      </w:r>
    </w:p>
    <w:p>
      <w:pPr>
        <w:pStyle w:val="Point1"/>
        <w:rPr>
          <w:noProof/>
        </w:rPr>
      </w:pPr>
      <w:r>
        <w:rPr>
          <w:noProof/>
        </w:rPr>
        <w:t>ii)</w:t>
      </w:r>
      <w:r>
        <w:rPr>
          <w:noProof/>
        </w:rPr>
        <w:tab/>
        <w:t>насърчаване и укрепване на преработката, предлагането на пазара, разпространението и превоза, както и обработката на селскостопански продукти;</w:t>
      </w:r>
    </w:p>
    <w:p>
      <w:pPr>
        <w:pStyle w:val="Point1"/>
        <w:rPr>
          <w:rFonts w:eastAsia="Times New Roman"/>
          <w:noProof/>
          <w:color w:val="000000"/>
          <w:szCs w:val="24"/>
        </w:rPr>
      </w:pPr>
      <w:r>
        <w:rPr>
          <w:noProof/>
        </w:rPr>
        <w:t>iii)</w:t>
      </w:r>
      <w:r>
        <w:rPr>
          <w:noProof/>
        </w:rPr>
        <w:tab/>
        <w:t>изграждане на капацитет за спазване на международните стандарти, свързани със селскостопанското производство, опаковането и СФМ;</w:t>
      </w:r>
    </w:p>
    <w:p>
      <w:pPr>
        <w:jc w:val="center"/>
        <w:rPr>
          <w:rFonts w:eastAsia="Times New Roman"/>
          <w:b/>
          <w:noProof/>
          <w:color w:val="000000"/>
          <w:szCs w:val="24"/>
        </w:rPr>
      </w:pPr>
      <w:r>
        <w:rPr>
          <w:b/>
          <w:noProof/>
          <w:color w:val="000000"/>
        </w:rPr>
        <w:t>г) Селскостопанска инфраструктура</w:t>
      </w:r>
    </w:p>
    <w:p>
      <w:pPr>
        <w:pStyle w:val="Point1"/>
        <w:rPr>
          <w:rFonts w:eastAsia="Times New Roman"/>
          <w:noProof/>
          <w:color w:val="000000"/>
          <w:szCs w:val="24"/>
        </w:rPr>
      </w:pPr>
      <w:r>
        <w:rPr>
          <w:noProof/>
          <w:color w:val="000000"/>
        </w:rPr>
        <w:t>i)</w:t>
      </w:r>
      <w:r>
        <w:rPr>
          <w:noProof/>
        </w:rPr>
        <w:tab/>
      </w:r>
      <w:r>
        <w:rPr>
          <w:noProof/>
          <w:color w:val="000000"/>
        </w:rPr>
        <w:t>развитие на спомагателната селскостопанска инфраструктура, включително устойчиви напоителни системи, събиране, съхранение и управление на водите, предлагане на пазара и сортиране;</w:t>
      </w:r>
    </w:p>
    <w:p>
      <w:pPr>
        <w:pStyle w:val="Point1"/>
        <w:rPr>
          <w:rFonts w:eastAsia="Times New Roman"/>
          <w:noProof/>
          <w:color w:val="000000"/>
          <w:szCs w:val="24"/>
        </w:rPr>
      </w:pPr>
      <w:r>
        <w:rPr>
          <w:noProof/>
          <w:color w:val="000000"/>
        </w:rPr>
        <w:t>ii)</w:t>
      </w:r>
      <w:r>
        <w:rPr>
          <w:noProof/>
        </w:rPr>
        <w:tab/>
      </w:r>
      <w:r>
        <w:rPr>
          <w:noProof/>
          <w:color w:val="000000"/>
        </w:rPr>
        <w:t>развитие на инфраструктурата за научни изследвания и обучение, на съоръженията за съхранение, на обслужващи пътища и на пътища за достъп до местните общности;</w:t>
      </w:r>
    </w:p>
    <w:p>
      <w:pPr>
        <w:pStyle w:val="Point1"/>
        <w:rPr>
          <w:rFonts w:eastAsia="Times New Roman"/>
          <w:noProof/>
          <w:color w:val="000000"/>
          <w:szCs w:val="24"/>
        </w:rPr>
      </w:pPr>
      <w:r>
        <w:rPr>
          <w:noProof/>
          <w:color w:val="000000"/>
        </w:rPr>
        <w:t>iii)</w:t>
      </w:r>
      <w:r>
        <w:rPr>
          <w:noProof/>
        </w:rPr>
        <w:tab/>
      </w:r>
      <w:r>
        <w:rPr>
          <w:noProof/>
          <w:color w:val="000000"/>
        </w:rPr>
        <w:t>развитие на инфраструктурата за обработване на селскостопански продукти;</w:t>
      </w:r>
    </w:p>
    <w:p>
      <w:pPr>
        <w:pStyle w:val="Point1"/>
        <w:rPr>
          <w:rFonts w:eastAsia="Times New Roman"/>
          <w:noProof/>
          <w:color w:val="000000"/>
          <w:szCs w:val="24"/>
        </w:rPr>
      </w:pPr>
      <w:r>
        <w:rPr>
          <w:noProof/>
          <w:color w:val="000000"/>
        </w:rPr>
        <w:t>iv)</w:t>
      </w:r>
      <w:r>
        <w:rPr>
          <w:noProof/>
        </w:rPr>
        <w:tab/>
      </w:r>
      <w:r>
        <w:rPr>
          <w:noProof/>
          <w:color w:val="000000"/>
        </w:rPr>
        <w:t>създаване на център за селскостопанска метеорология в държавите партньори от ИАО;</w:t>
      </w:r>
    </w:p>
    <w:p>
      <w:pPr>
        <w:pStyle w:val="Point1"/>
        <w:rPr>
          <w:rFonts w:eastAsia="Times New Roman"/>
          <w:noProof/>
          <w:color w:val="000000"/>
          <w:szCs w:val="24"/>
        </w:rPr>
      </w:pPr>
      <w:r>
        <w:rPr>
          <w:noProof/>
          <w:color w:val="000000"/>
        </w:rPr>
        <w:t>v)</w:t>
      </w:r>
      <w:r>
        <w:rPr>
          <w:noProof/>
        </w:rPr>
        <w:tab/>
      </w:r>
      <w:r>
        <w:rPr>
          <w:noProof/>
          <w:color w:val="000000"/>
        </w:rPr>
        <w:t>развитие на съвременна пазарна инфраструктура за разрастване на местните и регионалните пазари;</w:t>
      </w:r>
    </w:p>
    <w:p>
      <w:pPr>
        <w:jc w:val="center"/>
        <w:rPr>
          <w:rFonts w:eastAsia="Times New Roman"/>
          <w:b/>
          <w:noProof/>
          <w:color w:val="000000"/>
          <w:szCs w:val="24"/>
        </w:rPr>
      </w:pPr>
      <w:r>
        <w:rPr>
          <w:b/>
          <w:noProof/>
          <w:color w:val="000000"/>
        </w:rPr>
        <w:t>д) Продоволствена сигурност и сигурност на храните</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на селските и градските общности за насърчаване на подобряването на препитанието, премахване на бедността и устойчиво развитие;</w:t>
      </w:r>
    </w:p>
    <w:p>
      <w:pPr>
        <w:pStyle w:val="Point1"/>
        <w:rPr>
          <w:rFonts w:eastAsia="Times New Roman"/>
          <w:noProof/>
          <w:color w:val="000000"/>
          <w:szCs w:val="24"/>
        </w:rPr>
      </w:pPr>
      <w:r>
        <w:rPr>
          <w:noProof/>
          <w:color w:val="000000"/>
        </w:rPr>
        <w:t>ii)</w:t>
      </w:r>
      <w:r>
        <w:rPr>
          <w:noProof/>
        </w:rPr>
        <w:tab/>
      </w:r>
      <w:r>
        <w:rPr>
          <w:noProof/>
          <w:color w:val="000000"/>
        </w:rPr>
        <w:t>диверсификация на селскостопанското производство и разработване на продукти, които отговарят на нуждите на държавите партньори от ИАО от продоволствена сигурност и сигурност на храните;</w:t>
      </w:r>
    </w:p>
    <w:p>
      <w:pPr>
        <w:pStyle w:val="Point1"/>
        <w:rPr>
          <w:rFonts w:eastAsia="Times New Roman"/>
          <w:noProof/>
          <w:color w:val="000000"/>
          <w:szCs w:val="24"/>
        </w:rPr>
      </w:pPr>
      <w:r>
        <w:rPr>
          <w:noProof/>
          <w:color w:val="000000"/>
        </w:rPr>
        <w:t>iii)</w:t>
      </w:r>
      <w:r>
        <w:rPr>
          <w:noProof/>
        </w:rPr>
        <w:tab/>
      </w:r>
      <w:r>
        <w:rPr>
          <w:noProof/>
          <w:color w:val="000000"/>
        </w:rPr>
        <w:t>разработване и изпълнение на програми, които водят до увеличаване на производството и производителността в селскостопанския сектор със специален акцент върху дребните селскостопански производители;</w:t>
      </w:r>
    </w:p>
    <w:p>
      <w:pPr>
        <w:pStyle w:val="Point1"/>
        <w:rPr>
          <w:rFonts w:eastAsia="Times New Roman"/>
          <w:noProof/>
          <w:color w:val="000000"/>
          <w:szCs w:val="24"/>
        </w:rPr>
      </w:pPr>
      <w:r>
        <w:rPr>
          <w:noProof/>
          <w:color w:val="000000"/>
        </w:rPr>
        <w:t>iv)</w:t>
      </w:r>
      <w:r>
        <w:rPr>
          <w:noProof/>
        </w:rPr>
        <w:tab/>
      </w:r>
      <w:r>
        <w:rPr>
          <w:noProof/>
          <w:color w:val="000000"/>
        </w:rPr>
        <w:t>развитие на капацитета за привеждане в съответствие с изискванията за безопасност на храните на национално и регионално равнище; както и</w:t>
      </w:r>
    </w:p>
    <w:p>
      <w:pPr>
        <w:pStyle w:val="Point1"/>
        <w:rPr>
          <w:rFonts w:eastAsia="Times New Roman"/>
          <w:noProof/>
          <w:color w:val="000000"/>
          <w:szCs w:val="24"/>
        </w:rPr>
      </w:pPr>
      <w:r>
        <w:rPr>
          <w:noProof/>
          <w:color w:val="000000"/>
        </w:rPr>
        <w:t>v)</w:t>
      </w:r>
      <w:r>
        <w:rPr>
          <w:noProof/>
        </w:rPr>
        <w:tab/>
      </w:r>
      <w:r>
        <w:rPr>
          <w:noProof/>
          <w:color w:val="000000"/>
        </w:rPr>
        <w:t>създаване и изпълнение на програми за социално приспособяване в регионите, засегнати от природни бедствия;</w:t>
      </w:r>
    </w:p>
    <w:p>
      <w:pPr>
        <w:jc w:val="center"/>
        <w:rPr>
          <w:rFonts w:eastAsia="Times New Roman"/>
          <w:b/>
          <w:noProof/>
          <w:color w:val="000000"/>
          <w:szCs w:val="24"/>
        </w:rPr>
      </w:pPr>
      <w:r>
        <w:rPr>
          <w:b/>
          <w:noProof/>
          <w:color w:val="000000"/>
        </w:rPr>
        <w:t>е) Управление на веригата за създаване на стойност</w:t>
      </w:r>
    </w:p>
    <w:p>
      <w:pPr>
        <w:pStyle w:val="Point1"/>
        <w:rPr>
          <w:rFonts w:eastAsia="Times New Roman"/>
          <w:noProof/>
          <w:color w:val="000000"/>
          <w:szCs w:val="24"/>
        </w:rPr>
      </w:pPr>
      <w:r>
        <w:rPr>
          <w:noProof/>
          <w:color w:val="000000"/>
        </w:rPr>
        <w:t>i)</w:t>
      </w:r>
      <w:r>
        <w:rPr>
          <w:noProof/>
        </w:rPr>
        <w:tab/>
      </w:r>
      <w:r>
        <w:rPr>
          <w:noProof/>
          <w:color w:val="000000"/>
        </w:rPr>
        <w:t>насърчаване на използването на устойчиви селскостопански технологии и предоставяне на необходимите селскостопански суровини;</w:t>
      </w:r>
    </w:p>
    <w:p>
      <w:pPr>
        <w:pStyle w:val="Point1"/>
        <w:rPr>
          <w:rFonts w:eastAsia="Times New Roman"/>
          <w:noProof/>
          <w:color w:val="000000"/>
          <w:szCs w:val="24"/>
        </w:rPr>
      </w:pPr>
      <w:r>
        <w:rPr>
          <w:noProof/>
          <w:color w:val="000000"/>
        </w:rPr>
        <w:t>ii)</w:t>
      </w:r>
      <w:r>
        <w:rPr>
          <w:noProof/>
        </w:rPr>
        <w:tab/>
      </w:r>
      <w:r>
        <w:rPr>
          <w:noProof/>
          <w:color w:val="000000"/>
        </w:rPr>
        <w:t>увеличаване на производството, производителността и конкурентоспособността на селскостопанския сектор чрез насърчаване на основаните на селското стопанство индустрии;</w:t>
      </w:r>
    </w:p>
    <w:p>
      <w:pPr>
        <w:pStyle w:val="Point1"/>
        <w:rPr>
          <w:rFonts w:eastAsia="Times New Roman"/>
          <w:noProof/>
          <w:color w:val="000000"/>
          <w:szCs w:val="24"/>
        </w:rPr>
      </w:pPr>
      <w:r>
        <w:rPr>
          <w:noProof/>
          <w:color w:val="000000"/>
        </w:rPr>
        <w:t>iii)</w:t>
      </w:r>
      <w:r>
        <w:rPr>
          <w:noProof/>
        </w:rPr>
        <w:tab/>
      </w:r>
      <w:r>
        <w:rPr>
          <w:noProof/>
          <w:color w:val="000000"/>
        </w:rPr>
        <w:t>засилване на създаването на добавена стойност по цялата верига на доставки на селскостопански продукти за изпълнение на изискванията на националните, регионалните и международните пазари; както и</w:t>
      </w:r>
    </w:p>
    <w:p>
      <w:pPr>
        <w:pStyle w:val="Point1"/>
        <w:rPr>
          <w:rFonts w:eastAsia="Times New Roman"/>
          <w:b/>
          <w:noProof/>
          <w:color w:val="000000"/>
          <w:szCs w:val="24"/>
        </w:rPr>
      </w:pPr>
      <w:r>
        <w:rPr>
          <w:noProof/>
          <w:color w:val="000000"/>
        </w:rPr>
        <w:t>iv)</w:t>
      </w:r>
      <w:r>
        <w:rPr>
          <w:noProof/>
        </w:rPr>
        <w:tab/>
      </w:r>
      <w:r>
        <w:rPr>
          <w:noProof/>
          <w:color w:val="000000"/>
        </w:rPr>
        <w:t xml:space="preserve">насърчаване на развитието на дейности в областите на преработката, предлагането на пазара, разпространението и превоза на селскостопански продукти; </w:t>
      </w:r>
    </w:p>
    <w:p>
      <w:pPr>
        <w:jc w:val="center"/>
        <w:rPr>
          <w:rFonts w:eastAsia="Times New Roman"/>
          <w:b/>
          <w:noProof/>
          <w:color w:val="000000"/>
          <w:szCs w:val="24"/>
        </w:rPr>
      </w:pPr>
      <w:r>
        <w:rPr>
          <w:b/>
          <w:noProof/>
          <w:color w:val="000000"/>
        </w:rPr>
        <w:t>ж) Системи за ранно предупреждение</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по отношение на извършването на оценка и разпространението на информация относно вероятното въздействие на предстоящи бедствия достатъчно време преди настъпването им, за да бъдат приети предварителни мерки и действия за ранно реагиране;</w:t>
      </w:r>
    </w:p>
    <w:p>
      <w:pPr>
        <w:pStyle w:val="Point1"/>
        <w:rPr>
          <w:rFonts w:eastAsia="Times New Roman"/>
          <w:noProof/>
          <w:color w:val="000000"/>
          <w:szCs w:val="24"/>
        </w:rPr>
      </w:pPr>
      <w:r>
        <w:rPr>
          <w:noProof/>
          <w:color w:val="000000"/>
        </w:rPr>
        <w:t>ii)</w:t>
      </w:r>
      <w:r>
        <w:rPr>
          <w:noProof/>
        </w:rPr>
        <w:tab/>
      </w:r>
      <w:r>
        <w:rPr>
          <w:noProof/>
          <w:color w:val="000000"/>
        </w:rPr>
        <w:t>развитие и управление на национални и регионални информационни системи;</w:t>
      </w:r>
    </w:p>
    <w:p>
      <w:pPr>
        <w:pStyle w:val="Point1"/>
        <w:rPr>
          <w:rFonts w:eastAsia="Times New Roman"/>
          <w:noProof/>
          <w:color w:val="000000"/>
          <w:szCs w:val="24"/>
        </w:rPr>
      </w:pPr>
      <w:r>
        <w:rPr>
          <w:noProof/>
          <w:color w:val="000000"/>
        </w:rPr>
        <w:t>iii)</w:t>
      </w:r>
      <w:r>
        <w:rPr>
          <w:noProof/>
        </w:rPr>
        <w:tab/>
      </w:r>
      <w:r>
        <w:rPr>
          <w:noProof/>
          <w:color w:val="000000"/>
        </w:rPr>
        <w:t>разработване, укрепване и свързване на системи за ранно предупреждение и планове за действие в извънредни ситуации, както и на стратегии за управление на реагирането при бедствия на национално и регионално равнище; както и</w:t>
      </w:r>
    </w:p>
    <w:p>
      <w:pPr>
        <w:pStyle w:val="Point1"/>
        <w:rPr>
          <w:rFonts w:eastAsia="Times New Roman"/>
          <w:noProof/>
          <w:color w:val="000000"/>
          <w:szCs w:val="24"/>
        </w:rPr>
      </w:pPr>
      <w:r>
        <w:rPr>
          <w:noProof/>
          <w:color w:val="000000"/>
        </w:rPr>
        <w:t>iv)</w:t>
      </w:r>
      <w:r>
        <w:rPr>
          <w:noProof/>
        </w:rPr>
        <w:tab/>
        <w:t>подкрепяне на възможностите за приспособяването към изменението на климата и намаляването на изменението на климата</w:t>
      </w:r>
      <w:r>
        <w:rPr>
          <w:noProof/>
          <w:color w:val="000000"/>
        </w:rPr>
        <w:t xml:space="preserve"> в държавите партньори от ИАО;</w:t>
      </w:r>
    </w:p>
    <w:p>
      <w:pPr>
        <w:jc w:val="center"/>
        <w:rPr>
          <w:rFonts w:eastAsia="Times New Roman"/>
          <w:b/>
          <w:noProof/>
          <w:color w:val="000000"/>
          <w:szCs w:val="24"/>
        </w:rPr>
      </w:pPr>
      <w:r>
        <w:rPr>
          <w:b/>
          <w:noProof/>
          <w:color w:val="000000"/>
        </w:rPr>
        <w:t>з) Производство и пускане на пазара на селскостопански суровини</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за достъп до пазарни ниши и улесняване на спазването на стандартите за суровини, за да се отговори на пазарните изисквания;</w:t>
      </w:r>
    </w:p>
    <w:p>
      <w:pPr>
        <w:pStyle w:val="Point1"/>
        <w:rPr>
          <w:rFonts w:eastAsia="Times New Roman"/>
          <w:noProof/>
          <w:color w:val="000000"/>
          <w:szCs w:val="24"/>
        </w:rPr>
      </w:pPr>
      <w:r>
        <w:rPr>
          <w:noProof/>
          <w:color w:val="000000"/>
        </w:rPr>
        <w:t>ii)</w:t>
      </w:r>
      <w:r>
        <w:rPr>
          <w:noProof/>
        </w:rPr>
        <w:tab/>
      </w:r>
      <w:r>
        <w:rPr>
          <w:noProof/>
          <w:color w:val="000000"/>
        </w:rPr>
        <w:t>подпомагане на диверсификацията на селскостопанското производство и продуктите за износ в държавите партньори от ИАО;</w:t>
      </w:r>
    </w:p>
    <w:p>
      <w:pPr>
        <w:pStyle w:val="Point1"/>
        <w:rPr>
          <w:rFonts w:eastAsia="Times New Roman"/>
          <w:noProof/>
          <w:color w:val="000000"/>
          <w:szCs w:val="24"/>
        </w:rPr>
      </w:pPr>
      <w:r>
        <w:rPr>
          <w:noProof/>
          <w:color w:val="000000"/>
        </w:rPr>
        <w:t>iii)</w:t>
      </w:r>
      <w:r>
        <w:rPr>
          <w:noProof/>
        </w:rPr>
        <w:tab/>
      </w:r>
      <w:r>
        <w:rPr>
          <w:noProof/>
          <w:color w:val="000000"/>
        </w:rPr>
        <w:t>развитие на съвременна пазарна инфраструктура за разрастване на местните и регионалните пазари; както и</w:t>
      </w:r>
    </w:p>
    <w:p>
      <w:pPr>
        <w:pStyle w:val="Point1"/>
        <w:rPr>
          <w:rFonts w:eastAsia="Times New Roman"/>
          <w:noProof/>
          <w:color w:val="000000"/>
          <w:szCs w:val="24"/>
        </w:rPr>
      </w:pPr>
      <w:r>
        <w:rPr>
          <w:noProof/>
          <w:color w:val="000000"/>
        </w:rPr>
        <w:t>iv)</w:t>
      </w:r>
      <w:r>
        <w:rPr>
          <w:noProof/>
        </w:rPr>
        <w:tab/>
      </w:r>
      <w:r>
        <w:rPr>
          <w:noProof/>
          <w:color w:val="000000"/>
        </w:rPr>
        <w:t xml:space="preserve">разработване на програми за опаковане и етикетиране на продуктите, които да позволят на производителите от държавите партньори от ИАО да осигурят високи цени за износа на суровини; </w:t>
      </w:r>
    </w:p>
    <w:p>
      <w:pPr>
        <w:jc w:val="center"/>
        <w:rPr>
          <w:rFonts w:eastAsia="Times New Roman"/>
          <w:b/>
          <w:noProof/>
          <w:color w:val="000000"/>
          <w:szCs w:val="24"/>
        </w:rPr>
      </w:pPr>
      <w:r>
        <w:rPr>
          <w:b/>
          <w:noProof/>
          <w:color w:val="000000"/>
        </w:rPr>
        <w:t>и) Развитие на селските райони</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капацитета на групи от селскостопански производители по цялата верига за създаване на стойност в селското стопанство;</w:t>
      </w:r>
    </w:p>
    <w:p>
      <w:pPr>
        <w:pStyle w:val="Point1"/>
        <w:rPr>
          <w:rFonts w:eastAsia="Times New Roman"/>
          <w:noProof/>
          <w:color w:val="000000"/>
          <w:szCs w:val="24"/>
        </w:rPr>
      </w:pPr>
      <w:r>
        <w:rPr>
          <w:noProof/>
          <w:color w:val="000000"/>
        </w:rPr>
        <w:t>ii)</w:t>
      </w:r>
      <w:r>
        <w:rPr>
          <w:noProof/>
        </w:rPr>
        <w:tab/>
      </w:r>
      <w:r>
        <w:rPr>
          <w:noProof/>
          <w:color w:val="000000"/>
        </w:rPr>
        <w:t>подобряване на транспортните, комуникационните и пазарните съоръжения за пускане на пазара на селскостопански суровини и крайни продукти;</w:t>
      </w:r>
    </w:p>
    <w:p>
      <w:pPr>
        <w:pStyle w:val="Point1"/>
        <w:rPr>
          <w:rFonts w:eastAsia="Times New Roman"/>
          <w:noProof/>
          <w:color w:val="000000"/>
          <w:szCs w:val="24"/>
        </w:rPr>
      </w:pPr>
      <w:r>
        <w:rPr>
          <w:noProof/>
          <w:color w:val="000000"/>
        </w:rPr>
        <w:t>iii)</w:t>
      </w:r>
      <w:r>
        <w:rPr>
          <w:noProof/>
        </w:rPr>
        <w:tab/>
      </w:r>
      <w:r>
        <w:rPr>
          <w:noProof/>
          <w:color w:val="000000"/>
        </w:rPr>
        <w:t>преодоляване на социалните и културните бариери, като например свързаните с езика, равнището на грамотност, предразсъдъците по отношение на пола, здравето в общностите, които оказват влияние върху естеството на селскостопанските системи;</w:t>
      </w:r>
    </w:p>
    <w:p>
      <w:pPr>
        <w:pStyle w:val="Point1"/>
        <w:rPr>
          <w:rFonts w:eastAsia="Times New Roman"/>
          <w:noProof/>
          <w:color w:val="000000"/>
          <w:szCs w:val="24"/>
        </w:rPr>
      </w:pPr>
      <w:r>
        <w:rPr>
          <w:noProof/>
          <w:color w:val="000000"/>
        </w:rPr>
        <w:t>iv)</w:t>
      </w:r>
      <w:r>
        <w:rPr>
          <w:noProof/>
        </w:rPr>
        <w:tab/>
      </w:r>
      <w:r>
        <w:rPr>
          <w:noProof/>
          <w:color w:val="000000"/>
        </w:rPr>
        <w:t>подобряване на достъпа на селскостопанските производители до кредитни услуги и управление на природните и културните ресурси; както и</w:t>
      </w:r>
    </w:p>
    <w:p>
      <w:pPr>
        <w:pStyle w:val="Point1"/>
        <w:rPr>
          <w:rFonts w:eastAsia="Times New Roman"/>
          <w:noProof/>
          <w:color w:val="000000"/>
          <w:szCs w:val="24"/>
        </w:rPr>
      </w:pPr>
      <w:r>
        <w:rPr>
          <w:noProof/>
          <w:color w:val="000000"/>
        </w:rPr>
        <w:t>v)</w:t>
      </w:r>
      <w:r>
        <w:rPr>
          <w:noProof/>
        </w:rPr>
        <w:tab/>
      </w:r>
      <w:r>
        <w:rPr>
          <w:noProof/>
          <w:color w:val="000000"/>
        </w:rPr>
        <w:t>разработване на подходящи мерки на политиката в подкрепа на своевременното предоставяне на достатъчно селскостопански суровини за дребните селскостопански производители;</w:t>
      </w:r>
    </w:p>
    <w:p>
      <w:pPr>
        <w:jc w:val="center"/>
        <w:rPr>
          <w:rFonts w:eastAsia="Times New Roman"/>
          <w:b/>
          <w:noProof/>
          <w:color w:val="000000"/>
          <w:szCs w:val="24"/>
        </w:rPr>
      </w:pPr>
      <w:r>
        <w:rPr>
          <w:b/>
          <w:noProof/>
          <w:color w:val="000000"/>
        </w:rPr>
        <w:t>й) Държави — нетни вносители на храни</w:t>
      </w:r>
    </w:p>
    <w:p>
      <w:pPr>
        <w:rPr>
          <w:rFonts w:eastAsia="Times New Roman"/>
          <w:noProof/>
          <w:color w:val="000000"/>
          <w:szCs w:val="24"/>
        </w:rPr>
      </w:pPr>
      <w:r>
        <w:rPr>
          <w:noProof/>
          <w:color w:val="000000"/>
        </w:rPr>
        <w:t xml:space="preserve">Справяне с ограниченията върху производството, съхранението и разпространението на храни в държавите партньори от ИАО; </w:t>
      </w:r>
    </w:p>
    <w:p>
      <w:pPr>
        <w:jc w:val="center"/>
        <w:rPr>
          <w:rFonts w:eastAsia="Times New Roman"/>
          <w:b/>
          <w:noProof/>
          <w:color w:val="000000"/>
          <w:szCs w:val="24"/>
        </w:rPr>
      </w:pPr>
      <w:r>
        <w:rPr>
          <w:b/>
          <w:noProof/>
          <w:color w:val="000000"/>
        </w:rPr>
        <w:t>к) Осигуряване на препитанието</w:t>
      </w:r>
    </w:p>
    <w:p>
      <w:pPr>
        <w:pStyle w:val="Point1"/>
        <w:rPr>
          <w:rFonts w:eastAsia="Times New Roman"/>
          <w:noProof/>
          <w:color w:val="000000"/>
          <w:szCs w:val="24"/>
        </w:rPr>
      </w:pPr>
      <w:r>
        <w:rPr>
          <w:noProof/>
          <w:color w:val="000000"/>
        </w:rPr>
        <w:t>i)</w:t>
      </w:r>
      <w:r>
        <w:rPr>
          <w:noProof/>
        </w:rPr>
        <w:tab/>
      </w:r>
      <w:r>
        <w:rPr>
          <w:noProof/>
          <w:color w:val="000000"/>
        </w:rPr>
        <w:t>изграждане на капацитет за развиване на социални услуги за населението в селските райони и периферните градски райони;</w:t>
      </w:r>
    </w:p>
    <w:p>
      <w:pPr>
        <w:pStyle w:val="Point1"/>
        <w:rPr>
          <w:rFonts w:eastAsia="Times New Roman"/>
          <w:noProof/>
          <w:color w:val="000000"/>
          <w:szCs w:val="24"/>
        </w:rPr>
      </w:pPr>
      <w:r>
        <w:rPr>
          <w:noProof/>
          <w:color w:val="000000"/>
        </w:rPr>
        <w:t>ii)</w:t>
      </w:r>
      <w:r>
        <w:rPr>
          <w:noProof/>
        </w:rPr>
        <w:tab/>
      </w:r>
      <w:r>
        <w:rPr>
          <w:noProof/>
          <w:color w:val="000000"/>
        </w:rPr>
        <w:t>подобряване на общия доход на домакинствата от селскостопанско производство чрез диверсификация, създаване на добавена стойност, заетост извън селското стопанство и въвеждане на нови устойчиви селскостопански технологии, наред с други действия, в държавите партньори от ИАО;</w:t>
      </w:r>
    </w:p>
    <w:p>
      <w:pPr>
        <w:pStyle w:val="Point1"/>
        <w:rPr>
          <w:rFonts w:eastAsia="Times New Roman"/>
          <w:noProof/>
          <w:color w:val="000000"/>
          <w:szCs w:val="24"/>
        </w:rPr>
      </w:pPr>
      <w:r>
        <w:rPr>
          <w:noProof/>
          <w:color w:val="000000"/>
        </w:rPr>
        <w:t>iii)</w:t>
      </w:r>
      <w:r>
        <w:rPr>
          <w:noProof/>
        </w:rPr>
        <w:tab/>
      </w:r>
      <w:r>
        <w:rPr>
          <w:noProof/>
          <w:color w:val="000000"/>
        </w:rPr>
        <w:t>увеличаване на производителността на селскостопанския сектор в рамките на държавите партньори от ИАО; както и</w:t>
      </w:r>
    </w:p>
    <w:p>
      <w:pPr>
        <w:pStyle w:val="Point1"/>
        <w:rPr>
          <w:rFonts w:eastAsia="Times New Roman"/>
          <w:noProof/>
          <w:color w:val="000000"/>
          <w:szCs w:val="24"/>
        </w:rPr>
      </w:pPr>
      <w:r>
        <w:rPr>
          <w:noProof/>
          <w:color w:val="000000"/>
        </w:rPr>
        <w:t>iv)</w:t>
      </w:r>
      <w:r>
        <w:rPr>
          <w:noProof/>
        </w:rPr>
        <w:tab/>
      </w:r>
      <w:r>
        <w:rPr>
          <w:noProof/>
          <w:color w:val="000000"/>
        </w:rPr>
        <w:t xml:space="preserve">увеличаване на използването на устойчиви селскостопански технологии; </w:t>
      </w:r>
    </w:p>
    <w:p>
      <w:pPr>
        <w:widowControl w:val="0"/>
        <w:spacing w:before="0" w:after="0"/>
        <w:jc w:val="center"/>
        <w:rPr>
          <w:rFonts w:eastAsia="Times New Roman"/>
          <w:b/>
          <w:noProof/>
          <w:color w:val="000000"/>
          <w:szCs w:val="24"/>
        </w:rPr>
      </w:pPr>
      <w:r>
        <w:rPr>
          <w:b/>
          <w:noProof/>
          <w:color w:val="000000"/>
        </w:rPr>
        <w:t>л) Спомагателни технически услуги</w:t>
      </w:r>
    </w:p>
    <w:p>
      <w:pPr>
        <w:rPr>
          <w:rFonts w:eastAsia="Times New Roman"/>
          <w:noProof/>
          <w:color w:val="000000"/>
          <w:szCs w:val="24"/>
        </w:rPr>
      </w:pPr>
      <w:r>
        <w:rPr>
          <w:noProof/>
          <w:color w:val="000000"/>
        </w:rPr>
        <w:t xml:space="preserve">ЕС се ангажира да предостави по начин, който е предвидим и устойчив, подходящи ресурси и техническа помощ за изграждане на капацитет на държавите партньори от ИАО в следните области: </w:t>
      </w:r>
    </w:p>
    <w:p>
      <w:pPr>
        <w:pStyle w:val="Point1"/>
        <w:rPr>
          <w:rFonts w:eastAsia="Times New Roman"/>
          <w:noProof/>
          <w:color w:val="000000"/>
          <w:szCs w:val="24"/>
        </w:rPr>
      </w:pPr>
      <w:r>
        <w:rPr>
          <w:noProof/>
          <w:color w:val="000000"/>
        </w:rPr>
        <w:t>i)</w:t>
      </w:r>
      <w:r>
        <w:rPr>
          <w:noProof/>
        </w:rPr>
        <w:tab/>
      </w:r>
      <w:r>
        <w:rPr>
          <w:noProof/>
          <w:color w:val="000000"/>
        </w:rPr>
        <w:t>засилване на иновациите и трансфера на технологии, знания, научноизследователска и развойна дейност;</w:t>
      </w:r>
    </w:p>
    <w:p>
      <w:pPr>
        <w:pStyle w:val="Point1"/>
        <w:rPr>
          <w:rFonts w:eastAsia="Times New Roman"/>
          <w:noProof/>
          <w:color w:val="000000"/>
          <w:szCs w:val="24"/>
        </w:rPr>
      </w:pPr>
      <w:r>
        <w:rPr>
          <w:noProof/>
          <w:color w:val="000000"/>
        </w:rPr>
        <w:t>ii)</w:t>
      </w:r>
      <w:r>
        <w:rPr>
          <w:noProof/>
        </w:rPr>
        <w:tab/>
      </w:r>
      <w:r>
        <w:rPr>
          <w:noProof/>
          <w:color w:val="000000"/>
        </w:rPr>
        <w:t>развиване и засилено използване на механизацията в селскостопанския сектор на държавите партньори от ИАО;</w:t>
      </w:r>
    </w:p>
    <w:p>
      <w:pPr>
        <w:pStyle w:val="Point1"/>
        <w:rPr>
          <w:rFonts w:eastAsia="Times New Roman"/>
          <w:noProof/>
          <w:color w:val="000000"/>
          <w:szCs w:val="24"/>
        </w:rPr>
      </w:pPr>
      <w:r>
        <w:rPr>
          <w:noProof/>
          <w:color w:val="000000"/>
        </w:rPr>
        <w:t>iii)</w:t>
      </w:r>
      <w:r>
        <w:rPr>
          <w:noProof/>
        </w:rPr>
        <w:tab/>
      </w:r>
      <w:r>
        <w:rPr>
          <w:noProof/>
          <w:color w:val="000000"/>
        </w:rPr>
        <w:t>изграждане на заводи за селскостопански суровини и система за разпределение в рамките на държавите партньори от ИАО;</w:t>
      </w:r>
    </w:p>
    <w:p>
      <w:pPr>
        <w:pStyle w:val="Point1"/>
        <w:rPr>
          <w:rFonts w:eastAsia="Times New Roman"/>
          <w:noProof/>
          <w:color w:val="000000"/>
          <w:szCs w:val="24"/>
        </w:rPr>
      </w:pPr>
      <w:r>
        <w:rPr>
          <w:noProof/>
          <w:color w:val="000000"/>
        </w:rPr>
        <w:t>iv)</w:t>
      </w:r>
      <w:r>
        <w:rPr>
          <w:noProof/>
        </w:rPr>
        <w:tab/>
      </w:r>
      <w:r>
        <w:rPr>
          <w:noProof/>
          <w:color w:val="000000"/>
        </w:rPr>
        <w:t>насърчаване и увеличаване на инвестициите в научни изследвания в областта на селското стопанство, консултантски услуги, обучение и връзката между научните изследвания, разпространението на знания и селскостопанските производители;</w:t>
      </w:r>
    </w:p>
    <w:p>
      <w:pPr>
        <w:pStyle w:val="Point1"/>
        <w:rPr>
          <w:rFonts w:eastAsia="Times New Roman"/>
          <w:noProof/>
          <w:color w:val="000000"/>
          <w:szCs w:val="24"/>
        </w:rPr>
      </w:pPr>
      <w:r>
        <w:rPr>
          <w:noProof/>
          <w:color w:val="000000"/>
        </w:rPr>
        <w:t>v)</w:t>
      </w:r>
      <w:r>
        <w:rPr>
          <w:noProof/>
        </w:rPr>
        <w:tab/>
      </w:r>
      <w:r>
        <w:rPr>
          <w:noProof/>
          <w:color w:val="000000"/>
        </w:rPr>
        <w:t>създаване и засилване на регионалните центрове за високи постижения, включително център за селскостопанска метеорология, лаборатории за биотехнологии, анализи и диагностика в областта на растениевъдството, животновъдството и почвите; както и</w:t>
      </w:r>
    </w:p>
    <w:p>
      <w:pPr>
        <w:pStyle w:val="Point1"/>
        <w:rPr>
          <w:rFonts w:eastAsia="Times New Roman"/>
          <w:noProof/>
          <w:color w:val="000000"/>
          <w:szCs w:val="24"/>
        </w:rPr>
      </w:pPr>
      <w:r>
        <w:rPr>
          <w:noProof/>
          <w:color w:val="000000"/>
        </w:rPr>
        <w:t>vi)</w:t>
      </w:r>
      <w:r>
        <w:rPr>
          <w:noProof/>
        </w:rPr>
        <w:tab/>
      </w:r>
      <w:r>
        <w:rPr>
          <w:noProof/>
          <w:color w:val="000000"/>
        </w:rPr>
        <w:t>подобряване на достъпа до услуги в растениевъдството и животновъдството, включително услуги за селекция в животновъдството, ветеринарни услуги и услуги за растителна защита;</w:t>
      </w:r>
    </w:p>
    <w:p>
      <w:pPr>
        <w:widowControl w:val="0"/>
        <w:spacing w:before="0" w:after="0"/>
        <w:jc w:val="center"/>
        <w:rPr>
          <w:rFonts w:eastAsia="Times New Roman"/>
          <w:b/>
          <w:noProof/>
          <w:color w:val="000000"/>
          <w:szCs w:val="24"/>
        </w:rPr>
      </w:pPr>
      <w:r>
        <w:rPr>
          <w:b/>
          <w:noProof/>
          <w:color w:val="000000"/>
        </w:rPr>
        <w:t>м) Финансови услуги в областта на селското стопанство</w:t>
      </w:r>
    </w:p>
    <w:p>
      <w:pPr>
        <w:pStyle w:val="Point1"/>
        <w:rPr>
          <w:rFonts w:eastAsia="Times New Roman"/>
          <w:noProof/>
          <w:color w:val="000000"/>
          <w:szCs w:val="24"/>
        </w:rPr>
      </w:pPr>
      <w:r>
        <w:rPr>
          <w:noProof/>
          <w:color w:val="000000"/>
        </w:rPr>
        <w:t>i)</w:t>
      </w:r>
      <w:r>
        <w:rPr>
          <w:noProof/>
        </w:rPr>
        <w:tab/>
      </w:r>
      <w:r>
        <w:rPr>
          <w:noProof/>
          <w:color w:val="000000"/>
        </w:rPr>
        <w:t>укрепване на финансовите услуги за дребните производители, преработватели и търговци в селските райони;</w:t>
      </w:r>
    </w:p>
    <w:p>
      <w:pPr>
        <w:pStyle w:val="Point1"/>
        <w:rPr>
          <w:rFonts w:eastAsia="Times New Roman"/>
          <w:noProof/>
          <w:color w:val="000000"/>
          <w:szCs w:val="24"/>
        </w:rPr>
      </w:pPr>
      <w:r>
        <w:rPr>
          <w:noProof/>
          <w:color w:val="000000"/>
        </w:rPr>
        <w:t>ii)</w:t>
      </w:r>
      <w:r>
        <w:rPr>
          <w:noProof/>
        </w:rPr>
        <w:tab/>
      </w:r>
      <w:r>
        <w:rPr>
          <w:noProof/>
          <w:color w:val="000000"/>
        </w:rPr>
        <w:t xml:space="preserve">разработване на регионално притежавани механизми или на фонд за развитие на селското стопанство и селските райони; </w:t>
      </w:r>
    </w:p>
    <w:p>
      <w:pPr>
        <w:pStyle w:val="Point1"/>
        <w:rPr>
          <w:rFonts w:eastAsia="Times New Roman"/>
          <w:noProof/>
          <w:color w:val="000000"/>
          <w:szCs w:val="24"/>
        </w:rPr>
      </w:pPr>
      <w:r>
        <w:rPr>
          <w:noProof/>
          <w:color w:val="000000"/>
        </w:rPr>
        <w:t>iii)</w:t>
      </w:r>
      <w:r>
        <w:rPr>
          <w:noProof/>
        </w:rPr>
        <w:tab/>
      </w:r>
      <w:r>
        <w:rPr>
          <w:noProof/>
          <w:color w:val="000000"/>
        </w:rPr>
        <w:t>създаване на институции за микрофинансиране на селското стопанство и схеми за застраховане в селското стопанство;</w:t>
      </w:r>
    </w:p>
    <w:p>
      <w:pPr>
        <w:pStyle w:val="Point1"/>
        <w:rPr>
          <w:rFonts w:eastAsia="Times New Roman"/>
          <w:noProof/>
          <w:color w:val="000000"/>
          <w:szCs w:val="24"/>
        </w:rPr>
      </w:pPr>
      <w:r>
        <w:rPr>
          <w:noProof/>
          <w:color w:val="000000"/>
        </w:rPr>
        <w:t>iv)</w:t>
      </w:r>
      <w:r>
        <w:rPr>
          <w:noProof/>
        </w:rPr>
        <w:tab/>
      </w:r>
      <w:r>
        <w:rPr>
          <w:noProof/>
          <w:color w:val="000000"/>
        </w:rPr>
        <w:t>улесняване на достъпа до кредитиране от банки и други финансови институции за селскостопанските преработватели, търговци и производители; както и</w:t>
      </w:r>
    </w:p>
    <w:p>
      <w:pPr>
        <w:pStyle w:val="Point1"/>
        <w:rPr>
          <w:rFonts w:eastAsia="Times New Roman"/>
          <w:noProof/>
          <w:color w:val="000000"/>
          <w:szCs w:val="24"/>
        </w:rPr>
      </w:pPr>
      <w:r>
        <w:rPr>
          <w:noProof/>
          <w:color w:val="000000"/>
        </w:rPr>
        <w:t>v)</w:t>
      </w:r>
      <w:r>
        <w:rPr>
          <w:noProof/>
        </w:rPr>
        <w:tab/>
      </w:r>
      <w:r>
        <w:rPr>
          <w:noProof/>
          <w:color w:val="000000"/>
        </w:rPr>
        <w:t xml:space="preserve">подкрепа за финансовите институции на държавите партньори от ИАО, обслужващи селскостопанския сектор, и улесняване на достъпа на частния сектор до капиталовите пазари за набиране на краткосрочен и дългосрочен капитал; </w:t>
      </w:r>
    </w:p>
    <w:p>
      <w:pPr>
        <w:jc w:val="center"/>
        <w:rPr>
          <w:rFonts w:eastAsia="Times New Roman"/>
          <w:b/>
          <w:noProof/>
          <w:color w:val="000000"/>
          <w:kern w:val="32"/>
          <w:szCs w:val="24"/>
        </w:rPr>
      </w:pPr>
      <w:r>
        <w:rPr>
          <w:b/>
          <w:noProof/>
          <w:kern w:val="32"/>
        </w:rPr>
        <w:t xml:space="preserve">н) Географски означения </w:t>
      </w:r>
    </w:p>
    <w:p>
      <w:pPr>
        <w:pStyle w:val="Point1"/>
        <w:rPr>
          <w:rFonts w:eastAsia="Times New Roman"/>
          <w:noProof/>
          <w:color w:val="000000"/>
          <w:szCs w:val="24"/>
        </w:rPr>
      </w:pPr>
      <w:r>
        <w:rPr>
          <w:noProof/>
        </w:rPr>
        <w:t>i)</w:t>
      </w:r>
      <w:r>
        <w:rPr>
          <w:noProof/>
        </w:rPr>
        <w:tab/>
        <w:t>разработване на политики и правни рамки за географските означения;</w:t>
      </w:r>
    </w:p>
    <w:p>
      <w:pPr>
        <w:pStyle w:val="Point1"/>
        <w:rPr>
          <w:rFonts w:eastAsia="Times New Roman"/>
          <w:noProof/>
          <w:color w:val="000000"/>
          <w:szCs w:val="24"/>
        </w:rPr>
      </w:pPr>
      <w:r>
        <w:rPr>
          <w:noProof/>
          <w:color w:val="000000"/>
        </w:rPr>
        <w:t>ii)</w:t>
      </w:r>
      <w:r>
        <w:rPr>
          <w:noProof/>
        </w:rPr>
        <w:tab/>
      </w:r>
      <w:r>
        <w:rPr>
          <w:noProof/>
          <w:color w:val="000000"/>
        </w:rPr>
        <w:t>изготвяне на подзаконови разпоредби за географските означения;</w:t>
      </w:r>
    </w:p>
    <w:p>
      <w:pPr>
        <w:pStyle w:val="Point1"/>
        <w:rPr>
          <w:rFonts w:eastAsia="Times New Roman"/>
          <w:noProof/>
          <w:color w:val="000000"/>
          <w:szCs w:val="24"/>
        </w:rPr>
      </w:pPr>
      <w:r>
        <w:rPr>
          <w:noProof/>
          <w:color w:val="000000"/>
        </w:rPr>
        <w:t>iii)</w:t>
      </w:r>
      <w:r>
        <w:rPr>
          <w:noProof/>
        </w:rPr>
        <w:tab/>
      </w:r>
      <w:r>
        <w:rPr>
          <w:noProof/>
          <w:color w:val="000000"/>
        </w:rPr>
        <w:t>изготвяне на кодекс на добрите практики за определяне на продуктите в зависимост от техния произход;</w:t>
      </w:r>
    </w:p>
    <w:p>
      <w:pPr>
        <w:pStyle w:val="Point1"/>
        <w:rPr>
          <w:rFonts w:eastAsia="Times New Roman"/>
          <w:noProof/>
          <w:color w:val="000000"/>
          <w:szCs w:val="24"/>
        </w:rPr>
      </w:pPr>
      <w:r>
        <w:rPr>
          <w:noProof/>
          <w:color w:val="000000"/>
        </w:rPr>
        <w:t>iv)</w:t>
      </w:r>
      <w:r>
        <w:rPr>
          <w:noProof/>
        </w:rPr>
        <w:tab/>
      </w:r>
      <w:r>
        <w:rPr>
          <w:noProof/>
          <w:color w:val="000000"/>
        </w:rPr>
        <w:t>улесняване на местните организации и институции при координирането на местните заинтересовани страни във връзка с географските означения и съответствието на продуктите;</w:t>
      </w:r>
    </w:p>
    <w:p>
      <w:pPr>
        <w:pStyle w:val="Point1"/>
        <w:rPr>
          <w:rFonts w:eastAsia="Times New Roman"/>
          <w:noProof/>
          <w:color w:val="000000"/>
          <w:szCs w:val="24"/>
        </w:rPr>
      </w:pPr>
      <w:r>
        <w:rPr>
          <w:noProof/>
          <w:color w:val="000000"/>
        </w:rPr>
        <w:t>v)</w:t>
      </w:r>
      <w:r>
        <w:rPr>
          <w:noProof/>
        </w:rPr>
        <w:tab/>
      </w:r>
      <w:r>
        <w:rPr>
          <w:noProof/>
          <w:color w:val="000000"/>
        </w:rPr>
        <w:t>изграждане на капацитет за идентификация, регистрация, пускане на пазара, проследимост и съответствие на продуктите, закриляни с географски означения; както и</w:t>
      </w:r>
    </w:p>
    <w:p>
      <w:pPr>
        <w:pStyle w:val="Point1"/>
        <w:rPr>
          <w:rFonts w:eastAsia="Arial Unicode MS"/>
          <w:noProof/>
          <w:szCs w:val="24"/>
        </w:rPr>
      </w:pPr>
      <w:r>
        <w:rPr>
          <w:noProof/>
          <w:color w:val="000000"/>
        </w:rPr>
        <w:t>vi)</w:t>
      </w:r>
      <w:r>
        <w:rPr>
          <w:noProof/>
        </w:rPr>
        <w:tab/>
        <w:t>развиване на всяка друга област на сътрудничество по тази точка, която може да възникне в бъдеще.</w:t>
      </w:r>
    </w:p>
    <w:p>
      <w:pPr>
        <w:jc w:val="center"/>
        <w:rPr>
          <w:b/>
          <w:noProof/>
          <w:sz w:val="28"/>
          <w:szCs w:val="28"/>
        </w:rPr>
      </w:pPr>
      <w:r>
        <w:rPr>
          <w:b/>
          <w:noProof/>
          <w:sz w:val="28"/>
        </w:rPr>
        <w:t>ДЯЛ III: РАЗВИТИЕ НА ЧАСТНИЯ СЕКТОР</w:t>
      </w:r>
    </w:p>
    <w:p>
      <w:pPr>
        <w:pStyle w:val="Titrearticle"/>
        <w:rPr>
          <w:rFonts w:eastAsia="Times New Roman"/>
          <w:b/>
          <w:bCs/>
          <w:noProof/>
          <w:color w:val="000000"/>
          <w:szCs w:val="24"/>
        </w:rPr>
      </w:pPr>
      <w:r>
        <w:rPr>
          <w:b/>
          <w:noProof/>
          <w:color w:val="000000"/>
        </w:rPr>
        <w:t>ЧЛЕН 84</w:t>
      </w:r>
    </w:p>
    <w:p>
      <w:pPr>
        <w:jc w:val="center"/>
        <w:rPr>
          <w:rFonts w:eastAsia="Times New Roman"/>
          <w:b/>
          <w:bCs/>
          <w:noProof/>
          <w:color w:val="000000"/>
          <w:szCs w:val="24"/>
        </w:rPr>
      </w:pPr>
      <w:r>
        <w:rPr>
          <w:b/>
          <w:noProof/>
          <w:color w:val="000000"/>
        </w:rPr>
        <w:t>Обхват и цели</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за развитие на частния сектор включва насърчаване на инвестициите и развитието на предприятията. </w:t>
      </w:r>
    </w:p>
    <w:p>
      <w:pPr>
        <w:pStyle w:val="ManualNumPar1"/>
        <w:rPr>
          <w:rFonts w:eastAsia="Times New Roman"/>
          <w:bCs/>
          <w:noProof/>
          <w:color w:val="000000"/>
          <w:szCs w:val="24"/>
        </w:rPr>
      </w:pPr>
      <w:r>
        <w:rPr>
          <w:noProof/>
          <w:color w:val="000000"/>
        </w:rPr>
        <w:t>2.</w:t>
      </w:r>
      <w:r>
        <w:rPr>
          <w:noProof/>
        </w:rPr>
        <w:tab/>
      </w:r>
      <w:r>
        <w:rPr>
          <w:noProof/>
          <w:color w:val="000000"/>
        </w:rPr>
        <w:t>Целите на настоящия дял са:</w:t>
      </w:r>
    </w:p>
    <w:p>
      <w:pPr>
        <w:pStyle w:val="Point1"/>
        <w:rPr>
          <w:noProof/>
        </w:rPr>
      </w:pPr>
      <w:r>
        <w:rPr>
          <w:noProof/>
        </w:rPr>
        <w:t>а)</w:t>
      </w:r>
      <w:r>
        <w:rPr>
          <w:noProof/>
        </w:rPr>
        <w:tab/>
        <w:t>създаване на благоприятна среда за насърчаване на инвестициите и частните предприятия, включително развитието на нови промишлени отрасли, преките чуждестранни инвестиции (ПЧИ) и трансфера на технологии;</w:t>
      </w:r>
    </w:p>
    <w:p>
      <w:pPr>
        <w:pStyle w:val="Point1"/>
        <w:rPr>
          <w:noProof/>
        </w:rPr>
      </w:pPr>
      <w:r>
        <w:rPr>
          <w:noProof/>
        </w:rPr>
        <w:t>б)</w:t>
      </w:r>
      <w:r>
        <w:rPr>
          <w:noProof/>
        </w:rPr>
        <w:tab/>
        <w:t>увеличаване на капацитета по отношение на предлагането, конкурентоспособността и създаването на добавена стойност;</w:t>
      </w:r>
    </w:p>
    <w:p>
      <w:pPr>
        <w:pStyle w:val="Point1"/>
        <w:rPr>
          <w:noProof/>
        </w:rPr>
      </w:pPr>
      <w:r>
        <w:rPr>
          <w:noProof/>
        </w:rPr>
        <w:t>в)</w:t>
      </w:r>
      <w:r>
        <w:rPr>
          <w:noProof/>
        </w:rPr>
        <w:tab/>
        <w:t>подобряване на достъпа до инвестиционно финансиране от финансови институции на ЕС, като например Европейската инвестиционна банка;</w:t>
      </w:r>
    </w:p>
    <w:p>
      <w:pPr>
        <w:pStyle w:val="Point1"/>
        <w:rPr>
          <w:noProof/>
        </w:rPr>
      </w:pPr>
      <w:r>
        <w:rPr>
          <w:noProof/>
        </w:rPr>
        <w:t>г)</w:t>
      </w:r>
      <w:r>
        <w:rPr>
          <w:noProof/>
        </w:rPr>
        <w:tab/>
        <w:t>изграждане на капацитет и оказване на институционална подкрепа за институциите за развитие на частния сектор, като агенциите за насърчаване на инвестициите, главните органи за координация, търговските камари, сдруженията, звената за контакт и институциите за улесняване на търговията;</w:t>
      </w:r>
    </w:p>
    <w:p>
      <w:pPr>
        <w:pStyle w:val="Point1"/>
        <w:rPr>
          <w:noProof/>
        </w:rPr>
      </w:pPr>
      <w:r>
        <w:rPr>
          <w:noProof/>
        </w:rPr>
        <w:t>д)</w:t>
      </w:r>
      <w:r>
        <w:rPr>
          <w:noProof/>
        </w:rPr>
        <w:tab/>
        <w:t>създаване и/или укрепване на рамка на политиката, както и на правна и регулаторна рамка, която насърчава и защитава инвестициите;</w:t>
      </w:r>
    </w:p>
    <w:p>
      <w:pPr>
        <w:pStyle w:val="Point1"/>
        <w:rPr>
          <w:noProof/>
        </w:rPr>
      </w:pPr>
      <w:r>
        <w:rPr>
          <w:noProof/>
        </w:rPr>
        <w:t>е)</w:t>
      </w:r>
      <w:r>
        <w:rPr>
          <w:noProof/>
        </w:rPr>
        <w:tab/>
        <w:t>подобряване на механизмите за подкрепа и за разпределяне на частния сектор от съвместни институции на АКТБ и ЕС, включително Центъра за развитие на селското стопанство (ЦРСС), наред с другото, за насърчаване на инвестициите в държавите партньори от ИАО; както и</w:t>
      </w:r>
    </w:p>
    <w:p>
      <w:pPr>
        <w:pStyle w:val="Point1"/>
        <w:rPr>
          <w:noProof/>
        </w:rPr>
      </w:pPr>
      <w:r>
        <w:rPr>
          <w:noProof/>
        </w:rPr>
        <w:t>ж)</w:t>
      </w:r>
      <w:r>
        <w:rPr>
          <w:noProof/>
        </w:rPr>
        <w:tab/>
        <w:t>създаване и укрепване на партньорства, съвместни предприятия, подизпълнителни дейности, възлагане на дейности на външни изпълнители и връзки.</w:t>
      </w:r>
    </w:p>
    <w:p>
      <w:pPr>
        <w:pStyle w:val="Titrearticle"/>
        <w:rPr>
          <w:rFonts w:eastAsia="Times New Roman"/>
          <w:b/>
          <w:bCs/>
          <w:noProof/>
          <w:color w:val="000000"/>
          <w:szCs w:val="24"/>
        </w:rPr>
      </w:pPr>
      <w:r>
        <w:rPr>
          <w:b/>
          <w:noProof/>
          <w:color w:val="000000"/>
        </w:rPr>
        <w:t>ЧЛЕН 85</w:t>
      </w:r>
    </w:p>
    <w:p>
      <w:pPr>
        <w:jc w:val="center"/>
        <w:rPr>
          <w:rFonts w:eastAsia="Times New Roman"/>
          <w:b/>
          <w:bCs/>
          <w:noProof/>
          <w:color w:val="000000"/>
          <w:szCs w:val="24"/>
        </w:rPr>
      </w:pPr>
      <w:r>
        <w:rPr>
          <w:b/>
          <w:noProof/>
          <w:color w:val="000000"/>
        </w:rPr>
        <w:t xml:space="preserve">Насърчаване на инвестициите </w:t>
      </w:r>
    </w:p>
    <w:p>
      <w:pPr>
        <w:rPr>
          <w:rFonts w:eastAsia="Times New Roman"/>
          <w:noProof/>
          <w:color w:val="000000"/>
          <w:szCs w:val="24"/>
        </w:rPr>
      </w:pPr>
      <w:r>
        <w:rPr>
          <w:noProof/>
          <w:color w:val="000000"/>
        </w:rPr>
        <w:t>Страните се споразумяват да насърчават инвестициите в държавите партньори от ИАО в следните области:</w:t>
      </w:r>
    </w:p>
    <w:p>
      <w:pPr>
        <w:pStyle w:val="Point0"/>
        <w:rPr>
          <w:noProof/>
        </w:rPr>
      </w:pPr>
      <w:r>
        <w:rPr>
          <w:noProof/>
        </w:rPr>
        <w:t>а)</w:t>
      </w:r>
      <w:r>
        <w:rPr>
          <w:noProof/>
        </w:rPr>
        <w:tab/>
        <w:t>подкрепа за реформи в рамките на политиката и в правните и регулаторните рамки;</w:t>
      </w:r>
    </w:p>
    <w:p>
      <w:pPr>
        <w:pStyle w:val="Point0"/>
        <w:rPr>
          <w:rFonts w:eastAsia="Times New Roman"/>
          <w:noProof/>
        </w:rPr>
      </w:pPr>
      <w:r>
        <w:rPr>
          <w:noProof/>
        </w:rPr>
        <w:t>б)</w:t>
      </w:r>
      <w:r>
        <w:rPr>
          <w:noProof/>
        </w:rPr>
        <w:tab/>
        <w:t>подкрепа за подобряване на институционалния капацитет, по-специално изграждане на капацитета на агенциите за насърчаване на инвестициите в държавите партньори от ИАО и на институциите, участващи в насърчаването и улесняването на чуждите и местните инвестиции;</w:t>
      </w:r>
    </w:p>
    <w:p>
      <w:pPr>
        <w:pStyle w:val="Point0"/>
        <w:rPr>
          <w:rFonts w:eastAsia="Times New Roman"/>
          <w:noProof/>
        </w:rPr>
      </w:pPr>
      <w:r>
        <w:rPr>
          <w:noProof/>
        </w:rPr>
        <w:t>в)</w:t>
      </w:r>
      <w:r>
        <w:rPr>
          <w:noProof/>
        </w:rPr>
        <w:tab/>
        <w:t>подкрепа за създаването на подходящи административни структури, в т.ч. за обслужване на едно гише, за достъп и осъществяване на инвестиции;</w:t>
      </w:r>
    </w:p>
    <w:p>
      <w:pPr>
        <w:pStyle w:val="Point0"/>
        <w:rPr>
          <w:rFonts w:eastAsia="Times New Roman"/>
          <w:noProof/>
        </w:rPr>
      </w:pPr>
      <w:r>
        <w:rPr>
          <w:noProof/>
        </w:rPr>
        <w:t>г)</w:t>
      </w:r>
      <w:r>
        <w:rPr>
          <w:noProof/>
        </w:rPr>
        <w:tab/>
        <w:t>подкрепа за създаването и непрекъснатостта на предвидим и сигурен инвестиционен климат;</w:t>
      </w:r>
    </w:p>
    <w:p>
      <w:pPr>
        <w:pStyle w:val="Point0"/>
        <w:rPr>
          <w:rFonts w:eastAsia="Times New Roman"/>
          <w:noProof/>
        </w:rPr>
      </w:pPr>
      <w:r>
        <w:rPr>
          <w:noProof/>
        </w:rPr>
        <w:t>д)</w:t>
      </w:r>
      <w:r>
        <w:rPr>
          <w:noProof/>
        </w:rPr>
        <w:tab/>
        <w:t xml:space="preserve">подпомагане на усилията на държавите партньори от ИАО за разработване на генериращи приходи инструменти с цел мобилизиране на ресурси за инвестиции; </w:t>
      </w:r>
    </w:p>
    <w:p>
      <w:pPr>
        <w:pStyle w:val="Point0"/>
        <w:rPr>
          <w:rFonts w:eastAsia="Times New Roman"/>
          <w:noProof/>
        </w:rPr>
      </w:pPr>
      <w:r>
        <w:rPr>
          <w:noProof/>
        </w:rPr>
        <w:t>е)</w:t>
      </w:r>
      <w:r>
        <w:rPr>
          <w:noProof/>
        </w:rPr>
        <w:tab/>
        <w:t>създаване и подпомагане на схеми за застраховане срещу рискове като механизъм за намаляване на риска с цел засилване на доверието на инвеститорите в държавите партньори от ИАО;</w:t>
      </w:r>
    </w:p>
    <w:p>
      <w:pPr>
        <w:pStyle w:val="Point0"/>
        <w:rPr>
          <w:rFonts w:eastAsia="Times New Roman"/>
          <w:noProof/>
        </w:rPr>
      </w:pPr>
      <w:r>
        <w:rPr>
          <w:noProof/>
        </w:rPr>
        <w:t>ж)</w:t>
      </w:r>
      <w:r>
        <w:rPr>
          <w:noProof/>
        </w:rPr>
        <w:tab/>
        <w:t>подкрепа за създаването на механизми за обмен на информация между инвестиционните агенции от държавите партньори от ИАО и техните партньори от ЕС;</w:t>
      </w:r>
    </w:p>
    <w:p>
      <w:pPr>
        <w:pStyle w:val="Point0"/>
        <w:rPr>
          <w:rFonts w:eastAsia="Times New Roman"/>
          <w:noProof/>
        </w:rPr>
      </w:pPr>
      <w:r>
        <w:rPr>
          <w:noProof/>
        </w:rPr>
        <w:t>з)</w:t>
      </w:r>
      <w:r>
        <w:rPr>
          <w:noProof/>
        </w:rPr>
        <w:tab/>
        <w:t>насърчаване на инвестициите на частния сектор на ЕС в държавите партньори от ИАО;</w:t>
      </w:r>
    </w:p>
    <w:p>
      <w:pPr>
        <w:pStyle w:val="Point0"/>
        <w:rPr>
          <w:rFonts w:eastAsia="Times New Roman"/>
          <w:noProof/>
        </w:rPr>
      </w:pPr>
      <w:r>
        <w:rPr>
          <w:noProof/>
        </w:rPr>
        <w:t>и)</w:t>
      </w:r>
      <w:r>
        <w:rPr>
          <w:noProof/>
        </w:rPr>
        <w:tab/>
        <w:t xml:space="preserve">подкрепа за създаването на финансови рамки и инструменти, адаптирани към нуждите от инвестиции на МСП; както и </w:t>
      </w:r>
    </w:p>
    <w:p>
      <w:pPr>
        <w:pStyle w:val="Point0"/>
        <w:rPr>
          <w:rFonts w:eastAsia="Times New Roman"/>
          <w:noProof/>
        </w:rPr>
      </w:pPr>
      <w:r>
        <w:rPr>
          <w:noProof/>
        </w:rPr>
        <w:t>й)</w:t>
      </w:r>
      <w:r>
        <w:rPr>
          <w:noProof/>
        </w:rPr>
        <w:tab/>
        <w:t>улесняване на партньорства чрез съвместни предприятия и капиталово финансиране.</w:t>
      </w:r>
    </w:p>
    <w:p>
      <w:pPr>
        <w:pStyle w:val="Titrearticle"/>
        <w:rPr>
          <w:rFonts w:eastAsia="Times New Roman"/>
          <w:b/>
          <w:bCs/>
          <w:noProof/>
          <w:color w:val="000000"/>
          <w:szCs w:val="24"/>
        </w:rPr>
      </w:pPr>
      <w:r>
        <w:rPr>
          <w:b/>
          <w:noProof/>
          <w:color w:val="000000"/>
        </w:rPr>
        <w:t>ЧЛЕН 86</w:t>
      </w:r>
    </w:p>
    <w:p>
      <w:pPr>
        <w:jc w:val="center"/>
        <w:rPr>
          <w:rFonts w:eastAsia="Times New Roman"/>
          <w:b/>
          <w:bCs/>
          <w:noProof/>
          <w:color w:val="000000"/>
          <w:szCs w:val="24"/>
        </w:rPr>
      </w:pPr>
      <w:r>
        <w:rPr>
          <w:b/>
          <w:noProof/>
          <w:color w:val="000000"/>
        </w:rPr>
        <w:t xml:space="preserve">Развитие на предприятията </w:t>
      </w:r>
    </w:p>
    <w:p>
      <w:pPr>
        <w:rPr>
          <w:rFonts w:eastAsia="Times New Roman"/>
          <w:noProof/>
          <w:color w:val="000000"/>
          <w:szCs w:val="24"/>
        </w:rPr>
      </w:pPr>
      <w:r>
        <w:rPr>
          <w:noProof/>
          <w:color w:val="000000"/>
        </w:rPr>
        <w:t>Страните се споразумяват да си сътрудничат за развитие на предприятията в държавите партньори от ИАО посредством оказването на подкрепа за:</w:t>
      </w:r>
    </w:p>
    <w:p>
      <w:pPr>
        <w:pStyle w:val="Point0"/>
        <w:rPr>
          <w:rFonts w:eastAsia="Times New Roman"/>
          <w:noProof/>
        </w:rPr>
      </w:pPr>
      <w:r>
        <w:rPr>
          <w:noProof/>
          <w:color w:val="000000"/>
        </w:rPr>
        <w:t>а)</w:t>
      </w:r>
      <w:r>
        <w:rPr>
          <w:noProof/>
        </w:rPr>
        <w:tab/>
        <w:t>насърчаването на диалога, сътрудничеството и партньорствата между предприятията от частния сектор в ИАО и ЕС;</w:t>
      </w:r>
    </w:p>
    <w:p>
      <w:pPr>
        <w:pStyle w:val="Point0"/>
        <w:rPr>
          <w:rFonts w:eastAsia="Times New Roman"/>
          <w:noProof/>
        </w:rPr>
      </w:pPr>
      <w:r>
        <w:rPr>
          <w:noProof/>
        </w:rPr>
        <w:t>б)</w:t>
      </w:r>
      <w:r>
        <w:rPr>
          <w:noProof/>
        </w:rPr>
        <w:tab/>
        <w:t>усилията за популяризиране и интеграция в основните стопански дейности на микропредприятията, малките и средните предприятия;</w:t>
      </w:r>
    </w:p>
    <w:p>
      <w:pPr>
        <w:pStyle w:val="Point0"/>
        <w:rPr>
          <w:rFonts w:eastAsia="Times New Roman"/>
          <w:noProof/>
        </w:rPr>
      </w:pPr>
      <w:r>
        <w:rPr>
          <w:noProof/>
        </w:rPr>
        <w:t>в)</w:t>
      </w:r>
      <w:r>
        <w:rPr>
          <w:noProof/>
        </w:rPr>
        <w:tab/>
        <w:t>насърчаването на ефективността на дружествата на държавите партньори от ИАО при производството и пускането на пазара на продукти;</w:t>
      </w:r>
    </w:p>
    <w:p>
      <w:pPr>
        <w:pStyle w:val="Point0"/>
        <w:rPr>
          <w:rFonts w:eastAsia="Times New Roman"/>
          <w:noProof/>
        </w:rPr>
      </w:pPr>
      <w:r>
        <w:rPr>
          <w:noProof/>
        </w:rPr>
        <w:t>г)</w:t>
      </w:r>
      <w:r>
        <w:rPr>
          <w:noProof/>
        </w:rPr>
        <w:tab/>
        <w:t>прилагането на стратегиите за развитие на частния сектор на държавите партньори от ИАО;</w:t>
      </w:r>
    </w:p>
    <w:p>
      <w:pPr>
        <w:pStyle w:val="Point0"/>
        <w:rPr>
          <w:rFonts w:eastAsia="Times New Roman"/>
          <w:noProof/>
        </w:rPr>
      </w:pPr>
      <w:r>
        <w:rPr>
          <w:noProof/>
        </w:rPr>
        <w:t>д)</w:t>
      </w:r>
      <w:r>
        <w:rPr>
          <w:noProof/>
        </w:rPr>
        <w:tab/>
        <w:t xml:space="preserve">насърчаването на благоприятна среда за развитието и растежа на микропредприятията, малките и средните предприятия; </w:t>
      </w:r>
    </w:p>
    <w:p>
      <w:pPr>
        <w:pStyle w:val="Point0"/>
        <w:rPr>
          <w:rFonts w:eastAsia="Times New Roman"/>
          <w:noProof/>
        </w:rPr>
      </w:pPr>
      <w:r>
        <w:rPr>
          <w:noProof/>
        </w:rPr>
        <w:t>е)</w:t>
      </w:r>
      <w:r>
        <w:rPr>
          <w:noProof/>
        </w:rPr>
        <w:tab/>
        <w:t xml:space="preserve">изграждането на капацитет на организациите от частния сектор, за да отговарят на международните стандарти; </w:t>
      </w:r>
    </w:p>
    <w:p>
      <w:pPr>
        <w:pStyle w:val="Point0"/>
        <w:rPr>
          <w:rFonts w:eastAsia="Times New Roman"/>
          <w:noProof/>
        </w:rPr>
      </w:pPr>
      <w:r>
        <w:rPr>
          <w:noProof/>
        </w:rPr>
        <w:t>ж)</w:t>
      </w:r>
      <w:r>
        <w:rPr>
          <w:noProof/>
        </w:rPr>
        <w:tab/>
        <w:t>защитата на иновациите от пиратство; както и</w:t>
      </w:r>
    </w:p>
    <w:p>
      <w:pPr>
        <w:pStyle w:val="Point0"/>
        <w:rPr>
          <w:rFonts w:eastAsia="Times New Roman"/>
          <w:noProof/>
          <w:color w:val="000000"/>
          <w:szCs w:val="24"/>
        </w:rPr>
      </w:pPr>
      <w:r>
        <w:rPr>
          <w:noProof/>
        </w:rPr>
        <w:t>з)</w:t>
      </w:r>
      <w:r>
        <w:rPr>
          <w:noProof/>
        </w:rPr>
        <w:tab/>
        <w:t>изграждането на капацитета на държавите партньори от ИАО за проучването, експлоатацията и предлагането на пазара на природни ресурси.</w:t>
      </w:r>
    </w:p>
    <w:p>
      <w:pPr>
        <w:jc w:val="center"/>
        <w:rPr>
          <w:b/>
          <w:noProof/>
          <w:sz w:val="28"/>
          <w:szCs w:val="28"/>
        </w:rPr>
      </w:pPr>
      <w:r>
        <w:rPr>
          <w:b/>
          <w:noProof/>
          <w:sz w:val="28"/>
        </w:rPr>
        <w:t>ДЯЛ IV</w:t>
      </w:r>
      <w:bookmarkStart w:id="27" w:name="_Toc306374508"/>
      <w:r>
        <w:rPr>
          <w:b/>
          <w:noProof/>
          <w:sz w:val="28"/>
        </w:rPr>
        <w:t>: РИБАРСТВО</w:t>
      </w:r>
      <w:bookmarkEnd w:id="27"/>
    </w:p>
    <w:p>
      <w:pPr>
        <w:pStyle w:val="Titrearticle"/>
        <w:rPr>
          <w:rFonts w:eastAsia="Times New Roman"/>
          <w:b/>
          <w:bCs/>
          <w:noProof/>
          <w:color w:val="000000"/>
          <w:szCs w:val="24"/>
        </w:rPr>
      </w:pPr>
      <w:r>
        <w:rPr>
          <w:b/>
          <w:noProof/>
          <w:color w:val="000000"/>
        </w:rPr>
        <w:t>ЧЛЕН 87</w:t>
      </w:r>
    </w:p>
    <w:p>
      <w:pPr>
        <w:jc w:val="center"/>
        <w:rPr>
          <w:rFonts w:eastAsia="Times New Roman"/>
          <w:b/>
          <w:bCs/>
          <w:noProof/>
          <w:color w:val="000000"/>
          <w:szCs w:val="24"/>
        </w:rPr>
      </w:pPr>
      <w:r>
        <w:rPr>
          <w:b/>
          <w:noProof/>
          <w:color w:val="000000"/>
        </w:rPr>
        <w:t>Обхват на сътрудничеството</w:t>
      </w:r>
    </w:p>
    <w:p>
      <w:pPr>
        <w:rPr>
          <w:rFonts w:eastAsia="Times New Roman"/>
          <w:b/>
          <w:bCs/>
          <w:noProof/>
          <w:color w:val="000000"/>
          <w:szCs w:val="24"/>
        </w:rPr>
      </w:pPr>
      <w:r>
        <w:rPr>
          <w:noProof/>
          <w:color w:val="000000"/>
        </w:rPr>
        <w:t xml:space="preserve">Сътрудничеството в областта на рибарството обхваща морския риболов, сладководния риболов и аквакултурите. </w:t>
      </w:r>
    </w:p>
    <w:p>
      <w:pPr>
        <w:pStyle w:val="Titrearticle"/>
        <w:rPr>
          <w:rFonts w:eastAsia="Times New Roman"/>
          <w:b/>
          <w:noProof/>
          <w:color w:val="000000"/>
          <w:szCs w:val="24"/>
        </w:rPr>
      </w:pPr>
      <w:r>
        <w:rPr>
          <w:b/>
          <w:noProof/>
          <w:color w:val="000000"/>
        </w:rPr>
        <w:t>ЧЛЕН 88</w:t>
      </w:r>
    </w:p>
    <w:p>
      <w:pPr>
        <w:jc w:val="center"/>
        <w:rPr>
          <w:rFonts w:eastAsia="Times New Roman"/>
          <w:b/>
          <w:noProof/>
          <w:color w:val="000000"/>
          <w:szCs w:val="24"/>
        </w:rPr>
      </w:pPr>
      <w:r>
        <w:rPr>
          <w:b/>
          <w:noProof/>
          <w:color w:val="000000"/>
        </w:rPr>
        <w:t>Области на сътрудничество в морския риболов</w:t>
      </w:r>
    </w:p>
    <w:p>
      <w:pPr>
        <w:pStyle w:val="ManualNumPar1"/>
        <w:rPr>
          <w:rFonts w:eastAsia="Calibri"/>
          <w:noProof/>
          <w:szCs w:val="24"/>
        </w:rPr>
      </w:pPr>
      <w:r>
        <w:rPr>
          <w:noProof/>
        </w:rPr>
        <w:t>1.</w:t>
      </w:r>
      <w:r>
        <w:rPr>
          <w:noProof/>
        </w:rPr>
        <w:tab/>
        <w:t xml:space="preserve">Сътрудничеството в областта на морския риболов включва: </w:t>
      </w:r>
    </w:p>
    <w:p>
      <w:pPr>
        <w:pStyle w:val="Point1"/>
        <w:rPr>
          <w:noProof/>
        </w:rPr>
      </w:pPr>
      <w:r>
        <w:rPr>
          <w:noProof/>
        </w:rPr>
        <w:t>а)</w:t>
      </w:r>
      <w:r>
        <w:rPr>
          <w:noProof/>
        </w:rPr>
        <w:tab/>
        <w:t xml:space="preserve">въпроси, свързани с управлението на риболова и опазването на запасите; </w:t>
      </w:r>
    </w:p>
    <w:p>
      <w:pPr>
        <w:pStyle w:val="Point1"/>
        <w:rPr>
          <w:noProof/>
        </w:rPr>
      </w:pPr>
      <w:r>
        <w:rPr>
          <w:noProof/>
        </w:rPr>
        <w:t>б)</w:t>
      </w:r>
      <w:r>
        <w:rPr>
          <w:noProof/>
        </w:rPr>
        <w:tab/>
        <w:t xml:space="preserve">управление на плавателните съдове и договорености относно периода след улова; </w:t>
      </w:r>
    </w:p>
    <w:p>
      <w:pPr>
        <w:pStyle w:val="Point1"/>
        <w:rPr>
          <w:noProof/>
        </w:rPr>
      </w:pPr>
      <w:r>
        <w:rPr>
          <w:noProof/>
        </w:rPr>
        <w:t>в)</w:t>
      </w:r>
      <w:r>
        <w:rPr>
          <w:noProof/>
        </w:rPr>
        <w:tab/>
        <w:t xml:space="preserve">финансови и търговски мерки; както и </w:t>
      </w:r>
    </w:p>
    <w:p>
      <w:pPr>
        <w:pStyle w:val="Point1"/>
        <w:rPr>
          <w:rFonts w:eastAsia="Calibri"/>
          <w:noProof/>
          <w:szCs w:val="24"/>
        </w:rPr>
      </w:pPr>
      <w:r>
        <w:rPr>
          <w:noProof/>
        </w:rPr>
        <w:t>г)</w:t>
      </w:r>
      <w:r>
        <w:rPr>
          <w:noProof/>
        </w:rPr>
        <w:tab/>
        <w:t>развитие на рибарството, продуктите от риболов и морските аквакултури.</w:t>
      </w:r>
    </w:p>
    <w:p>
      <w:pPr>
        <w:pStyle w:val="ManualNumPar1"/>
        <w:rPr>
          <w:rFonts w:eastAsia="Calibri"/>
          <w:noProof/>
          <w:szCs w:val="24"/>
        </w:rPr>
      </w:pPr>
      <w:r>
        <w:rPr>
          <w:noProof/>
        </w:rPr>
        <w:t>2.</w:t>
      </w:r>
      <w:r>
        <w:rPr>
          <w:noProof/>
        </w:rPr>
        <w:tab/>
        <w:t>ЕС допринася за мобилизирането на ресурсите за прилагане на сътрудничеството в установените области на национално и регионално равнище, което ще включва и подкрепа за изграждане на регионалния капацитет.</w:t>
      </w:r>
    </w:p>
    <w:p>
      <w:pPr>
        <w:pStyle w:val="ManualNumPar1"/>
        <w:rPr>
          <w:rFonts w:eastAsia="Calibri"/>
          <w:b/>
          <w:bCs/>
          <w:noProof/>
          <w:color w:val="000000"/>
          <w:szCs w:val="24"/>
        </w:rPr>
      </w:pPr>
      <w:r>
        <w:rPr>
          <w:noProof/>
        </w:rPr>
        <w:t>3.</w:t>
      </w:r>
      <w:r>
        <w:rPr>
          <w:noProof/>
        </w:rPr>
        <w:tab/>
        <w:t>При спазване на разпоредбите на част III от настоящото споразумение и член 75, страните се споразумяват да си сътрудничат в следните области:</w:t>
      </w:r>
    </w:p>
    <w:p>
      <w:pPr>
        <w:pStyle w:val="Point1"/>
        <w:rPr>
          <w:noProof/>
        </w:rPr>
      </w:pPr>
      <w:r>
        <w:rPr>
          <w:noProof/>
        </w:rPr>
        <w:t>а)</w:t>
      </w:r>
      <w:r>
        <w:rPr>
          <w:noProof/>
        </w:rPr>
        <w:tab/>
        <w:t xml:space="preserve">развитие и подобряване на инфраструктурата за складиране, предлагане на пазара и разпространение на риба и рибни продукти; </w:t>
      </w:r>
    </w:p>
    <w:p>
      <w:pPr>
        <w:pStyle w:val="Point1"/>
        <w:rPr>
          <w:noProof/>
        </w:rPr>
      </w:pPr>
      <w:r>
        <w:rPr>
          <w:noProof/>
        </w:rPr>
        <w:t>б)</w:t>
      </w:r>
      <w:r>
        <w:rPr>
          <w:noProof/>
        </w:rPr>
        <w:tab/>
        <w:t>изграждане на капацитет на национално и регионално равнище за изпълнение на техническите изисквания по отношение на СФМ/ТПТ/системата на критичните контролни точки за анализ на опасностите, разработване на системи за мониторинг, контрол и наблюдение в изключителните икономически зони в държавите партньори от ИАО и въвеждане и управление на схемите за сертифициране за конкретни видове морски риболов;</w:t>
      </w:r>
    </w:p>
    <w:p>
      <w:pPr>
        <w:pStyle w:val="Point1"/>
        <w:rPr>
          <w:noProof/>
        </w:rPr>
      </w:pPr>
      <w:r>
        <w:rPr>
          <w:noProof/>
        </w:rPr>
        <w:t>в)</w:t>
      </w:r>
      <w:r>
        <w:rPr>
          <w:noProof/>
        </w:rPr>
        <w:tab/>
        <w:t>инвестиции и трансфер на технологии в риболовните дейности, преработката на риба, пристанищните услуги, развитието и подобряването на пристанищните съоръжения и диверсификацията на риболова с цел включване на видове, различни от риба тон, които се ловят в недостатъчна степен или не се ловят;</w:t>
      </w:r>
    </w:p>
    <w:p>
      <w:pPr>
        <w:pStyle w:val="Point1"/>
        <w:rPr>
          <w:noProof/>
        </w:rPr>
      </w:pPr>
      <w:r>
        <w:rPr>
          <w:noProof/>
        </w:rPr>
        <w:t>г)</w:t>
      </w:r>
      <w:r>
        <w:rPr>
          <w:noProof/>
        </w:rPr>
        <w:tab/>
        <w:t>съвместни предприятия и връзки, особено с микропредприятията, малките и средните предприятия и субектите, извършващи непромишлен риболов, в рамките на веригата на доставки на риба и рибни продукти;</w:t>
      </w:r>
    </w:p>
    <w:p>
      <w:pPr>
        <w:pStyle w:val="Point1"/>
        <w:rPr>
          <w:noProof/>
        </w:rPr>
      </w:pPr>
      <w:r>
        <w:rPr>
          <w:noProof/>
        </w:rPr>
        <w:t>д)</w:t>
      </w:r>
      <w:r>
        <w:rPr>
          <w:noProof/>
        </w:rPr>
        <w:tab/>
        <w:t>създаване на добавена стойност в областта на рибарството; както и</w:t>
      </w:r>
    </w:p>
    <w:p>
      <w:pPr>
        <w:pStyle w:val="Point1"/>
        <w:rPr>
          <w:rFonts w:eastAsia="Times New Roman"/>
          <w:noProof/>
          <w:color w:val="000000"/>
          <w:szCs w:val="24"/>
        </w:rPr>
      </w:pPr>
      <w:r>
        <w:rPr>
          <w:noProof/>
        </w:rPr>
        <w:t>е)</w:t>
      </w:r>
      <w:r>
        <w:rPr>
          <w:noProof/>
        </w:rPr>
        <w:tab/>
        <w:t>научноизследователска и развойна дейност по отношение на оценката на запасите и равнищата на устойчивост.</w:t>
      </w:r>
    </w:p>
    <w:p>
      <w:pPr>
        <w:pStyle w:val="ManualNumPar1"/>
        <w:rPr>
          <w:rFonts w:eastAsia="Times New Roman"/>
          <w:noProof/>
          <w:szCs w:val="24"/>
        </w:rPr>
      </w:pPr>
      <w:r>
        <w:rPr>
          <w:noProof/>
        </w:rPr>
        <w:t>4.</w:t>
      </w:r>
      <w:r>
        <w:rPr>
          <w:noProof/>
        </w:rPr>
        <w:tab/>
        <w:t>Страните се ангажират да си сътрудничат за насърчаване на създаването на съвместни предприятия в сферата на риболовните дейности, преработката на риба, пристанищните услуги, засилване на производствения капацитет, подобряване на конкурентоспособността в областта на рибарството и свързаните с него промишлени отрасли и услуги, последващата преработка, развитието и подобряването на пристанищните съоръжения и диверсификацията на риболова с цел включване на видове, различни от риба тон, които се ловят в недостатъчна степен или не се ловят.</w:t>
      </w:r>
    </w:p>
    <w:p>
      <w:pPr>
        <w:pStyle w:val="Titrearticle"/>
        <w:rPr>
          <w:rFonts w:eastAsia="Times New Roman"/>
          <w:b/>
          <w:bCs/>
          <w:noProof/>
          <w:color w:val="000000"/>
          <w:szCs w:val="24"/>
        </w:rPr>
      </w:pPr>
      <w:r>
        <w:rPr>
          <w:b/>
          <w:noProof/>
          <w:color w:val="000000"/>
        </w:rPr>
        <w:t>ЧЛЕН 89</w:t>
      </w:r>
    </w:p>
    <w:p>
      <w:pPr>
        <w:jc w:val="center"/>
        <w:rPr>
          <w:rFonts w:eastAsia="Times New Roman"/>
          <w:b/>
          <w:bCs/>
          <w:noProof/>
          <w:color w:val="000000"/>
          <w:szCs w:val="24"/>
        </w:rPr>
      </w:pPr>
      <w:r>
        <w:rPr>
          <w:b/>
          <w:noProof/>
          <w:color w:val="000000"/>
        </w:rPr>
        <w:t xml:space="preserve">Развитие на сладководния риболов и аквакултурите </w:t>
      </w:r>
    </w:p>
    <w:p>
      <w:pPr>
        <w:rPr>
          <w:rFonts w:eastAsia="Times New Roman"/>
          <w:b/>
          <w:noProof/>
          <w:szCs w:val="24"/>
        </w:rPr>
      </w:pPr>
      <w:r>
        <w:rPr>
          <w:noProof/>
        </w:rPr>
        <w:t>Сътрудничеството в областта на развитието на сладководния риболов и аквакултурите включва финансово участие на ЕС в следните области:</w:t>
      </w:r>
    </w:p>
    <w:p>
      <w:pPr>
        <w:pStyle w:val="Point0"/>
        <w:rPr>
          <w:rFonts w:eastAsia="Times New Roman"/>
          <w:noProof/>
          <w:szCs w:val="24"/>
        </w:rPr>
      </w:pPr>
      <w:r>
        <w:rPr>
          <w:noProof/>
        </w:rPr>
        <w:t>а)</w:t>
      </w:r>
      <w:r>
        <w:rPr>
          <w:noProof/>
        </w:rPr>
        <w:tab/>
        <w:t>изграждане на капацитет и развитие на експортния пазар чрез:</w:t>
      </w:r>
    </w:p>
    <w:p>
      <w:pPr>
        <w:pStyle w:val="Point1"/>
        <w:rPr>
          <w:noProof/>
        </w:rPr>
      </w:pPr>
      <w:r>
        <w:rPr>
          <w:noProof/>
        </w:rPr>
        <w:t>i)</w:t>
      </w:r>
      <w:r>
        <w:rPr>
          <w:noProof/>
        </w:rPr>
        <w:tab/>
        <w:t>изграждане на капацитет в промишленото и непромишленото производство, преработката и продуктовата диверсификация, който повишава конкурентоспособността на сладководния риболов и аквакултурите в региона. Това би могло да бъде постигнато например чрез създаване на центрове за научноизследователска и развойна дейност, в това число за развитие на аквакултури за рибовъдни стопанства с търговска цел;</w:t>
      </w:r>
    </w:p>
    <w:p>
      <w:pPr>
        <w:pStyle w:val="Point1"/>
        <w:rPr>
          <w:rFonts w:eastAsia="Times New Roman"/>
          <w:noProof/>
          <w:szCs w:val="24"/>
        </w:rPr>
      </w:pPr>
      <w:r>
        <w:rPr>
          <w:noProof/>
        </w:rPr>
        <w:t>ii)</w:t>
      </w:r>
      <w:r>
        <w:rPr>
          <w:noProof/>
        </w:rPr>
        <w:tab/>
        <w:t>изграждане на капацитет за управление на търговските вериги за експортния пазар, включително въвеждане и управление на схемите за сертифициране за специфични продуктови линии; както и прилагане на маркетингови промоционални дейности, създаване на добавена стойност и намаляване на загубите в периода след улова при продуктите от риболов;</w:t>
      </w:r>
    </w:p>
    <w:p>
      <w:pPr>
        <w:pStyle w:val="Point1"/>
        <w:rPr>
          <w:rFonts w:eastAsia="Times New Roman"/>
          <w:noProof/>
          <w:szCs w:val="24"/>
        </w:rPr>
      </w:pPr>
      <w:r>
        <w:rPr>
          <w:noProof/>
        </w:rPr>
        <w:t>iii)</w:t>
      </w:r>
      <w:r>
        <w:rPr>
          <w:noProof/>
        </w:rPr>
        <w:tab/>
        <w:t>повишаване на капацитета в региона, например чрез подобряване на възможностите на компетентните органи в областта на рибарството, търговците и рибарските сдружения, с цел участието им в търговията в сферата на риболова с ЕС като страна по споразумението и в програми за обучение, свързани с разработване на продукт и създаване на търговска марка;</w:t>
      </w:r>
    </w:p>
    <w:p>
      <w:pPr>
        <w:pStyle w:val="Point0"/>
        <w:rPr>
          <w:rFonts w:eastAsia="Times New Roman"/>
          <w:noProof/>
          <w:szCs w:val="24"/>
        </w:rPr>
      </w:pPr>
      <w:r>
        <w:rPr>
          <w:noProof/>
        </w:rPr>
        <w:t>б)</w:t>
      </w:r>
      <w:r>
        <w:rPr>
          <w:noProof/>
        </w:rPr>
        <w:tab/>
        <w:t>инфраструктура чрез:</w:t>
      </w:r>
    </w:p>
    <w:p>
      <w:pPr>
        <w:pStyle w:val="Point1"/>
        <w:rPr>
          <w:rFonts w:eastAsia="Times New Roman"/>
          <w:noProof/>
          <w:szCs w:val="24"/>
        </w:rPr>
      </w:pPr>
      <w:r>
        <w:rPr>
          <w:noProof/>
        </w:rPr>
        <w:t>i)</w:t>
      </w:r>
      <w:r>
        <w:rPr>
          <w:noProof/>
        </w:rPr>
        <w:tab/>
        <w:t>развитие и подобряване на инфраструктурата, свързана със сладководния риболов и аквакултурите;</w:t>
      </w:r>
    </w:p>
    <w:p>
      <w:pPr>
        <w:pStyle w:val="Point1"/>
        <w:rPr>
          <w:rFonts w:eastAsia="Times New Roman"/>
          <w:noProof/>
          <w:szCs w:val="24"/>
        </w:rPr>
      </w:pPr>
      <w:r>
        <w:rPr>
          <w:noProof/>
        </w:rPr>
        <w:t>ii)</w:t>
      </w:r>
      <w:r>
        <w:rPr>
          <w:noProof/>
        </w:rPr>
        <w:tab/>
        <w:t>улесняване на достъпа до финансиране, насочено към инфраструктурата, в това число към всички видове оборудване.</w:t>
      </w:r>
    </w:p>
    <w:p>
      <w:pPr>
        <w:pStyle w:val="Point0"/>
        <w:rPr>
          <w:rFonts w:eastAsia="Times New Roman"/>
          <w:noProof/>
          <w:szCs w:val="24"/>
        </w:rPr>
      </w:pPr>
      <w:r>
        <w:rPr>
          <w:noProof/>
        </w:rPr>
        <w:t>в)</w:t>
      </w:r>
      <w:r>
        <w:rPr>
          <w:noProof/>
        </w:rPr>
        <w:tab/>
        <w:t>технологии чрез:</w:t>
      </w:r>
    </w:p>
    <w:p>
      <w:pPr>
        <w:pStyle w:val="Point1"/>
        <w:rPr>
          <w:rFonts w:eastAsia="Times New Roman"/>
          <w:noProof/>
          <w:szCs w:val="24"/>
        </w:rPr>
      </w:pPr>
      <w:r>
        <w:rPr>
          <w:noProof/>
        </w:rPr>
        <w:t>i)</w:t>
      </w:r>
      <w:r>
        <w:rPr>
          <w:noProof/>
        </w:rPr>
        <w:tab/>
        <w:t>развиване на техническите възможности, включително популяризиране на технологиите за създаване на добавена стойност, например чрез пренос на технологии в областта на рибарството от ЕС към държавите партньори от ИАО;</w:t>
      </w:r>
    </w:p>
    <w:p>
      <w:pPr>
        <w:pStyle w:val="Point1"/>
        <w:rPr>
          <w:rFonts w:eastAsia="Times New Roman"/>
          <w:noProof/>
          <w:szCs w:val="24"/>
        </w:rPr>
      </w:pPr>
      <w:r>
        <w:rPr>
          <w:noProof/>
        </w:rPr>
        <w:t>ii)</w:t>
      </w:r>
      <w:r>
        <w:rPr>
          <w:noProof/>
        </w:rPr>
        <w:tab/>
        <w:t>повишаване на капацитета по отношение управлението на рибарството в региона, например чрез научноизследователска дейност и системи за събиране на данни, както и чрез принос към подходящи технологии за улавяне и управление в периода след улова;</w:t>
      </w:r>
    </w:p>
    <w:p>
      <w:pPr>
        <w:pStyle w:val="Point0"/>
        <w:rPr>
          <w:rFonts w:eastAsia="Times New Roman"/>
          <w:noProof/>
          <w:szCs w:val="24"/>
        </w:rPr>
      </w:pPr>
      <w:r>
        <w:rPr>
          <w:noProof/>
        </w:rPr>
        <w:t>г)</w:t>
      </w:r>
      <w:r>
        <w:rPr>
          <w:noProof/>
        </w:rPr>
        <w:tab/>
        <w:t>правни и регулаторни рамки чрез:</w:t>
      </w:r>
    </w:p>
    <w:p>
      <w:pPr>
        <w:pStyle w:val="Point1"/>
        <w:rPr>
          <w:rFonts w:eastAsia="Times New Roman"/>
          <w:noProof/>
          <w:szCs w:val="24"/>
        </w:rPr>
      </w:pPr>
      <w:r>
        <w:rPr>
          <w:noProof/>
        </w:rPr>
        <w:t>i)</w:t>
      </w:r>
      <w:r>
        <w:rPr>
          <w:noProof/>
        </w:rPr>
        <w:tab/>
        <w:t>разработване на нормативни разпоредби в областта на сладководния риболов и аквакултурите, както и на системи за мониторинг, контрол и наблюдение;</w:t>
      </w:r>
    </w:p>
    <w:p>
      <w:pPr>
        <w:pStyle w:val="Point1"/>
        <w:rPr>
          <w:rFonts w:eastAsia="Times New Roman"/>
          <w:noProof/>
          <w:szCs w:val="24"/>
        </w:rPr>
      </w:pPr>
      <w:r>
        <w:rPr>
          <w:noProof/>
        </w:rPr>
        <w:t>ii)</w:t>
      </w:r>
      <w:r>
        <w:rPr>
          <w:noProof/>
        </w:rPr>
        <w:tab/>
        <w:t>разработване на подходящи правни и нормативни инструменти относно правата на интелектуална собственост и изграждане на капацитет за тяхното прилагане в международната търговия;</w:t>
      </w:r>
    </w:p>
    <w:p>
      <w:pPr>
        <w:pStyle w:val="Point1"/>
        <w:rPr>
          <w:rFonts w:eastAsia="Times New Roman"/>
          <w:noProof/>
          <w:szCs w:val="24"/>
        </w:rPr>
      </w:pPr>
      <w:r>
        <w:rPr>
          <w:noProof/>
        </w:rPr>
        <w:t>iii)</w:t>
      </w:r>
      <w:r>
        <w:rPr>
          <w:noProof/>
        </w:rPr>
        <w:tab/>
        <w:t>защита на екомаркировката и на интелектуалната собственост;</w:t>
      </w:r>
    </w:p>
    <w:p>
      <w:pPr>
        <w:pStyle w:val="Point0"/>
        <w:rPr>
          <w:rFonts w:eastAsia="Times New Roman"/>
          <w:noProof/>
          <w:szCs w:val="24"/>
        </w:rPr>
      </w:pPr>
      <w:r>
        <w:rPr>
          <w:noProof/>
        </w:rPr>
        <w:t>д)</w:t>
      </w:r>
      <w:r>
        <w:rPr>
          <w:noProof/>
        </w:rPr>
        <w:tab/>
        <w:t>инвестиции и финансиране чрез:</w:t>
      </w:r>
    </w:p>
    <w:p>
      <w:pPr>
        <w:pStyle w:val="Point1"/>
        <w:rPr>
          <w:rFonts w:eastAsia="Times New Roman"/>
          <w:noProof/>
          <w:szCs w:val="24"/>
        </w:rPr>
      </w:pPr>
      <w:r>
        <w:rPr>
          <w:noProof/>
        </w:rPr>
        <w:t>i)</w:t>
      </w:r>
      <w:r>
        <w:rPr>
          <w:noProof/>
        </w:rPr>
        <w:tab/>
        <w:t>насърчаване на съвместни предприятия и други форми на смесено инвестиране между заинтересованите страни в страните по споразумението, като например за определяне на начини за идентифициране на инвеститори за операции в рамките на съвместни предприятия в областта на сладководния риболов и аквакултурите;</w:t>
      </w:r>
    </w:p>
    <w:p>
      <w:pPr>
        <w:pStyle w:val="Point1"/>
        <w:rPr>
          <w:rFonts w:eastAsia="Times New Roman"/>
          <w:noProof/>
          <w:szCs w:val="24"/>
        </w:rPr>
      </w:pPr>
      <w:r>
        <w:rPr>
          <w:noProof/>
        </w:rPr>
        <w:t>ii)</w:t>
      </w:r>
      <w:r>
        <w:rPr>
          <w:noProof/>
        </w:rPr>
        <w:tab/>
        <w:t>предоставяне на достъп до кредитни инструменти за развитието на предприятия от малък до среден мащаб, както и на сладководен риболов в промишлен мащаб;</w:t>
      </w:r>
    </w:p>
    <w:p>
      <w:pPr>
        <w:pStyle w:val="Point0"/>
        <w:rPr>
          <w:rFonts w:eastAsia="Times New Roman"/>
          <w:noProof/>
          <w:szCs w:val="24"/>
        </w:rPr>
      </w:pPr>
      <w:r>
        <w:rPr>
          <w:noProof/>
        </w:rPr>
        <w:t>е)</w:t>
      </w:r>
      <w:r>
        <w:rPr>
          <w:noProof/>
        </w:rPr>
        <w:tab/>
        <w:t>опазване на околната среда и запасите при риболова чрез:</w:t>
      </w:r>
    </w:p>
    <w:p>
      <w:pPr>
        <w:pStyle w:val="Point1"/>
        <w:rPr>
          <w:rFonts w:eastAsia="Times New Roman"/>
          <w:noProof/>
          <w:szCs w:val="24"/>
        </w:rPr>
      </w:pPr>
      <w:r>
        <w:rPr>
          <w:noProof/>
        </w:rPr>
        <w:t>i)</w:t>
      </w:r>
      <w:r>
        <w:rPr>
          <w:noProof/>
        </w:rPr>
        <w:tab/>
        <w:t>мерки, целящи да гарантират, че рибната търговия оказва подкрепа на опазването на околната среда и защита срещу изчерпване на запасите, както и към поддържането на биоразнообразието и предпазливото въвеждане на екзотични видове за целите на аквакултурите, например чрез предпазливо въвеждане на екзотични видове единствено в управлявани/затворени пространства след консултации с всички заинтересовани съседни държави;</w:t>
      </w:r>
    </w:p>
    <w:p>
      <w:pPr>
        <w:pStyle w:val="Point0"/>
        <w:rPr>
          <w:rFonts w:eastAsia="Times New Roman"/>
          <w:noProof/>
          <w:szCs w:val="24"/>
        </w:rPr>
      </w:pPr>
      <w:r>
        <w:rPr>
          <w:noProof/>
        </w:rPr>
        <w:t>ж)</w:t>
      </w:r>
      <w:r>
        <w:rPr>
          <w:noProof/>
        </w:rPr>
        <w:tab/>
        <w:t>социално-икономически мерки и мерки за намаляване на бедността чрез:</w:t>
      </w:r>
    </w:p>
    <w:p>
      <w:pPr>
        <w:pStyle w:val="Point1"/>
        <w:rPr>
          <w:rFonts w:eastAsia="Times New Roman"/>
          <w:noProof/>
          <w:szCs w:val="24"/>
        </w:rPr>
      </w:pPr>
      <w:r>
        <w:rPr>
          <w:noProof/>
        </w:rPr>
        <w:t>i)</w:t>
      </w:r>
      <w:r>
        <w:rPr>
          <w:noProof/>
        </w:rPr>
        <w:tab/>
        <w:t>насърчаване на лицата, занимаващи се риболов, преработка и търговия с риба в малък и среден мащаб, чрез изграждане на капацитета на държавите партньори от ИАО за участие в търговията с ЕС;</w:t>
      </w:r>
    </w:p>
    <w:p>
      <w:pPr>
        <w:pStyle w:val="Point1"/>
        <w:rPr>
          <w:rFonts w:eastAsia="Times New Roman"/>
          <w:noProof/>
          <w:szCs w:val="24"/>
        </w:rPr>
      </w:pPr>
      <w:r>
        <w:rPr>
          <w:noProof/>
        </w:rPr>
        <w:t>ii) участие на маргиналните групи в рибната промишленост, например чрез насърчаване на равенството между половете в рибарството, и по-специално чрез развиване на капацитета на жените, занимаващи се с търговия, които са ангажирани в областта на рибарството или възнамеряват да се ангажират в нея. В този процес ще трябва да се включват и други групи в неравностойно положение, които разполагат с потенциал за ангажиране с рибарство с цел устойчиво социално-икономическо развитие.</w:t>
      </w:r>
    </w:p>
    <w:p>
      <w:pPr>
        <w:jc w:val="center"/>
        <w:rPr>
          <w:b/>
          <w:noProof/>
          <w:sz w:val="28"/>
          <w:szCs w:val="28"/>
        </w:rPr>
      </w:pPr>
      <w:bookmarkStart w:id="28" w:name="_Toc306374509"/>
      <w:r>
        <w:rPr>
          <w:b/>
          <w:noProof/>
          <w:sz w:val="28"/>
        </w:rPr>
        <w:t>ДЯЛ V: ВОДНИ РЕСУРСИ И ОКОЛНА СРЕДА</w:t>
      </w:r>
      <w:bookmarkEnd w:id="28"/>
    </w:p>
    <w:p>
      <w:pPr>
        <w:pStyle w:val="Titrearticle"/>
        <w:rPr>
          <w:rFonts w:eastAsia="Times New Roman"/>
          <w:b/>
          <w:bCs/>
          <w:noProof/>
          <w:color w:val="000000"/>
          <w:szCs w:val="24"/>
        </w:rPr>
      </w:pPr>
      <w:r>
        <w:rPr>
          <w:b/>
          <w:noProof/>
          <w:color w:val="000000"/>
        </w:rPr>
        <w:t>ЧЛЕН 90</w:t>
      </w:r>
    </w:p>
    <w:p>
      <w:pPr>
        <w:jc w:val="center"/>
        <w:rPr>
          <w:rFonts w:eastAsia="Times New Roman"/>
          <w:b/>
          <w:bCs/>
          <w:noProof/>
          <w:color w:val="000000"/>
          <w:szCs w:val="24"/>
        </w:rPr>
      </w:pPr>
      <w:r>
        <w:rPr>
          <w:b/>
          <w:noProof/>
          <w:color w:val="000000"/>
        </w:rPr>
        <w:t>Обхват и цели</w:t>
      </w:r>
    </w:p>
    <w:p>
      <w:pPr>
        <w:pStyle w:val="ManualNumPar1"/>
        <w:rPr>
          <w:rFonts w:eastAsia="Times New Roman"/>
          <w:noProof/>
          <w:color w:val="000000"/>
          <w:szCs w:val="24"/>
        </w:rPr>
      </w:pPr>
      <w:r>
        <w:rPr>
          <w:noProof/>
          <w:color w:val="000000"/>
        </w:rPr>
        <w:t>1.</w:t>
      </w:r>
      <w:r>
        <w:rPr>
          <w:noProof/>
        </w:rPr>
        <w:tab/>
        <w:t>Сътрудничеството по настоящия дял включва природните ресурси, по-специално водните ресурси, околната среда и биоразнообразието.</w:t>
      </w:r>
    </w:p>
    <w:p>
      <w:pPr>
        <w:pStyle w:val="ManualNumPar1"/>
        <w:rPr>
          <w:rFonts w:eastAsia="Times New Roman"/>
          <w:noProof/>
          <w:color w:val="000000"/>
          <w:szCs w:val="24"/>
        </w:rPr>
      </w:pPr>
      <w:r>
        <w:rPr>
          <w:noProof/>
          <w:color w:val="000000"/>
        </w:rPr>
        <w:t>2.</w:t>
      </w:r>
      <w:r>
        <w:rPr>
          <w:noProof/>
        </w:rPr>
        <w:tab/>
      </w:r>
      <w:r>
        <w:rPr>
          <w:noProof/>
          <w:color w:val="000000"/>
        </w:rPr>
        <w:t>Целите на сътрудничеството по настоящия дял са:</w:t>
      </w:r>
    </w:p>
    <w:p>
      <w:pPr>
        <w:pStyle w:val="Point1"/>
        <w:rPr>
          <w:rFonts w:eastAsia="Times New Roman"/>
          <w:noProof/>
          <w:szCs w:val="24"/>
        </w:rPr>
      </w:pPr>
      <w:r>
        <w:rPr>
          <w:noProof/>
          <w:color w:val="000000"/>
        </w:rPr>
        <w:t>а)</w:t>
      </w:r>
      <w:r>
        <w:rPr>
          <w:noProof/>
        </w:rPr>
        <w:tab/>
        <w:t xml:space="preserve">засилване на връзките между търговията и околната среда; </w:t>
      </w:r>
    </w:p>
    <w:p>
      <w:pPr>
        <w:pStyle w:val="Point1"/>
        <w:rPr>
          <w:rFonts w:eastAsia="Times New Roman"/>
          <w:noProof/>
          <w:szCs w:val="24"/>
        </w:rPr>
      </w:pPr>
      <w:r>
        <w:rPr>
          <w:noProof/>
        </w:rPr>
        <w:t>б)</w:t>
      </w:r>
      <w:r>
        <w:rPr>
          <w:noProof/>
        </w:rPr>
        <w:tab/>
        <w:t>оказване на подкрепа за прилагането на международни споразумения, спогодби и договори в областта на околната среда;</w:t>
      </w:r>
    </w:p>
    <w:p>
      <w:pPr>
        <w:pStyle w:val="Point1"/>
        <w:rPr>
          <w:rFonts w:eastAsia="Times New Roman"/>
          <w:noProof/>
          <w:szCs w:val="24"/>
        </w:rPr>
      </w:pPr>
      <w:r>
        <w:rPr>
          <w:noProof/>
        </w:rPr>
        <w:t>в)</w:t>
      </w:r>
      <w:r>
        <w:rPr>
          <w:noProof/>
        </w:rPr>
        <w:tab/>
        <w:t>осигуряване на баланс между управлението на околната среда и намаляването на бедността;</w:t>
      </w:r>
    </w:p>
    <w:p>
      <w:pPr>
        <w:pStyle w:val="Point1"/>
        <w:rPr>
          <w:rFonts w:eastAsia="Times New Roman"/>
          <w:noProof/>
          <w:szCs w:val="24"/>
        </w:rPr>
      </w:pPr>
      <w:r>
        <w:rPr>
          <w:noProof/>
        </w:rPr>
        <w:t>г)</w:t>
      </w:r>
      <w:r>
        <w:rPr>
          <w:noProof/>
        </w:rPr>
        <w:tab/>
        <w:t>опазване на околната среда и подобряване на опазването на биоразнообразието и генетичните ресурси;</w:t>
      </w:r>
    </w:p>
    <w:p>
      <w:pPr>
        <w:pStyle w:val="Point1"/>
        <w:rPr>
          <w:rFonts w:eastAsia="Times New Roman"/>
          <w:noProof/>
          <w:szCs w:val="24"/>
        </w:rPr>
      </w:pPr>
      <w:r>
        <w:rPr>
          <w:noProof/>
        </w:rPr>
        <w:t>д)</w:t>
      </w:r>
      <w:r>
        <w:rPr>
          <w:noProof/>
        </w:rPr>
        <w:tab/>
        <w:t>насърчаване на справедливо и устойчиво използване на природните ресурси;</w:t>
      </w:r>
    </w:p>
    <w:p>
      <w:pPr>
        <w:pStyle w:val="Point1"/>
        <w:rPr>
          <w:rFonts w:eastAsia="Times New Roman"/>
          <w:noProof/>
          <w:szCs w:val="24"/>
        </w:rPr>
      </w:pPr>
      <w:r>
        <w:rPr>
          <w:noProof/>
        </w:rPr>
        <w:t>е)</w:t>
      </w:r>
      <w:r>
        <w:rPr>
          <w:noProof/>
        </w:rPr>
        <w:tab/>
        <w:t>улесняване и насърчаване на устойчивото използване на споделените ресурси;</w:t>
      </w:r>
    </w:p>
    <w:p>
      <w:pPr>
        <w:pStyle w:val="Point1"/>
        <w:rPr>
          <w:rFonts w:ascii="Courier New" w:eastAsia="Calibri" w:hAnsi="Courier New" w:cs="Courier New"/>
          <w:noProof/>
          <w:color w:val="000000"/>
          <w:szCs w:val="24"/>
        </w:rPr>
      </w:pPr>
      <w:r>
        <w:rPr>
          <w:noProof/>
        </w:rPr>
        <w:t>ж)</w:t>
      </w:r>
      <w:r>
        <w:rPr>
          <w:noProof/>
        </w:rPr>
        <w:tab/>
        <w:t>насърчаване на участието на публичния и частния сектор в управлението на природните ресурси.</w:t>
      </w:r>
      <w:r>
        <w:rPr>
          <w:noProof/>
          <w:color w:val="000000"/>
        </w:rPr>
        <w:t xml:space="preserve"> </w:t>
      </w:r>
    </w:p>
    <w:p>
      <w:pPr>
        <w:pStyle w:val="Titrearticle"/>
        <w:rPr>
          <w:rFonts w:eastAsia="Times New Roman"/>
          <w:b/>
          <w:noProof/>
          <w:color w:val="000000"/>
          <w:kern w:val="32"/>
          <w:szCs w:val="24"/>
        </w:rPr>
      </w:pPr>
      <w:r>
        <w:rPr>
          <w:b/>
          <w:noProof/>
          <w:color w:val="000000"/>
        </w:rPr>
        <w:t>ЧЛЕН 91</w:t>
      </w:r>
    </w:p>
    <w:p>
      <w:pPr>
        <w:jc w:val="center"/>
        <w:rPr>
          <w:rFonts w:eastAsia="Times New Roman"/>
          <w:b/>
          <w:noProof/>
          <w:color w:val="000000"/>
          <w:kern w:val="32"/>
          <w:szCs w:val="24"/>
        </w:rPr>
      </w:pPr>
      <w:r>
        <w:rPr>
          <w:b/>
          <w:noProof/>
          <w:color w:val="000000"/>
          <w:kern w:val="32"/>
        </w:rPr>
        <w:t xml:space="preserve">Водни ресурси </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по отношение на водните ресурси включва следните области: напояване, водноелектрическа енергия, вододобив и водоснабдяване и защита на водосборните басейни. </w:t>
      </w:r>
    </w:p>
    <w:p>
      <w:pPr>
        <w:pStyle w:val="ManualNumPar1"/>
        <w:rPr>
          <w:rFonts w:eastAsia="Times New Roman"/>
          <w:noProof/>
          <w:color w:val="000000"/>
          <w:szCs w:val="24"/>
        </w:rPr>
      </w:pPr>
      <w:r>
        <w:rPr>
          <w:noProof/>
          <w:color w:val="000000"/>
        </w:rPr>
        <w:t>2.</w:t>
      </w:r>
      <w:r>
        <w:rPr>
          <w:noProof/>
        </w:rPr>
        <w:tab/>
      </w:r>
      <w:r>
        <w:rPr>
          <w:noProof/>
          <w:color w:val="000000"/>
        </w:rPr>
        <w:t>Целите на сътрудничеството в тази област са:</w:t>
      </w:r>
    </w:p>
    <w:p>
      <w:pPr>
        <w:pStyle w:val="Point1"/>
        <w:rPr>
          <w:rFonts w:eastAsia="Times New Roman"/>
          <w:noProof/>
          <w:szCs w:val="24"/>
        </w:rPr>
      </w:pPr>
      <w:r>
        <w:rPr>
          <w:noProof/>
          <w:color w:val="000000"/>
        </w:rPr>
        <w:t>а)</w:t>
      </w:r>
      <w:r>
        <w:rPr>
          <w:noProof/>
        </w:rPr>
        <w:tab/>
        <w:t>развиване на устойчиво използване и управление на водните ресурси в държавите партньори от ИАО, така че да се подобри поминъкът на населението на държавите партньори от ИАО;</w:t>
      </w:r>
    </w:p>
    <w:p>
      <w:pPr>
        <w:pStyle w:val="Point1"/>
        <w:rPr>
          <w:rFonts w:eastAsia="Times New Roman"/>
          <w:noProof/>
          <w:szCs w:val="24"/>
        </w:rPr>
      </w:pPr>
      <w:r>
        <w:rPr>
          <w:noProof/>
        </w:rPr>
        <w:t>б)</w:t>
      </w:r>
      <w:r>
        <w:rPr>
          <w:noProof/>
        </w:rPr>
        <w:tab/>
        <w:t>насърчаване на регионалното сътрудничество за устойчиво оползотворяване на трансграничните водни ресурси;</w:t>
      </w:r>
    </w:p>
    <w:p>
      <w:pPr>
        <w:pStyle w:val="Point1"/>
        <w:rPr>
          <w:rFonts w:ascii="Courier New" w:eastAsia="Calibri" w:hAnsi="Courier New" w:cs="Courier New"/>
          <w:noProof/>
          <w:color w:val="000000"/>
          <w:szCs w:val="24"/>
        </w:rPr>
      </w:pPr>
      <w:r>
        <w:rPr>
          <w:noProof/>
        </w:rPr>
        <w:t>в)</w:t>
      </w:r>
      <w:r>
        <w:rPr>
          <w:noProof/>
        </w:rPr>
        <w:tab/>
        <w:t>развитие на водоснабдителна инфраструктура за производствени цели.</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Times New Roman"/>
          <w:noProof/>
          <w:szCs w:val="24"/>
        </w:rPr>
      </w:pPr>
      <w:r>
        <w:rPr>
          <w:noProof/>
          <w:color w:val="000000"/>
        </w:rPr>
        <w:t>а)</w:t>
      </w:r>
      <w:r>
        <w:rPr>
          <w:noProof/>
        </w:rPr>
        <w:tab/>
        <w:t>развитие на водоснабдителна инфраструктура в региона;</w:t>
      </w:r>
    </w:p>
    <w:p>
      <w:pPr>
        <w:pStyle w:val="Point1"/>
        <w:rPr>
          <w:rFonts w:eastAsia="Times New Roman"/>
          <w:noProof/>
          <w:szCs w:val="24"/>
        </w:rPr>
      </w:pPr>
      <w:r>
        <w:rPr>
          <w:noProof/>
        </w:rPr>
        <w:t>б)</w:t>
      </w:r>
      <w:r>
        <w:rPr>
          <w:noProof/>
        </w:rPr>
        <w:tab/>
        <w:t>разработване на съответните правни и регулаторни рамки;</w:t>
      </w:r>
    </w:p>
    <w:p>
      <w:pPr>
        <w:pStyle w:val="Point1"/>
        <w:rPr>
          <w:rFonts w:eastAsia="Times New Roman"/>
          <w:noProof/>
          <w:szCs w:val="24"/>
        </w:rPr>
      </w:pPr>
      <w:r>
        <w:rPr>
          <w:noProof/>
        </w:rPr>
        <w:t>в)</w:t>
      </w:r>
      <w:r>
        <w:rPr>
          <w:noProof/>
        </w:rPr>
        <w:tab/>
        <w:t>интегрирано управление на водните ресурси;</w:t>
      </w:r>
    </w:p>
    <w:p>
      <w:pPr>
        <w:pStyle w:val="Point1"/>
        <w:rPr>
          <w:rFonts w:eastAsia="Times New Roman"/>
          <w:noProof/>
          <w:szCs w:val="24"/>
        </w:rPr>
      </w:pPr>
      <w:r>
        <w:rPr>
          <w:noProof/>
        </w:rPr>
        <w:t>г)</w:t>
      </w:r>
      <w:r>
        <w:rPr>
          <w:noProof/>
        </w:rPr>
        <w:tab/>
        <w:t xml:space="preserve">изграждане на капацитет по отношение на човешките ресурси, подобряване на стандартите за услуги, управлението на водните ресурси и институционалните структури; </w:t>
      </w:r>
    </w:p>
    <w:p>
      <w:pPr>
        <w:pStyle w:val="Point1"/>
        <w:rPr>
          <w:rFonts w:eastAsia="Times New Roman"/>
          <w:noProof/>
          <w:szCs w:val="24"/>
        </w:rPr>
      </w:pPr>
      <w:r>
        <w:rPr>
          <w:noProof/>
        </w:rPr>
        <w:t>д)</w:t>
      </w:r>
      <w:r>
        <w:rPr>
          <w:noProof/>
        </w:rPr>
        <w:tab/>
        <w:t>създаване на партньорства, връзки и съвместни предприятия между икономическите оператори;</w:t>
      </w:r>
    </w:p>
    <w:p>
      <w:pPr>
        <w:pStyle w:val="Point1"/>
        <w:rPr>
          <w:rFonts w:eastAsia="Times New Roman"/>
          <w:noProof/>
          <w:szCs w:val="24"/>
        </w:rPr>
      </w:pPr>
      <w:r>
        <w:rPr>
          <w:noProof/>
        </w:rPr>
        <w:t>е)</w:t>
      </w:r>
      <w:r>
        <w:rPr>
          <w:noProof/>
        </w:rPr>
        <w:tab/>
        <w:t>насърчаване на развитието, трансфера и приложенията на технологии, научноизследователската и развойната дейност, иновациите, информационния обмен и мрежите;</w:t>
      </w:r>
    </w:p>
    <w:p>
      <w:pPr>
        <w:pStyle w:val="Point1"/>
        <w:rPr>
          <w:rFonts w:eastAsia="Times New Roman"/>
          <w:noProof/>
          <w:szCs w:val="24"/>
        </w:rPr>
      </w:pPr>
      <w:r>
        <w:rPr>
          <w:noProof/>
        </w:rPr>
        <w:t>ж)</w:t>
      </w:r>
      <w:r>
        <w:rPr>
          <w:noProof/>
        </w:rPr>
        <w:tab/>
        <w:t>развитие на контрола върху замърсяването на водите, пречистване и опазване, третиране на отпадъчни води и канализация;</w:t>
      </w:r>
    </w:p>
    <w:p>
      <w:pPr>
        <w:pStyle w:val="Point1"/>
        <w:rPr>
          <w:rFonts w:eastAsia="Calibri"/>
          <w:noProof/>
          <w:color w:val="000000"/>
          <w:szCs w:val="24"/>
        </w:rPr>
      </w:pPr>
      <w:r>
        <w:rPr>
          <w:noProof/>
        </w:rPr>
        <w:t>з)</w:t>
      </w:r>
      <w:r>
        <w:rPr>
          <w:noProof/>
        </w:rPr>
        <w:tab/>
        <w:t>насърчаване на устойчиви схеми за напояване.</w:t>
      </w:r>
    </w:p>
    <w:p>
      <w:pPr>
        <w:pStyle w:val="Titrearticle"/>
        <w:rPr>
          <w:rFonts w:eastAsia="Times New Roman"/>
          <w:b/>
          <w:noProof/>
          <w:color w:val="000000"/>
          <w:kern w:val="32"/>
          <w:szCs w:val="24"/>
        </w:rPr>
      </w:pPr>
      <w:r>
        <w:rPr>
          <w:b/>
          <w:noProof/>
          <w:color w:val="000000"/>
        </w:rPr>
        <w:t>ЧЛЕН 92</w:t>
      </w:r>
    </w:p>
    <w:p>
      <w:pPr>
        <w:jc w:val="center"/>
        <w:rPr>
          <w:rFonts w:eastAsia="Times New Roman"/>
          <w:b/>
          <w:bCs/>
          <w:noProof/>
          <w:color w:val="000000"/>
          <w:szCs w:val="24"/>
        </w:rPr>
      </w:pPr>
      <w:r>
        <w:rPr>
          <w:b/>
          <w:noProof/>
          <w:color w:val="000000"/>
        </w:rPr>
        <w:t>Околна среда</w:t>
      </w:r>
    </w:p>
    <w:p>
      <w:pPr>
        <w:pStyle w:val="ManualNumPar1"/>
        <w:rPr>
          <w:rFonts w:eastAsia="Times New Roman"/>
          <w:noProof/>
          <w:color w:val="000000"/>
          <w:szCs w:val="24"/>
        </w:rPr>
      </w:pPr>
      <w:r>
        <w:rPr>
          <w:noProof/>
          <w:color w:val="000000"/>
        </w:rPr>
        <w:t>1.</w:t>
      </w:r>
      <w:r>
        <w:rPr>
          <w:noProof/>
        </w:rPr>
        <w:tab/>
      </w:r>
      <w:r>
        <w:rPr>
          <w:noProof/>
          <w:color w:val="000000"/>
        </w:rPr>
        <w:t xml:space="preserve">Сътрудничеството в областта на околната среда включва защитата и устойчивото управление на околната среда, както и прилагането на свързани с търговията политики в областта на околната среда. </w:t>
      </w:r>
    </w:p>
    <w:p>
      <w:pPr>
        <w:pStyle w:val="ManualNumPar1"/>
        <w:rPr>
          <w:rFonts w:eastAsia="Times New Roman"/>
          <w:noProof/>
          <w:color w:val="000000"/>
          <w:szCs w:val="24"/>
        </w:rPr>
      </w:pPr>
      <w:r>
        <w:rPr>
          <w:noProof/>
          <w:color w:val="000000"/>
        </w:rPr>
        <w:t>2.</w:t>
      </w:r>
      <w:r>
        <w:rPr>
          <w:noProof/>
        </w:rPr>
        <w:tab/>
      </w:r>
      <w:r>
        <w:rPr>
          <w:noProof/>
          <w:color w:val="000000"/>
        </w:rPr>
        <w:t>Целите на сътрудничеството в тази област са:</w:t>
      </w:r>
    </w:p>
    <w:p>
      <w:pPr>
        <w:pStyle w:val="Point1"/>
        <w:rPr>
          <w:rFonts w:eastAsia="Times New Roman"/>
          <w:noProof/>
          <w:szCs w:val="24"/>
        </w:rPr>
      </w:pPr>
      <w:r>
        <w:rPr>
          <w:noProof/>
          <w:color w:val="000000"/>
        </w:rPr>
        <w:t>а)</w:t>
      </w:r>
      <w:r>
        <w:rPr>
          <w:noProof/>
        </w:rPr>
        <w:tab/>
        <w:t>защита, възстановяване и опазване на околната среда и биоразнообразието (флора, фауна и микробни генетични ресурси, включително техните екосистеми);</w:t>
      </w:r>
    </w:p>
    <w:p>
      <w:pPr>
        <w:pStyle w:val="Point1"/>
        <w:rPr>
          <w:rFonts w:eastAsia="Times New Roman"/>
          <w:noProof/>
          <w:szCs w:val="24"/>
        </w:rPr>
      </w:pPr>
      <w:r>
        <w:rPr>
          <w:noProof/>
        </w:rPr>
        <w:t>б)</w:t>
      </w:r>
      <w:r>
        <w:rPr>
          <w:noProof/>
        </w:rPr>
        <w:tab/>
        <w:t>развитие на промишленост в държавите партньори от ИАО, която използва екологосъобразни технологии;</w:t>
      </w:r>
    </w:p>
    <w:p>
      <w:pPr>
        <w:pStyle w:val="Point1"/>
        <w:rPr>
          <w:rFonts w:ascii="Courier New" w:eastAsia="Calibri" w:hAnsi="Courier New" w:cs="Courier New"/>
          <w:noProof/>
          <w:color w:val="000000"/>
          <w:szCs w:val="24"/>
        </w:rPr>
      </w:pPr>
      <w:r>
        <w:rPr>
          <w:noProof/>
        </w:rPr>
        <w:t>в)</w:t>
      </w:r>
      <w:r>
        <w:rPr>
          <w:noProof/>
        </w:rPr>
        <w:tab/>
        <w:t>насърчаване на развитието, трансфера и приложенията на технологии, научноизследователската и развойната дейност, иновациите и информационния обмен.</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rFonts w:eastAsia="Times New Roman"/>
          <w:noProof/>
          <w:szCs w:val="24"/>
        </w:rPr>
      </w:pPr>
      <w:r>
        <w:rPr>
          <w:noProof/>
        </w:rPr>
        <w:t>а)</w:t>
      </w:r>
      <w:r>
        <w:rPr>
          <w:noProof/>
        </w:rPr>
        <w:tab/>
        <w:t>прилагане на международни споразумения, спогодби и договори в областта на околната среда;</w:t>
      </w:r>
    </w:p>
    <w:p>
      <w:pPr>
        <w:pStyle w:val="Point1"/>
        <w:rPr>
          <w:rFonts w:eastAsia="Times New Roman"/>
          <w:noProof/>
          <w:szCs w:val="24"/>
        </w:rPr>
      </w:pPr>
      <w:r>
        <w:rPr>
          <w:noProof/>
        </w:rPr>
        <w:t>б)</w:t>
      </w:r>
      <w:r>
        <w:rPr>
          <w:noProof/>
        </w:rPr>
        <w:tab/>
        <w:t>укрепване и насърчаване на справедливо и устойчиво използване, опазване и управление на околната среда и биоразнообразието, включително ресурсите на горското стопанство и дивите природни ресурси;</w:t>
      </w:r>
    </w:p>
    <w:p>
      <w:pPr>
        <w:pStyle w:val="Point1"/>
        <w:rPr>
          <w:rFonts w:eastAsia="Times New Roman"/>
          <w:noProof/>
          <w:szCs w:val="24"/>
        </w:rPr>
      </w:pPr>
      <w:r>
        <w:rPr>
          <w:noProof/>
        </w:rPr>
        <w:t>в)</w:t>
      </w:r>
      <w:r>
        <w:rPr>
          <w:noProof/>
        </w:rPr>
        <w:tab/>
        <w:t>укрепване на институционалните и правните рамки и капацитета за разработване, въвеждане, прилагане и налагане спазването на закони и подзаконови нормативни актове, стандарти и политики в областта на околната среда;</w:t>
      </w:r>
    </w:p>
    <w:p>
      <w:pPr>
        <w:pStyle w:val="Point1"/>
        <w:rPr>
          <w:rFonts w:eastAsia="Times New Roman"/>
          <w:noProof/>
          <w:szCs w:val="24"/>
        </w:rPr>
      </w:pPr>
      <w:r>
        <w:rPr>
          <w:noProof/>
        </w:rPr>
        <w:t>г)</w:t>
      </w:r>
      <w:r>
        <w:rPr>
          <w:noProof/>
        </w:rPr>
        <w:tab/>
        <w:t>създаване на партньорства, връзки и съвместни предприятия между икономическите оператори;</w:t>
      </w:r>
    </w:p>
    <w:p>
      <w:pPr>
        <w:pStyle w:val="Point1"/>
        <w:rPr>
          <w:rFonts w:eastAsia="Times New Roman"/>
          <w:noProof/>
          <w:szCs w:val="24"/>
        </w:rPr>
      </w:pPr>
      <w:r>
        <w:rPr>
          <w:noProof/>
        </w:rPr>
        <w:t>д)</w:t>
      </w:r>
      <w:r>
        <w:rPr>
          <w:noProof/>
        </w:rPr>
        <w:tab/>
        <w:t>предотвратяване и ограничаване на последиците от природни бедствия и загубата на биоразнообразие;</w:t>
      </w:r>
    </w:p>
    <w:p>
      <w:pPr>
        <w:pStyle w:val="Point1"/>
        <w:rPr>
          <w:rFonts w:eastAsia="Times New Roman"/>
          <w:noProof/>
          <w:szCs w:val="24"/>
        </w:rPr>
      </w:pPr>
      <w:r>
        <w:rPr>
          <w:noProof/>
        </w:rPr>
        <w:t>е)</w:t>
      </w:r>
      <w:r>
        <w:rPr>
          <w:noProof/>
        </w:rPr>
        <w:tab/>
        <w:t>насърчаване на развитието и адаптирането, трансфера и приложенията на технологии, научноизследователската и развойната дейност и иновациите;</w:t>
      </w:r>
    </w:p>
    <w:p>
      <w:pPr>
        <w:pStyle w:val="Point1"/>
        <w:rPr>
          <w:rFonts w:eastAsia="Times New Roman"/>
          <w:noProof/>
          <w:szCs w:val="24"/>
        </w:rPr>
      </w:pPr>
      <w:r>
        <w:rPr>
          <w:noProof/>
        </w:rPr>
        <w:t>ж)</w:t>
      </w:r>
      <w:r>
        <w:rPr>
          <w:noProof/>
        </w:rPr>
        <w:tab/>
        <w:t>защита и управление на крайбрежните и морските ресурси, както и на местните и дивите местни биологични и генетични ресурси;</w:t>
      </w:r>
    </w:p>
    <w:p>
      <w:pPr>
        <w:pStyle w:val="Point1"/>
        <w:rPr>
          <w:rFonts w:eastAsia="Times New Roman"/>
          <w:noProof/>
          <w:szCs w:val="24"/>
        </w:rPr>
      </w:pPr>
      <w:r>
        <w:rPr>
          <w:noProof/>
        </w:rPr>
        <w:t>з)</w:t>
      </w:r>
      <w:r>
        <w:rPr>
          <w:noProof/>
        </w:rPr>
        <w:tab/>
        <w:t>развитие на алтернативни дейности и средства за препитание, които не вредят на околната среда;</w:t>
      </w:r>
    </w:p>
    <w:p>
      <w:pPr>
        <w:pStyle w:val="Point1"/>
        <w:rPr>
          <w:rFonts w:eastAsia="Times New Roman"/>
          <w:noProof/>
          <w:szCs w:val="24"/>
        </w:rPr>
      </w:pPr>
      <w:r>
        <w:rPr>
          <w:noProof/>
        </w:rPr>
        <w:t>и)</w:t>
      </w:r>
      <w:r>
        <w:rPr>
          <w:noProof/>
        </w:rPr>
        <w:tab/>
        <w:t>производство и улесняване на търговията със стоки и услуги, за които екомаркировката е от значение;</w:t>
      </w:r>
    </w:p>
    <w:p>
      <w:pPr>
        <w:pStyle w:val="Point1"/>
        <w:rPr>
          <w:rFonts w:eastAsia="Times New Roman"/>
          <w:noProof/>
          <w:szCs w:val="24"/>
        </w:rPr>
      </w:pPr>
      <w:r>
        <w:rPr>
          <w:noProof/>
        </w:rPr>
        <w:t>й)</w:t>
      </w:r>
      <w:r>
        <w:rPr>
          <w:noProof/>
        </w:rPr>
        <w:tab/>
        <w:t>информационен обмен и създаване на мрежи за продукти и свързаните с тях изисквания по отношение на производствения процес, транспорта, предлагането на пазара и маркировката;</w:t>
      </w:r>
    </w:p>
    <w:p>
      <w:pPr>
        <w:pStyle w:val="Point1"/>
        <w:rPr>
          <w:rFonts w:eastAsia="Times New Roman"/>
          <w:noProof/>
          <w:szCs w:val="24"/>
        </w:rPr>
      </w:pPr>
      <w:r>
        <w:rPr>
          <w:noProof/>
        </w:rPr>
        <w:t>к)</w:t>
      </w:r>
      <w:r>
        <w:rPr>
          <w:noProof/>
        </w:rPr>
        <w:tab/>
        <w:t>развитие на инфраструктурни обекти за продукти, които не вредят на околната среда;</w:t>
      </w:r>
    </w:p>
    <w:p>
      <w:pPr>
        <w:pStyle w:val="Point1"/>
        <w:rPr>
          <w:rFonts w:eastAsia="Times New Roman"/>
          <w:noProof/>
          <w:szCs w:val="24"/>
        </w:rPr>
      </w:pPr>
      <w:r>
        <w:rPr>
          <w:noProof/>
        </w:rPr>
        <w:t>л)</w:t>
      </w:r>
      <w:r>
        <w:rPr>
          <w:noProof/>
        </w:rPr>
        <w:tab/>
        <w:t>включване на местните общности в управлението на биоразнообразието, ресурсите на горското стопанство и дивите природни ресурси;</w:t>
      </w:r>
    </w:p>
    <w:p>
      <w:pPr>
        <w:pStyle w:val="Point1"/>
        <w:rPr>
          <w:rFonts w:eastAsia="Times New Roman"/>
          <w:noProof/>
          <w:szCs w:val="24"/>
        </w:rPr>
      </w:pPr>
      <w:r>
        <w:rPr>
          <w:noProof/>
        </w:rPr>
        <w:t>м)</w:t>
      </w:r>
      <w:r>
        <w:rPr>
          <w:noProof/>
        </w:rPr>
        <w:tab/>
        <w:t>развитие на управлението на отпадъците и изхвърлянето на промишлени и токсични отпадъци;</w:t>
      </w:r>
    </w:p>
    <w:p>
      <w:pPr>
        <w:pStyle w:val="Point1"/>
        <w:rPr>
          <w:rFonts w:ascii="Courier New" w:eastAsia="Calibri" w:hAnsi="Courier New" w:cs="Courier New"/>
          <w:noProof/>
          <w:color w:val="000000"/>
          <w:szCs w:val="24"/>
        </w:rPr>
      </w:pPr>
      <w:r>
        <w:rPr>
          <w:noProof/>
        </w:rPr>
        <w:t>н)</w:t>
      </w:r>
      <w:r>
        <w:rPr>
          <w:noProof/>
        </w:rPr>
        <w:tab/>
        <w:t xml:space="preserve">насърчаване на участието на заинтересованите страни в международния диалог по въпросите на околната среда. </w:t>
      </w:r>
    </w:p>
    <w:p>
      <w:pPr>
        <w:jc w:val="center"/>
        <w:rPr>
          <w:b/>
          <w:noProof/>
          <w:sz w:val="28"/>
          <w:szCs w:val="28"/>
        </w:rPr>
      </w:pPr>
      <w:r>
        <w:rPr>
          <w:b/>
          <w:noProof/>
          <w:sz w:val="28"/>
        </w:rPr>
        <w:t>ДЯЛ VI: САНИТАРНИ И ФИТОСАНИТАРНИ МЕРКИ</w:t>
      </w:r>
    </w:p>
    <w:p>
      <w:pPr>
        <w:pStyle w:val="Titrearticle"/>
        <w:rPr>
          <w:rFonts w:eastAsia="Times New Roman"/>
          <w:b/>
          <w:bCs/>
          <w:noProof/>
          <w:color w:val="000000"/>
          <w:szCs w:val="24"/>
        </w:rPr>
      </w:pPr>
      <w:r>
        <w:rPr>
          <w:b/>
          <w:noProof/>
          <w:color w:val="000000"/>
        </w:rPr>
        <w:t>ЧЛЕН 93</w:t>
      </w:r>
    </w:p>
    <w:p>
      <w:pPr>
        <w:jc w:val="center"/>
        <w:rPr>
          <w:rFonts w:eastAsia="Times New Roman"/>
          <w:b/>
          <w:bCs/>
          <w:noProof/>
          <w:szCs w:val="24"/>
        </w:rPr>
      </w:pPr>
      <w:r>
        <w:rPr>
          <w:b/>
          <w:noProof/>
        </w:rPr>
        <w:t>Обхват и цели</w:t>
      </w:r>
    </w:p>
    <w:p>
      <w:pPr>
        <w:pStyle w:val="ManualNumPar1"/>
        <w:rPr>
          <w:rFonts w:eastAsia="Times New Roman"/>
          <w:b/>
          <w:noProof/>
          <w:szCs w:val="24"/>
        </w:rPr>
      </w:pPr>
      <w:r>
        <w:rPr>
          <w:noProof/>
        </w:rPr>
        <w:t>1.</w:t>
      </w:r>
      <w:r>
        <w:rPr>
          <w:noProof/>
        </w:rPr>
        <w:tab/>
        <w:t>Сътрудничеството по настоящия дял включва подкрепа и изграждане на капацитет в областта на хармонизацията, определянето на зони и вътрешното разделение, оценката на съответствието, информационния обмен и прозрачността на условията за търговия.</w:t>
      </w:r>
    </w:p>
    <w:p>
      <w:pPr>
        <w:pStyle w:val="ManualNumPar1"/>
        <w:rPr>
          <w:rFonts w:eastAsia="Times New Roman"/>
          <w:noProof/>
          <w:szCs w:val="24"/>
        </w:rPr>
      </w:pPr>
      <w:r>
        <w:rPr>
          <w:noProof/>
        </w:rPr>
        <w:t>2.</w:t>
      </w:r>
      <w:r>
        <w:rPr>
          <w:noProof/>
        </w:rPr>
        <w:tab/>
        <w:t>Целите на сътрудничеството по настоящия дял са да се:</w:t>
      </w:r>
    </w:p>
    <w:p>
      <w:pPr>
        <w:pStyle w:val="Point1"/>
        <w:rPr>
          <w:rFonts w:eastAsia="Times New Roman"/>
          <w:noProof/>
          <w:szCs w:val="24"/>
        </w:rPr>
      </w:pPr>
      <w:r>
        <w:rPr>
          <w:noProof/>
        </w:rPr>
        <w:t>а)</w:t>
      </w:r>
      <w:r>
        <w:rPr>
          <w:noProof/>
        </w:rPr>
        <w:tab/>
        <w:t>улеснява междурегионалната и вътрешнорегионалната търговия на страните, като същевременно се опазва здравето или живота на хората, животните и растенията в съответствие със Споразумението на СТО за СФМ;</w:t>
      </w:r>
    </w:p>
    <w:p>
      <w:pPr>
        <w:pStyle w:val="Point1"/>
        <w:rPr>
          <w:rFonts w:eastAsia="Times New Roman"/>
          <w:noProof/>
          <w:szCs w:val="24"/>
        </w:rPr>
      </w:pPr>
      <w:r>
        <w:rPr>
          <w:noProof/>
        </w:rPr>
        <w:t>б)</w:t>
      </w:r>
      <w:r>
        <w:rPr>
          <w:noProof/>
        </w:rPr>
        <w:tab/>
        <w:t>разглеждат проблемите, произтичащи от СФМ, по съгласувани приоритетни сектори и продукти, като се обърне дължимото внимание на регионалната интеграция;</w:t>
      </w:r>
    </w:p>
    <w:p>
      <w:pPr>
        <w:pStyle w:val="Point1"/>
        <w:rPr>
          <w:rFonts w:eastAsia="Times New Roman"/>
          <w:noProof/>
          <w:szCs w:val="24"/>
        </w:rPr>
      </w:pPr>
      <w:r>
        <w:rPr>
          <w:noProof/>
        </w:rPr>
        <w:t>в)</w:t>
      </w:r>
      <w:r>
        <w:rPr>
          <w:noProof/>
        </w:rPr>
        <w:tab/>
        <w:t>въведат процедури и начини за улесняване на сътрудничеството по санитарни и фитосанитарни въпроси;</w:t>
      </w:r>
    </w:p>
    <w:p>
      <w:pPr>
        <w:pStyle w:val="Point1"/>
        <w:rPr>
          <w:rFonts w:eastAsia="Times New Roman"/>
          <w:noProof/>
          <w:szCs w:val="24"/>
        </w:rPr>
      </w:pPr>
      <w:r>
        <w:rPr>
          <w:noProof/>
        </w:rPr>
        <w:t>г)</w:t>
      </w:r>
      <w:r>
        <w:rPr>
          <w:noProof/>
        </w:rPr>
        <w:tab/>
        <w:t>осигури прозрачност по отношение на СФМ, приложими за търговията между и в рамките на страните;</w:t>
      </w:r>
    </w:p>
    <w:p>
      <w:pPr>
        <w:pStyle w:val="Point1"/>
        <w:rPr>
          <w:rFonts w:eastAsia="Times New Roman"/>
          <w:noProof/>
          <w:szCs w:val="24"/>
        </w:rPr>
      </w:pPr>
      <w:r>
        <w:rPr>
          <w:noProof/>
        </w:rPr>
        <w:t>д)</w:t>
      </w:r>
      <w:r>
        <w:rPr>
          <w:noProof/>
        </w:rPr>
        <w:tab/>
        <w:t xml:space="preserve">насърчава вътрешнорегионалната хармонизация на мерките с международните стандарти в съответствие със Споразумението на СТО за СФМ и развитието на подходящи политики, законодателни, регулаторни и институционални рамки в държавите партньори от ИАО; </w:t>
      </w:r>
    </w:p>
    <w:p>
      <w:pPr>
        <w:pStyle w:val="Point1"/>
        <w:rPr>
          <w:rFonts w:eastAsia="Times New Roman"/>
          <w:noProof/>
          <w:szCs w:val="24"/>
        </w:rPr>
      </w:pPr>
      <w:r>
        <w:rPr>
          <w:noProof/>
        </w:rPr>
        <w:t>е)</w:t>
      </w:r>
      <w:r>
        <w:rPr>
          <w:noProof/>
        </w:rPr>
        <w:tab/>
        <w:t>засили ефективното участие на държавите партньори от ИАО в Комисията по Кодекс алиментариус, Световната организация за здравеопазване на животните (OIE) и Международната конвенция по растителна защита (IPPC);</w:t>
      </w:r>
    </w:p>
    <w:p>
      <w:pPr>
        <w:pStyle w:val="Point1"/>
        <w:rPr>
          <w:rFonts w:eastAsia="Times New Roman"/>
          <w:noProof/>
          <w:szCs w:val="24"/>
        </w:rPr>
      </w:pPr>
      <w:r>
        <w:rPr>
          <w:noProof/>
        </w:rPr>
        <w:t>ж)</w:t>
      </w:r>
      <w:r>
        <w:rPr>
          <w:noProof/>
        </w:rPr>
        <w:tab/>
        <w:t>насърчават консултациите и обменът на информация между институциите и лабораториите на ИАО и на ЕС;</w:t>
      </w:r>
    </w:p>
    <w:p>
      <w:pPr>
        <w:pStyle w:val="Point1"/>
        <w:rPr>
          <w:rFonts w:eastAsia="Times New Roman"/>
          <w:noProof/>
          <w:szCs w:val="24"/>
        </w:rPr>
      </w:pPr>
      <w:r>
        <w:rPr>
          <w:noProof/>
        </w:rPr>
        <w:t>з)</w:t>
      </w:r>
      <w:r>
        <w:rPr>
          <w:noProof/>
        </w:rPr>
        <w:tab/>
        <w:t>улеснява изграждането на капацитет за създаване и прилагане на регионални и национални стандарти в съответствие с международните изисквания, за да се улесни регионалната интеграция;</w:t>
      </w:r>
    </w:p>
    <w:p>
      <w:pPr>
        <w:pStyle w:val="Point1"/>
        <w:rPr>
          <w:rFonts w:eastAsia="Times New Roman"/>
          <w:noProof/>
          <w:szCs w:val="24"/>
        </w:rPr>
      </w:pPr>
      <w:r>
        <w:rPr>
          <w:noProof/>
        </w:rPr>
        <w:t>и)</w:t>
      </w:r>
      <w:r>
        <w:rPr>
          <w:noProof/>
        </w:rPr>
        <w:tab/>
        <w:t xml:space="preserve">изгражда и укрепва капацитетът на държавите партньори от ИАО за изпълнение и наблюдение на СФМ в съответствие с настоящия член; както и </w:t>
      </w:r>
    </w:p>
    <w:p>
      <w:pPr>
        <w:pStyle w:val="Point1"/>
        <w:rPr>
          <w:rFonts w:ascii="Courier New" w:eastAsia="Calibri" w:hAnsi="Courier New" w:cs="Courier New"/>
          <w:noProof/>
          <w:color w:val="000000"/>
          <w:szCs w:val="24"/>
        </w:rPr>
      </w:pPr>
      <w:r>
        <w:rPr>
          <w:noProof/>
        </w:rPr>
        <w:t>й)</w:t>
      </w:r>
      <w:r>
        <w:rPr>
          <w:noProof/>
        </w:rPr>
        <w:tab/>
        <w:t>насърчава трансферът на технологии.</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b/>
          <w:noProof/>
        </w:rPr>
      </w:pPr>
      <w:r>
        <w:rPr>
          <w:noProof/>
        </w:rPr>
        <w:t>а)</w:t>
      </w:r>
      <w:r>
        <w:rPr>
          <w:noProof/>
        </w:rPr>
        <w:tab/>
        <w:t>подкрепа на държавите партньори от ИАО за спазване на СФМ, включително за разработването на подходящи регулаторни рамки и политики по въпроси, свързани с работата на съответните международни органи по стандартизация, обучения, информационни мероприятия, изграждане на капацитет и техническа помощ;</w:t>
      </w:r>
    </w:p>
    <w:p>
      <w:pPr>
        <w:pStyle w:val="Point1"/>
        <w:rPr>
          <w:noProof/>
          <w:snapToGrid w:val="0"/>
        </w:rPr>
      </w:pPr>
      <w:r>
        <w:rPr>
          <w:noProof/>
        </w:rPr>
        <w:t>б)</w:t>
      </w:r>
      <w:r>
        <w:rPr>
          <w:noProof/>
        </w:rPr>
        <w:tab/>
        <w:t xml:space="preserve">подкрепа за хармонизирането на СФМ в държавите партньори от ИАО и за създаването на национални координационни комитети по СФМ, както и насърчаване на капацитета на публичния и частния сектор за санитарен контрол. Приоритетните области включват разработване и прилагане на програма за осигуряване на качеството, обучения, информационни мероприятия, както и изграждането, подобряването, модернизацията и акредитирането на лаборатории; </w:t>
      </w:r>
    </w:p>
    <w:p>
      <w:pPr>
        <w:pStyle w:val="Point1"/>
        <w:rPr>
          <w:noProof/>
          <w:snapToGrid w:val="0"/>
        </w:rPr>
      </w:pPr>
      <w:r>
        <w:rPr>
          <w:noProof/>
        </w:rPr>
        <w:t>в)</w:t>
      </w:r>
      <w:r>
        <w:rPr>
          <w:noProof/>
        </w:rPr>
        <w:tab/>
        <w:t>подкрепа по въпроси, свързани с работата на съответните международни органи по стандартизация. Това сътрудничество може да включва обучения, информационни мероприятия, изграждане на капацитет и техническа помощ;</w:t>
      </w:r>
    </w:p>
    <w:p>
      <w:pPr>
        <w:pStyle w:val="Point1"/>
        <w:rPr>
          <w:noProof/>
          <w:snapToGrid w:val="0"/>
        </w:rPr>
      </w:pPr>
      <w:r>
        <w:rPr>
          <w:noProof/>
        </w:rPr>
        <w:t>г)</w:t>
      </w:r>
      <w:r>
        <w:rPr>
          <w:noProof/>
        </w:rPr>
        <w:tab/>
        <w:t>подкрепа в областта на рибарството с цел разработване на хармонизирани регионални правила, законодателство и стандарти за рибни продукти, за да се насърчава търговията между страните и в региона на ИАО;</w:t>
      </w:r>
    </w:p>
    <w:p>
      <w:pPr>
        <w:pStyle w:val="Point1"/>
        <w:rPr>
          <w:noProof/>
          <w:snapToGrid w:val="0"/>
        </w:rPr>
      </w:pPr>
      <w:r>
        <w:rPr>
          <w:noProof/>
          <w:snapToGrid w:val="0"/>
          <w:color w:val="000000"/>
        </w:rPr>
        <w:t>д)</w:t>
      </w:r>
      <w:r>
        <w:rPr>
          <w:noProof/>
        </w:rPr>
        <w:tab/>
      </w:r>
      <w:r>
        <w:rPr>
          <w:noProof/>
          <w:snapToGrid w:val="0"/>
          <w:color w:val="000000"/>
        </w:rPr>
        <w:t>подкрепа с цел насърчаване на сътрудничеството между институциите, отговарящи за СФМ в държавите партньори от ИАО, и съответните институции, отговарящи за СФМ в ЕС</w:t>
      </w:r>
      <w:r>
        <w:rPr>
          <w:noProof/>
        </w:rPr>
        <w:t>;</w:t>
      </w:r>
    </w:p>
    <w:p>
      <w:pPr>
        <w:pStyle w:val="Point1"/>
        <w:rPr>
          <w:noProof/>
          <w:snapToGrid w:val="0"/>
        </w:rPr>
      </w:pPr>
      <w:r>
        <w:rPr>
          <w:noProof/>
        </w:rPr>
        <w:t>е)</w:t>
      </w:r>
      <w:r>
        <w:rPr>
          <w:noProof/>
        </w:rPr>
        <w:tab/>
        <w:t>подкрепа за прилагането на Споразумението за СФМ, и по-специално за укрепването на компетентните органи, звената за уведомяване и информационните центрове на държавите партньори от ИАО;</w:t>
      </w:r>
    </w:p>
    <w:p>
      <w:pPr>
        <w:pStyle w:val="Point1"/>
        <w:rPr>
          <w:noProof/>
          <w:snapToGrid w:val="0"/>
        </w:rPr>
      </w:pPr>
      <w:r>
        <w:rPr>
          <w:noProof/>
        </w:rPr>
        <w:t>ж)</w:t>
      </w:r>
      <w:r>
        <w:rPr>
          <w:noProof/>
        </w:rPr>
        <w:tab/>
        <w:t>подкрепа за споделянето и обмена на информация.</w:t>
      </w:r>
    </w:p>
    <w:p>
      <w:pPr>
        <w:pStyle w:val="Titrearticle"/>
        <w:rPr>
          <w:rFonts w:eastAsia="Times New Roman"/>
          <w:b/>
          <w:bCs/>
          <w:noProof/>
          <w:szCs w:val="24"/>
        </w:rPr>
      </w:pPr>
      <w:r>
        <w:rPr>
          <w:b/>
          <w:noProof/>
        </w:rPr>
        <w:t>ЧЛЕН 94</w:t>
      </w:r>
    </w:p>
    <w:p>
      <w:pPr>
        <w:jc w:val="center"/>
        <w:rPr>
          <w:rFonts w:eastAsia="Times New Roman"/>
          <w:b/>
          <w:noProof/>
          <w:szCs w:val="24"/>
        </w:rPr>
      </w:pPr>
      <w:r>
        <w:rPr>
          <w:b/>
          <w:noProof/>
        </w:rPr>
        <w:t>Хармонизация</w:t>
      </w:r>
    </w:p>
    <w:p>
      <w:pPr>
        <w:pStyle w:val="ManualNumPar1"/>
        <w:rPr>
          <w:rFonts w:eastAsia="Times New Roman"/>
          <w:noProof/>
          <w:color w:val="000000"/>
          <w:szCs w:val="24"/>
        </w:rPr>
      </w:pPr>
      <w:r>
        <w:rPr>
          <w:noProof/>
        </w:rPr>
        <w:t>1.</w:t>
      </w:r>
      <w:r>
        <w:rPr>
          <w:noProof/>
        </w:rPr>
        <w:tab/>
        <w:t>Страните се стремят да постигнат хармонизация на съответните си правила и процедури при приемането на техните СФМ, включително процедурите за инспекция, изпитване и сертифициране в съответствие със Споразумението на СТО за СФМ.</w:t>
      </w:r>
    </w:p>
    <w:p>
      <w:pPr>
        <w:pStyle w:val="ManualNumPar1"/>
        <w:rPr>
          <w:rFonts w:eastAsia="Times New Roman"/>
          <w:noProof/>
          <w:color w:val="000000"/>
          <w:szCs w:val="24"/>
        </w:rPr>
      </w:pPr>
      <w:r>
        <w:rPr>
          <w:noProof/>
          <w:color w:val="000000"/>
        </w:rPr>
        <w:t>2.</w:t>
      </w:r>
      <w:r>
        <w:rPr>
          <w:noProof/>
        </w:rPr>
        <w:tab/>
      </w:r>
      <w:r>
        <w:rPr>
          <w:noProof/>
          <w:color w:val="000000"/>
        </w:rPr>
        <w:t>Държавите партньори от ИАО с подкрепата на ЕС разработват програма и график за хармонизирането на своите санитарни и фитосанитарни стандарти.</w:t>
      </w:r>
    </w:p>
    <w:p>
      <w:pPr>
        <w:pStyle w:val="ManualNumPar1"/>
        <w:rPr>
          <w:rFonts w:eastAsia="Times New Roman"/>
          <w:bCs/>
          <w:noProof/>
          <w:szCs w:val="24"/>
        </w:rPr>
      </w:pPr>
      <w:r>
        <w:rPr>
          <w:noProof/>
          <w:color w:val="000000"/>
        </w:rPr>
        <w:t>3.</w:t>
      </w:r>
      <w:r>
        <w:rPr>
          <w:noProof/>
        </w:rPr>
        <w:tab/>
        <w:t xml:space="preserve">Комитетът на висшите служители разработва по целесъобразност методи за подпомагане и наблюдение на този процес на хармонизация в рамките на регионите. </w:t>
      </w:r>
    </w:p>
    <w:p>
      <w:pPr>
        <w:pStyle w:val="Titrearticle"/>
        <w:rPr>
          <w:rFonts w:eastAsia="Times New Roman"/>
          <w:b/>
          <w:noProof/>
          <w:szCs w:val="24"/>
        </w:rPr>
      </w:pPr>
      <w:r>
        <w:rPr>
          <w:b/>
          <w:noProof/>
        </w:rPr>
        <w:t>ЧЛЕН 95</w:t>
      </w:r>
    </w:p>
    <w:p>
      <w:pPr>
        <w:jc w:val="center"/>
        <w:rPr>
          <w:rFonts w:eastAsia="Times New Roman"/>
          <w:b/>
          <w:i/>
          <w:noProof/>
          <w:color w:val="000000"/>
          <w:szCs w:val="24"/>
        </w:rPr>
      </w:pPr>
      <w:r>
        <w:rPr>
          <w:b/>
          <w:noProof/>
        </w:rPr>
        <w:t>Определяне на зони и вътрешно разделение</w:t>
      </w:r>
    </w:p>
    <w:p>
      <w:pPr>
        <w:rPr>
          <w:noProof/>
        </w:rPr>
      </w:pPr>
      <w:r>
        <w:rPr>
          <w:noProof/>
        </w:rPr>
        <w:t>Страните признават за всеки отделен случай определени райони, които са свободни от вредители или болести, или райони с ниска степен на разпространение на вредители или болести като потенциални източници на растителни и животински продукти, като вземат предвид разпоредбите на член 6 от Споразумението на СТО за СФМ.</w:t>
      </w:r>
    </w:p>
    <w:p>
      <w:pPr>
        <w:pStyle w:val="Titrearticle"/>
        <w:rPr>
          <w:rFonts w:eastAsia="Times New Roman"/>
          <w:b/>
          <w:noProof/>
          <w:color w:val="000000"/>
          <w:szCs w:val="24"/>
        </w:rPr>
      </w:pPr>
      <w:r>
        <w:rPr>
          <w:b/>
          <w:noProof/>
        </w:rPr>
        <w:t>ЧЛЕН 96</w:t>
      </w:r>
    </w:p>
    <w:p>
      <w:pPr>
        <w:jc w:val="center"/>
        <w:rPr>
          <w:rFonts w:eastAsia="Times New Roman"/>
          <w:b/>
          <w:noProof/>
          <w:color w:val="000000"/>
          <w:szCs w:val="24"/>
        </w:rPr>
      </w:pPr>
      <w:r>
        <w:rPr>
          <w:b/>
          <w:noProof/>
          <w:color w:val="000000"/>
        </w:rPr>
        <w:t>Специално и диференцирано третиране и техническа помощ</w:t>
      </w:r>
    </w:p>
    <w:p>
      <w:pPr>
        <w:pStyle w:val="ManualNumPar1"/>
        <w:rPr>
          <w:rFonts w:eastAsia="Times New Roman"/>
          <w:noProof/>
          <w:color w:val="000000"/>
          <w:szCs w:val="24"/>
        </w:rPr>
      </w:pPr>
      <w:r>
        <w:rPr>
          <w:noProof/>
          <w:color w:val="000000"/>
        </w:rPr>
        <w:t>1.</w:t>
      </w:r>
      <w:r>
        <w:rPr>
          <w:noProof/>
        </w:rPr>
        <w:tab/>
      </w:r>
      <w:r>
        <w:rPr>
          <w:noProof/>
          <w:color w:val="000000"/>
        </w:rPr>
        <w:t xml:space="preserve">ЕС се съгласява да предоставя техническа помощ и специално и диференцирано третиране в съответствие с членове 9 и 10 от Споразумението на СТО за СФМ. </w:t>
      </w:r>
    </w:p>
    <w:p>
      <w:pPr>
        <w:pStyle w:val="ManualNumPar1"/>
        <w:rPr>
          <w:rFonts w:eastAsia="Times New Roman"/>
          <w:noProof/>
          <w:color w:val="000000"/>
          <w:szCs w:val="24"/>
        </w:rPr>
      </w:pPr>
      <w:r>
        <w:rPr>
          <w:noProof/>
          <w:color w:val="000000"/>
        </w:rPr>
        <w:t>2.</w:t>
      </w:r>
      <w:r>
        <w:rPr>
          <w:noProof/>
        </w:rPr>
        <w:tab/>
      </w:r>
      <w:r>
        <w:rPr>
          <w:noProof/>
          <w:color w:val="000000"/>
        </w:rPr>
        <w:t xml:space="preserve">Страните си сътрудничат за разглеждане на специалните потребности на държавите партньори от ИАО, произтичащи от прилагането на разпоредбите на настоящия дял. </w:t>
      </w:r>
    </w:p>
    <w:p>
      <w:pPr>
        <w:pStyle w:val="ManualNumPar1"/>
        <w:rPr>
          <w:rFonts w:eastAsia="Times New Roman"/>
          <w:noProof/>
          <w:color w:val="000000"/>
          <w:szCs w:val="24"/>
        </w:rPr>
      </w:pPr>
      <w:r>
        <w:rPr>
          <w:noProof/>
          <w:color w:val="000000"/>
        </w:rPr>
        <w:t>3.</w:t>
      </w:r>
      <w:r>
        <w:rPr>
          <w:noProof/>
        </w:rPr>
        <w:tab/>
      </w:r>
      <w:r>
        <w:rPr>
          <w:noProof/>
          <w:color w:val="000000"/>
        </w:rPr>
        <w:t>Страните се споразумяват, че посочените по-долу области са приоритети за предоставянето на техническа помощ:</w:t>
      </w:r>
    </w:p>
    <w:p>
      <w:pPr>
        <w:pStyle w:val="Point1"/>
        <w:rPr>
          <w:noProof/>
          <w:snapToGrid w:val="0"/>
        </w:rPr>
      </w:pPr>
      <w:r>
        <w:rPr>
          <w:noProof/>
          <w:snapToGrid w:val="0"/>
          <w:color w:val="000000"/>
        </w:rPr>
        <w:t>а)</w:t>
      </w:r>
      <w:r>
        <w:rPr>
          <w:noProof/>
        </w:rPr>
        <w:tab/>
      </w:r>
      <w:r>
        <w:rPr>
          <w:noProof/>
          <w:snapToGrid w:val="0"/>
          <w:color w:val="000000"/>
        </w:rPr>
        <w:t xml:space="preserve">изграждането </w:t>
      </w:r>
      <w:r>
        <w:rPr>
          <w:noProof/>
        </w:rPr>
        <w:t>на технически капацитет в публичния и частния сектор на държавите партньори от ИАО, за да се направи възможно осъществяването на санитарен и фитосанитарен контрол, включително обучение и информационни мероприятия във връзка с инспектиране, сертифициране, надзор и контрол;</w:t>
      </w:r>
    </w:p>
    <w:p>
      <w:pPr>
        <w:pStyle w:val="Point1"/>
        <w:rPr>
          <w:noProof/>
          <w:snapToGrid w:val="0"/>
        </w:rPr>
      </w:pPr>
      <w:r>
        <w:rPr>
          <w:noProof/>
        </w:rPr>
        <w:t>б)</w:t>
      </w:r>
      <w:r>
        <w:rPr>
          <w:noProof/>
        </w:rPr>
        <w:tab/>
        <w:t>укрепването на техническия капацитет за прилагане и надзор на СФМ, включително насърчаване на по-широка употреба на международните стандарти;</w:t>
      </w:r>
    </w:p>
    <w:p>
      <w:pPr>
        <w:pStyle w:val="Point1"/>
        <w:rPr>
          <w:noProof/>
          <w:snapToGrid w:val="0"/>
        </w:rPr>
      </w:pPr>
      <w:r>
        <w:rPr>
          <w:noProof/>
        </w:rPr>
        <w:t>в)</w:t>
      </w:r>
      <w:r>
        <w:rPr>
          <w:noProof/>
        </w:rPr>
        <w:tab/>
        <w:t xml:space="preserve">развиването на капацитета за анализ на риска, хармонизация, съответствие, изпитване, сертифициране, наблюдение на остатъчните вещества, проследимост и акредитиране, включително и чрез модернизиране или подготвяне на лаборатории и друго оборудване, с цел да се помогне на държавите партньори от ИАО да отговорят на изискванията на международните стандарти; </w:t>
      </w:r>
    </w:p>
    <w:p>
      <w:pPr>
        <w:pStyle w:val="Point1"/>
        <w:rPr>
          <w:noProof/>
          <w:snapToGrid w:val="0"/>
        </w:rPr>
      </w:pPr>
      <w:r>
        <w:rPr>
          <w:noProof/>
        </w:rPr>
        <w:t>г)</w:t>
      </w:r>
      <w:r>
        <w:rPr>
          <w:noProof/>
        </w:rPr>
        <w:tab/>
        <w:t>подкрепата за участието на държавите партньори от ИАО в работата на съответните международни органи по стандартизация;</w:t>
      </w:r>
    </w:p>
    <w:p>
      <w:pPr>
        <w:pStyle w:val="Point1"/>
        <w:rPr>
          <w:rFonts w:eastAsia="Times New Roman"/>
          <w:bCs/>
          <w:noProof/>
          <w:color w:val="000000"/>
          <w:szCs w:val="24"/>
        </w:rPr>
      </w:pPr>
      <w:r>
        <w:rPr>
          <w:noProof/>
        </w:rPr>
        <w:t>д)</w:t>
      </w:r>
      <w:r>
        <w:rPr>
          <w:noProof/>
        </w:rPr>
        <w:tab/>
      </w:r>
      <w:r>
        <w:rPr>
          <w:noProof/>
          <w:snapToGrid w:val="0"/>
          <w:color w:val="000000"/>
        </w:rPr>
        <w:t xml:space="preserve">развитието </w:t>
      </w:r>
      <w:r>
        <w:rPr>
          <w:noProof/>
        </w:rPr>
        <w:t>на капацитета на държавите партньори от ИАО за ефективно участие в процеса по уведомяване.</w:t>
      </w:r>
    </w:p>
    <w:p>
      <w:pPr>
        <w:jc w:val="center"/>
        <w:rPr>
          <w:b/>
          <w:noProof/>
          <w:sz w:val="28"/>
          <w:szCs w:val="28"/>
        </w:rPr>
      </w:pPr>
      <w:r>
        <w:rPr>
          <w:b/>
          <w:noProof/>
          <w:sz w:val="28"/>
        </w:rPr>
        <w:t>ДЯЛ VII: ТЕХНИЧЕСКИ ПРЕЧКИ ПРЕД ТЪРГОВИЯТА</w:t>
      </w:r>
    </w:p>
    <w:p>
      <w:pPr>
        <w:pStyle w:val="Titrearticle"/>
        <w:rPr>
          <w:rFonts w:eastAsia="Times New Roman"/>
          <w:b/>
          <w:bCs/>
          <w:noProof/>
          <w:color w:val="000000"/>
          <w:kern w:val="32"/>
          <w:szCs w:val="24"/>
        </w:rPr>
      </w:pPr>
      <w:r>
        <w:rPr>
          <w:b/>
          <w:noProof/>
        </w:rPr>
        <w:t>ЧЛЕН 97</w:t>
      </w:r>
    </w:p>
    <w:p>
      <w:pPr>
        <w:jc w:val="center"/>
        <w:rPr>
          <w:rFonts w:eastAsia="Times New Roman"/>
          <w:b/>
          <w:bCs/>
          <w:iCs/>
          <w:noProof/>
          <w:color w:val="000000"/>
          <w:kern w:val="32"/>
          <w:szCs w:val="24"/>
        </w:rPr>
      </w:pPr>
      <w:r>
        <w:rPr>
          <w:b/>
          <w:noProof/>
          <w:color w:val="000000"/>
          <w:kern w:val="32"/>
        </w:rPr>
        <w:t>Обхват и цели</w:t>
      </w:r>
    </w:p>
    <w:p>
      <w:pPr>
        <w:pStyle w:val="ManualNumPar1"/>
        <w:rPr>
          <w:rFonts w:eastAsia="Times New Roman"/>
          <w:noProof/>
          <w:color w:val="000000"/>
          <w:szCs w:val="24"/>
        </w:rPr>
      </w:pPr>
      <w:r>
        <w:rPr>
          <w:noProof/>
          <w:color w:val="000000"/>
          <w:kern w:val="32"/>
        </w:rPr>
        <w:t>1.</w:t>
      </w:r>
      <w:r>
        <w:rPr>
          <w:noProof/>
        </w:rPr>
        <w:tab/>
      </w:r>
      <w:r>
        <w:rPr>
          <w:noProof/>
          <w:color w:val="000000"/>
        </w:rPr>
        <w:t>Сътрудничеството по настоящия дял включва изготвянето, приемането и прилагането на техническите регламенти, стандартите и процедурите за оценка на съответствието, определени в Споразумението на СТО за техническите пречки пред търговията (Споразумението на СТО за ТПТ).</w:t>
      </w:r>
    </w:p>
    <w:p>
      <w:pPr>
        <w:pStyle w:val="ManualNumPar1"/>
        <w:rPr>
          <w:rFonts w:eastAsia="Times New Roman"/>
          <w:bCs/>
          <w:noProof/>
          <w:color w:val="000000"/>
          <w:kern w:val="32"/>
          <w:szCs w:val="24"/>
        </w:rPr>
      </w:pPr>
      <w:r>
        <w:rPr>
          <w:noProof/>
          <w:color w:val="000000"/>
        </w:rPr>
        <w:t>2.</w:t>
      </w:r>
      <w:r>
        <w:rPr>
          <w:noProof/>
        </w:rPr>
        <w:tab/>
      </w:r>
      <w:r>
        <w:rPr>
          <w:noProof/>
          <w:color w:val="000000"/>
        </w:rPr>
        <w:t>Целите на сътрудничеството по настоящия дял са:</w:t>
      </w:r>
    </w:p>
    <w:p>
      <w:pPr>
        <w:pStyle w:val="Point1"/>
        <w:rPr>
          <w:noProof/>
          <w:snapToGrid w:val="0"/>
        </w:rPr>
      </w:pPr>
      <w:r>
        <w:rPr>
          <w:noProof/>
        </w:rPr>
        <w:t>а)</w:t>
      </w:r>
      <w:r>
        <w:rPr>
          <w:noProof/>
        </w:rPr>
        <w:tab/>
        <w:t>постепенно премахване на техническите пречки пред търговията с цел да се улесни търговията между страните и в рамките на държавите партньори от ИАО;</w:t>
      </w:r>
    </w:p>
    <w:p>
      <w:pPr>
        <w:pStyle w:val="Point1"/>
        <w:rPr>
          <w:noProof/>
          <w:snapToGrid w:val="0"/>
        </w:rPr>
      </w:pPr>
      <w:r>
        <w:rPr>
          <w:noProof/>
        </w:rPr>
        <w:t>б)</w:t>
      </w:r>
      <w:r>
        <w:rPr>
          <w:noProof/>
        </w:rPr>
        <w:tab/>
        <w:t>засилване на регионалната интеграция между държавите партньори от ИАО чрез хармонизацията на стандартите, техническите регламенти и процедурите за оценка на съответствието, прилагани в държавите партньори от ИАО, в съответствие със Споразумението на СТО за ТПТ;</w:t>
      </w:r>
    </w:p>
    <w:p>
      <w:pPr>
        <w:pStyle w:val="Point1"/>
        <w:rPr>
          <w:noProof/>
          <w:snapToGrid w:val="0"/>
        </w:rPr>
      </w:pPr>
      <w:r>
        <w:rPr>
          <w:noProof/>
        </w:rPr>
        <w:t>в)</w:t>
      </w:r>
      <w:r>
        <w:rPr>
          <w:noProof/>
        </w:rPr>
        <w:tab/>
        <w:t>насърчаване на по-засиленото използване на международните технически регламенти, стандарти и процедури за оценка на съответствието, включително специфични за отделни сектори мерки;</w:t>
      </w:r>
    </w:p>
    <w:p>
      <w:pPr>
        <w:pStyle w:val="Point1"/>
        <w:rPr>
          <w:noProof/>
          <w:snapToGrid w:val="0"/>
        </w:rPr>
      </w:pPr>
      <w:r>
        <w:rPr>
          <w:noProof/>
        </w:rPr>
        <w:t>г)</w:t>
      </w:r>
      <w:r>
        <w:rPr>
          <w:noProof/>
        </w:rPr>
        <w:tab/>
        <w:t xml:space="preserve">развиване на функционални връзки, съвместни предприятия и съвместни научноизследователски и развойни дейности между институциите за стандартизация, оценка на съответствието и регулиране на държавите партньори от ИАО и на ЕС; </w:t>
      </w:r>
    </w:p>
    <w:p>
      <w:pPr>
        <w:pStyle w:val="Point1"/>
        <w:rPr>
          <w:noProof/>
          <w:snapToGrid w:val="0"/>
        </w:rPr>
      </w:pPr>
      <w:r>
        <w:rPr>
          <w:noProof/>
        </w:rPr>
        <w:t>д)</w:t>
      </w:r>
      <w:r>
        <w:rPr>
          <w:noProof/>
        </w:rPr>
        <w:tab/>
        <w:t>подобряване на достъпа до пазара за продукти с произход от държавите партньори от ИАО посредством подобряване на безопасността, качеството и конкурентоспособността на техните продукти;</w:t>
      </w:r>
    </w:p>
    <w:p>
      <w:pPr>
        <w:pStyle w:val="Point1"/>
        <w:rPr>
          <w:noProof/>
          <w:snapToGrid w:val="0"/>
        </w:rPr>
      </w:pPr>
      <w:r>
        <w:rPr>
          <w:noProof/>
        </w:rPr>
        <w:t>е)</w:t>
      </w:r>
      <w:r>
        <w:rPr>
          <w:noProof/>
        </w:rPr>
        <w:tab/>
        <w:t xml:space="preserve">насърчаване на по-широкото използване на най-добрите международни практики за технически регламенти, международни стандарти и процедури за оценка на съответствието; </w:t>
      </w:r>
    </w:p>
    <w:p>
      <w:pPr>
        <w:pStyle w:val="Point1"/>
        <w:rPr>
          <w:noProof/>
          <w:snapToGrid w:val="0"/>
        </w:rPr>
      </w:pPr>
      <w:r>
        <w:rPr>
          <w:noProof/>
        </w:rPr>
        <w:t>ж)</w:t>
      </w:r>
      <w:r>
        <w:rPr>
          <w:noProof/>
        </w:rPr>
        <w:tab/>
        <w:t xml:space="preserve">гарантиране, че изготвянето, приемането и прилагането на стандарти и технически регламенти е прозрачно и не създава ненужни пречки пред търговията между страните, в съответствие с разпоредбите на Споразумението на СТО за ТПТ; </w:t>
      </w:r>
    </w:p>
    <w:p>
      <w:pPr>
        <w:pStyle w:val="Point1"/>
        <w:rPr>
          <w:noProof/>
          <w:snapToGrid w:val="0"/>
        </w:rPr>
      </w:pPr>
      <w:r>
        <w:rPr>
          <w:noProof/>
        </w:rPr>
        <w:t>з)</w:t>
      </w:r>
      <w:r>
        <w:rPr>
          <w:noProof/>
        </w:rPr>
        <w:tab/>
        <w:t xml:space="preserve">подкрепа за развитието на подходяща регулаторна рамка, политики и реформи в държавите партньори от ИАО, които да отговарят на международно приетите практики; </w:t>
      </w:r>
    </w:p>
    <w:p>
      <w:pPr>
        <w:pStyle w:val="Point1"/>
        <w:rPr>
          <w:rFonts w:eastAsia="Times New Roman"/>
          <w:noProof/>
          <w:snapToGrid w:val="0"/>
          <w:szCs w:val="24"/>
        </w:rPr>
      </w:pPr>
      <w:r>
        <w:rPr>
          <w:noProof/>
        </w:rPr>
        <w:t>и)</w:t>
      </w:r>
      <w:r>
        <w:rPr>
          <w:noProof/>
        </w:rPr>
        <w:tab/>
        <w:t>подпомагане на държавите партньори от ИАО при прилагането на Споразумението на СТО за ТПТ и при съобразяването със съответните изисквания относно техническите пречки пред търговията на техните търговски партньори в контекста на Споразумението на СТО за ТПТ.</w:t>
      </w:r>
    </w:p>
    <w:p>
      <w:pPr>
        <w:pStyle w:val="ManualNumPar1"/>
        <w:rPr>
          <w:rFonts w:eastAsia="Times New Roman"/>
          <w:noProof/>
          <w:color w:val="000000"/>
          <w:szCs w:val="24"/>
        </w:rPr>
      </w:pPr>
      <w:r>
        <w:rPr>
          <w:noProof/>
          <w:color w:val="000000"/>
        </w:rPr>
        <w:t>3.</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noProof/>
          <w:snapToGrid w:val="0"/>
        </w:rPr>
      </w:pPr>
      <w:r>
        <w:rPr>
          <w:noProof/>
        </w:rPr>
        <w:t>а)</w:t>
      </w:r>
      <w:r>
        <w:rPr>
          <w:noProof/>
        </w:rPr>
        <w:tab/>
        <w:t xml:space="preserve">подкрепа за насърчаване на по-широкото използване на международни стандарти, технически регламенти и оценки на съответствието, включително специфични за отделни сектори мерки, на териториите на страните; </w:t>
      </w:r>
    </w:p>
    <w:p>
      <w:pPr>
        <w:pStyle w:val="Point1"/>
        <w:rPr>
          <w:noProof/>
          <w:snapToGrid w:val="0"/>
        </w:rPr>
      </w:pPr>
      <w:r>
        <w:rPr>
          <w:noProof/>
        </w:rPr>
        <w:t>б)</w:t>
      </w:r>
      <w:r>
        <w:rPr>
          <w:noProof/>
        </w:rPr>
        <w:tab/>
        <w:t>подкрепа за държавите партньори от ИАО за изграждане на капацитет в областите на стандартизацията, метрологията, акредитацията и процедурите за оценка на съответствието, включително подкрепа при модернизирането и подготвянето на лабораториите и съответните институции, както и приа поръчките за съответното оборудване;</w:t>
      </w:r>
    </w:p>
    <w:p>
      <w:pPr>
        <w:pStyle w:val="Point1"/>
        <w:rPr>
          <w:noProof/>
          <w:snapToGrid w:val="0"/>
        </w:rPr>
      </w:pPr>
      <w:r>
        <w:rPr>
          <w:noProof/>
        </w:rPr>
        <w:t>в)</w:t>
      </w:r>
      <w:r>
        <w:rPr>
          <w:noProof/>
        </w:rPr>
        <w:tab/>
        <w:t xml:space="preserve">подкрепа за управление и осигуряване на качеството в избрани сектори от значение за държавите партньори от ИАО; </w:t>
      </w:r>
    </w:p>
    <w:p>
      <w:pPr>
        <w:pStyle w:val="Point1"/>
        <w:rPr>
          <w:noProof/>
          <w:snapToGrid w:val="0"/>
        </w:rPr>
      </w:pPr>
      <w:r>
        <w:rPr>
          <w:noProof/>
        </w:rPr>
        <w:t>г)</w:t>
      </w:r>
      <w:r>
        <w:rPr>
          <w:noProof/>
        </w:rPr>
        <w:tab/>
        <w:t xml:space="preserve">подкрепа на пълното участие на органите по стандартизация и на други технически регулаторни органи на държавите партньори от ИАО в международните органи по стандартизация, както и засилване на ролята на международните стандарти като основа за техническите регламенти; </w:t>
      </w:r>
    </w:p>
    <w:p>
      <w:pPr>
        <w:pStyle w:val="Point1"/>
        <w:rPr>
          <w:noProof/>
          <w:snapToGrid w:val="0"/>
        </w:rPr>
      </w:pPr>
      <w:r>
        <w:rPr>
          <w:noProof/>
        </w:rPr>
        <w:t>д)</w:t>
      </w:r>
      <w:r>
        <w:rPr>
          <w:noProof/>
        </w:rPr>
        <w:tab/>
        <w:t xml:space="preserve">подкрепа за усилията на органите за оценка на съответствието в държавите партньори от ИАО за получаване на международна акредитация; </w:t>
      </w:r>
    </w:p>
    <w:p>
      <w:pPr>
        <w:pStyle w:val="Point1"/>
        <w:rPr>
          <w:noProof/>
          <w:snapToGrid w:val="0"/>
        </w:rPr>
      </w:pPr>
      <w:r>
        <w:rPr>
          <w:noProof/>
        </w:rPr>
        <w:t>е)</w:t>
      </w:r>
      <w:r>
        <w:rPr>
          <w:noProof/>
        </w:rPr>
        <w:tab/>
        <w:t xml:space="preserve">развиване на функционалните връзки между съответните институции на страните за стандартизация, оценка на съответствието и сертифициране; </w:t>
      </w:r>
    </w:p>
    <w:p>
      <w:pPr>
        <w:pStyle w:val="Point1"/>
        <w:rPr>
          <w:rFonts w:eastAsia="Times New Roman"/>
          <w:bCs/>
          <w:noProof/>
          <w:color w:val="000000"/>
          <w:kern w:val="32"/>
          <w:szCs w:val="24"/>
        </w:rPr>
      </w:pPr>
      <w:r>
        <w:rPr>
          <w:noProof/>
        </w:rPr>
        <w:t>ж)</w:t>
      </w:r>
      <w:r>
        <w:rPr>
          <w:noProof/>
        </w:rPr>
        <w:tab/>
        <w:t>подкрепа за постигането на общо разбиране относно добрите регулаторни практики, включително:</w:t>
      </w:r>
    </w:p>
    <w:p>
      <w:pPr>
        <w:pStyle w:val="Point2"/>
        <w:rPr>
          <w:noProof/>
        </w:rPr>
      </w:pPr>
      <w:r>
        <w:rPr>
          <w:noProof/>
        </w:rPr>
        <w:t>i)</w:t>
      </w:r>
      <w:r>
        <w:rPr>
          <w:noProof/>
        </w:rPr>
        <w:tab/>
        <w:t xml:space="preserve">прозрачност при подготовката, приемането и прилагането на технически регламенти, стандарти и процедури за оценка на съответствието; </w:t>
      </w:r>
    </w:p>
    <w:p>
      <w:pPr>
        <w:pStyle w:val="Point2"/>
        <w:rPr>
          <w:noProof/>
        </w:rPr>
      </w:pPr>
      <w:r>
        <w:rPr>
          <w:noProof/>
        </w:rPr>
        <w:t>ii)</w:t>
      </w:r>
      <w:r>
        <w:rPr>
          <w:noProof/>
        </w:rPr>
        <w:tab/>
        <w:t>необходимост и пропорционалност на регулаторните мерки и свързаните процедури за оценка на съответствието, които могат да включват използването на декларации за съответствие от доставчиците;</w:t>
      </w:r>
    </w:p>
    <w:p>
      <w:pPr>
        <w:pStyle w:val="Point2"/>
        <w:rPr>
          <w:noProof/>
        </w:rPr>
      </w:pPr>
      <w:r>
        <w:rPr>
          <w:noProof/>
        </w:rPr>
        <w:t>iii)</w:t>
      </w:r>
      <w:r>
        <w:rPr>
          <w:noProof/>
        </w:rPr>
        <w:tab/>
        <w:t xml:space="preserve">използване на международни стандарти като основа за изготвяне на технически регламенти, освен когато такива международни стандарти ще са неефективно или неподходящо средство за изпълнението на набелязаните легитимни цели; </w:t>
      </w:r>
    </w:p>
    <w:p>
      <w:pPr>
        <w:pStyle w:val="Point2"/>
        <w:rPr>
          <w:noProof/>
        </w:rPr>
      </w:pPr>
      <w:r>
        <w:rPr>
          <w:noProof/>
        </w:rPr>
        <w:t>iv)</w:t>
      </w:r>
      <w:r>
        <w:rPr>
          <w:noProof/>
        </w:rPr>
        <w:tab/>
        <w:t xml:space="preserve">прилагане на техническите регламенти и изпълнение на дейностите по наблюдение на пазара; както и </w:t>
      </w:r>
    </w:p>
    <w:p>
      <w:pPr>
        <w:pStyle w:val="Point2"/>
        <w:rPr>
          <w:noProof/>
        </w:rPr>
      </w:pPr>
      <w:r>
        <w:rPr>
          <w:noProof/>
        </w:rPr>
        <w:t>v)</w:t>
      </w:r>
      <w:r>
        <w:rPr>
          <w:noProof/>
        </w:rPr>
        <w:tab/>
        <w:t xml:space="preserve">установяване на механизми и методи за преглед на технически регламенти, стандарти и процедури за оценка на съответствието; </w:t>
      </w:r>
    </w:p>
    <w:p>
      <w:pPr>
        <w:pStyle w:val="Point1"/>
        <w:rPr>
          <w:noProof/>
          <w:snapToGrid w:val="0"/>
        </w:rPr>
      </w:pPr>
      <w:r>
        <w:rPr>
          <w:noProof/>
        </w:rPr>
        <w:t>з)</w:t>
      </w:r>
      <w:r>
        <w:rPr>
          <w:noProof/>
        </w:rPr>
        <w:tab/>
        <w:t xml:space="preserve">определяне, приоритизиране и подкрепа за разработването на необходимата техническа инфраструктура и трансфер на технологии в областта на метрологията, стандартизацията, изпитването, сертифицирането и акредитацията, в подкрепа на техническите регламенти; </w:t>
      </w:r>
    </w:p>
    <w:p>
      <w:pPr>
        <w:pStyle w:val="Point1"/>
        <w:rPr>
          <w:noProof/>
          <w:snapToGrid w:val="0"/>
        </w:rPr>
      </w:pPr>
      <w:r>
        <w:rPr>
          <w:noProof/>
        </w:rPr>
        <w:t>и)</w:t>
      </w:r>
      <w:r>
        <w:rPr>
          <w:noProof/>
        </w:rPr>
        <w:tab/>
        <w:t xml:space="preserve">засилване на регулаторното, техническото и научното сътрудничество, </w:t>
      </w:r>
      <w:r>
        <w:rPr>
          <w:i/>
          <w:noProof/>
        </w:rPr>
        <w:t>inter alia</w:t>
      </w:r>
      <w:r>
        <w:rPr>
          <w:noProof/>
        </w:rPr>
        <w:t xml:space="preserve">, чрез обмен на информация, опит и данни, с оглед на подобряване на качеството и равнището на техните технически регламенти и на ефективното използване на регулаторните ресурси; </w:t>
      </w:r>
    </w:p>
    <w:p>
      <w:pPr>
        <w:pStyle w:val="Point1"/>
        <w:rPr>
          <w:noProof/>
          <w:snapToGrid w:val="0"/>
        </w:rPr>
      </w:pPr>
      <w:r>
        <w:rPr>
          <w:noProof/>
        </w:rPr>
        <w:t>й)</w:t>
      </w:r>
      <w:r>
        <w:rPr>
          <w:noProof/>
        </w:rPr>
        <w:tab/>
        <w:t>развиване на съвместимостта и сближаването на съответните технически регламенти, стандарти и процедури за оценка на съответствието;</w:t>
      </w:r>
    </w:p>
    <w:p>
      <w:pPr>
        <w:pStyle w:val="Point1"/>
        <w:rPr>
          <w:noProof/>
          <w:snapToGrid w:val="0"/>
        </w:rPr>
      </w:pPr>
      <w:r>
        <w:rPr>
          <w:noProof/>
        </w:rPr>
        <w:t>к)</w:t>
      </w:r>
      <w:r>
        <w:rPr>
          <w:noProof/>
        </w:rPr>
        <w:tab/>
        <w:t xml:space="preserve">популяризиране и насърчаване на двустранното сътрудничество между съответните организации на страните, които са отговорни за метрологията, стандартизацията, изпитването, сертифицирането и акредитацията; </w:t>
      </w:r>
    </w:p>
    <w:p>
      <w:pPr>
        <w:pStyle w:val="Point1"/>
        <w:rPr>
          <w:rFonts w:eastAsia="Times New Roman"/>
          <w:noProof/>
          <w:snapToGrid w:val="0"/>
          <w:szCs w:val="24"/>
        </w:rPr>
      </w:pPr>
      <w:r>
        <w:rPr>
          <w:noProof/>
        </w:rPr>
        <w:t>л)</w:t>
      </w:r>
      <w:r>
        <w:rPr>
          <w:noProof/>
        </w:rPr>
        <w:tab/>
        <w:t xml:space="preserve">насърчаване на сътрудничеството между страните и между държавите партньори от ИАО във връзка с работата на съответните международни институции, организации и форуми, занимаващи се с въпросите на ТПТ. </w:t>
      </w:r>
    </w:p>
    <w:p>
      <w:pPr>
        <w:jc w:val="center"/>
        <w:rPr>
          <w:b/>
          <w:noProof/>
          <w:sz w:val="28"/>
          <w:szCs w:val="28"/>
        </w:rPr>
      </w:pPr>
      <w:r>
        <w:rPr>
          <w:b/>
          <w:noProof/>
          <w:sz w:val="28"/>
        </w:rPr>
        <w:t>ДЯЛ VIII: МИТНИЦИ И УЛЕСНЯВАНЕ НА ТЪРГОВИЯТА</w:t>
      </w:r>
    </w:p>
    <w:p>
      <w:pPr>
        <w:pStyle w:val="Titrearticle"/>
        <w:rPr>
          <w:rFonts w:eastAsia="Times New Roman"/>
          <w:b/>
          <w:bCs/>
          <w:noProof/>
          <w:color w:val="000000"/>
          <w:kern w:val="32"/>
          <w:szCs w:val="24"/>
        </w:rPr>
      </w:pPr>
      <w:r>
        <w:rPr>
          <w:b/>
          <w:noProof/>
        </w:rPr>
        <w:t>ЧЛЕН 98</w:t>
      </w:r>
    </w:p>
    <w:p>
      <w:pPr>
        <w:jc w:val="center"/>
        <w:rPr>
          <w:rFonts w:eastAsia="Times New Roman"/>
          <w:b/>
          <w:bCs/>
          <w:noProof/>
          <w:color w:val="000000"/>
          <w:kern w:val="32"/>
          <w:szCs w:val="24"/>
        </w:rPr>
      </w:pPr>
      <w:r>
        <w:rPr>
          <w:b/>
          <w:noProof/>
          <w:color w:val="000000"/>
          <w:kern w:val="32"/>
        </w:rPr>
        <w:t>Обхват и цели</w:t>
      </w:r>
    </w:p>
    <w:p>
      <w:pPr>
        <w:pStyle w:val="ManualNumPar1"/>
        <w:rPr>
          <w:rFonts w:eastAsia="Times New Roman"/>
          <w:noProof/>
          <w:color w:val="000000"/>
          <w:szCs w:val="24"/>
        </w:rPr>
      </w:pPr>
      <w:r>
        <w:rPr>
          <w:noProof/>
          <w:color w:val="000000"/>
        </w:rPr>
        <w:t>1.</w:t>
      </w:r>
      <w:r>
        <w:rPr>
          <w:noProof/>
        </w:rPr>
        <w:tab/>
      </w:r>
      <w:r>
        <w:rPr>
          <w:noProof/>
          <w:color w:val="000000"/>
        </w:rPr>
        <w:t xml:space="preserve">Страните признават важната роля на сътрудничеството в областта на митниците и улесняването на търговията в динамичния контекст на световната търговия. </w:t>
      </w:r>
    </w:p>
    <w:p>
      <w:pPr>
        <w:pStyle w:val="ManualNumPar1"/>
        <w:rPr>
          <w:rFonts w:eastAsia="Times New Roman"/>
          <w:noProof/>
          <w:color w:val="000000"/>
          <w:szCs w:val="24"/>
        </w:rPr>
      </w:pPr>
      <w:r>
        <w:rPr>
          <w:noProof/>
          <w:color w:val="000000"/>
        </w:rPr>
        <w:t>2.</w:t>
      </w:r>
      <w:r>
        <w:rPr>
          <w:noProof/>
        </w:rPr>
        <w:tab/>
      </w:r>
      <w:r>
        <w:rPr>
          <w:noProof/>
          <w:color w:val="000000"/>
        </w:rPr>
        <w:t xml:space="preserve">Страните се споразумяват да засилят сътрудничеството си, за да гарантират, че относимите законодателство и процедури, както и административният капацитет на техните администрации постигат целта за насърчаване на улесняването на търговията. </w:t>
      </w:r>
    </w:p>
    <w:p>
      <w:pPr>
        <w:pStyle w:val="ManualNumPar1"/>
        <w:rPr>
          <w:rFonts w:eastAsia="Times New Roman"/>
          <w:noProof/>
          <w:color w:val="000000"/>
          <w:szCs w:val="24"/>
        </w:rPr>
      </w:pPr>
      <w:r>
        <w:rPr>
          <w:noProof/>
          <w:color w:val="000000"/>
        </w:rPr>
        <w:t>3.</w:t>
      </w:r>
      <w:r>
        <w:rPr>
          <w:noProof/>
        </w:rPr>
        <w:tab/>
      </w:r>
      <w:r>
        <w:rPr>
          <w:noProof/>
          <w:color w:val="000000"/>
        </w:rPr>
        <w:t xml:space="preserve">Страните признават необходимостта от подходящ административен капацитет за постигането на тези цели. Те се съгласяват, че държавите партньори от ИАО ще се нуждаят от преходни периоди и изграждане на капацитет, за да прилагат безпроблемно разпоредбите на настоящия дял. </w:t>
      </w:r>
    </w:p>
    <w:p>
      <w:pPr>
        <w:pStyle w:val="ManualNumPar1"/>
        <w:rPr>
          <w:rFonts w:eastAsia="Times New Roman"/>
          <w:bCs/>
          <w:noProof/>
          <w:color w:val="000000"/>
          <w:kern w:val="32"/>
          <w:szCs w:val="24"/>
        </w:rPr>
      </w:pPr>
      <w:r>
        <w:rPr>
          <w:noProof/>
          <w:color w:val="000000"/>
        </w:rPr>
        <w:t>4.</w:t>
      </w:r>
      <w:r>
        <w:rPr>
          <w:noProof/>
        </w:rPr>
        <w:tab/>
      </w:r>
      <w:r>
        <w:rPr>
          <w:noProof/>
          <w:color w:val="000000"/>
        </w:rPr>
        <w:t>Целите на сътрудничеството по настоящия дял са:</w:t>
      </w:r>
    </w:p>
    <w:p>
      <w:pPr>
        <w:pStyle w:val="Point1"/>
        <w:rPr>
          <w:noProof/>
          <w:snapToGrid w:val="0"/>
        </w:rPr>
      </w:pPr>
      <w:r>
        <w:rPr>
          <w:noProof/>
        </w:rPr>
        <w:t>а)</w:t>
      </w:r>
      <w:r>
        <w:rPr>
          <w:noProof/>
        </w:rPr>
        <w:tab/>
        <w:t>улесняване на търговията между страните;</w:t>
      </w:r>
    </w:p>
    <w:p>
      <w:pPr>
        <w:pStyle w:val="Point1"/>
        <w:rPr>
          <w:noProof/>
          <w:snapToGrid w:val="0"/>
        </w:rPr>
      </w:pPr>
      <w:r>
        <w:rPr>
          <w:noProof/>
        </w:rPr>
        <w:t>б)</w:t>
      </w:r>
      <w:r>
        <w:rPr>
          <w:noProof/>
        </w:rPr>
        <w:tab/>
        <w:t>насърчаване на хармонизацията на митническото законодателство и процедури на регионално равнище;</w:t>
      </w:r>
    </w:p>
    <w:p>
      <w:pPr>
        <w:pStyle w:val="Point1"/>
        <w:rPr>
          <w:noProof/>
          <w:snapToGrid w:val="0"/>
        </w:rPr>
      </w:pPr>
      <w:r>
        <w:rPr>
          <w:noProof/>
        </w:rPr>
        <w:t>в)</w:t>
      </w:r>
      <w:r>
        <w:rPr>
          <w:noProof/>
        </w:rPr>
        <w:tab/>
        <w:t>предоставяне на подкрепа на държавите партньори от ИАО, за да се засили улесняването на търговията;</w:t>
      </w:r>
    </w:p>
    <w:p>
      <w:pPr>
        <w:pStyle w:val="Point1"/>
        <w:rPr>
          <w:noProof/>
          <w:snapToGrid w:val="0"/>
        </w:rPr>
      </w:pPr>
      <w:r>
        <w:rPr>
          <w:noProof/>
        </w:rPr>
        <w:t>г)</w:t>
      </w:r>
      <w:r>
        <w:rPr>
          <w:noProof/>
        </w:rPr>
        <w:tab/>
        <w:t xml:space="preserve">предоставяне на подкрепа на митническите администрации на държавите партньори от ИАО за прилагане на настоящото споразумение и други международни най-добри митнически практики; </w:t>
      </w:r>
    </w:p>
    <w:p>
      <w:pPr>
        <w:pStyle w:val="Point1"/>
        <w:rPr>
          <w:rFonts w:eastAsia="Times New Roman"/>
          <w:noProof/>
          <w:snapToGrid w:val="0"/>
          <w:szCs w:val="24"/>
        </w:rPr>
      </w:pPr>
      <w:r>
        <w:rPr>
          <w:noProof/>
        </w:rPr>
        <w:t>д)</w:t>
      </w:r>
      <w:r>
        <w:rPr>
          <w:noProof/>
        </w:rPr>
        <w:tab/>
        <w:t>засилване на сътрудничеството между митническите власти на страните и други свързани с тях гранични служби.</w:t>
      </w:r>
    </w:p>
    <w:p>
      <w:pPr>
        <w:pStyle w:val="ManualNumPar1"/>
        <w:rPr>
          <w:rFonts w:eastAsia="Times New Roman"/>
          <w:noProof/>
          <w:color w:val="000000"/>
          <w:szCs w:val="24"/>
        </w:rPr>
      </w:pPr>
      <w:r>
        <w:rPr>
          <w:noProof/>
          <w:color w:val="000000"/>
        </w:rPr>
        <w:t>5.</w:t>
      </w:r>
      <w:r>
        <w:rPr>
          <w:noProof/>
        </w:rPr>
        <w:tab/>
      </w:r>
      <w:r>
        <w:rPr>
          <w:noProof/>
          <w:color w:val="000000"/>
        </w:rPr>
        <w:t>При спазване на разпоредбите на член 75, страните се споразумяват да си сътрудничат в следните области:</w:t>
      </w:r>
    </w:p>
    <w:p>
      <w:pPr>
        <w:pStyle w:val="Point1"/>
        <w:rPr>
          <w:noProof/>
          <w:snapToGrid w:val="0"/>
        </w:rPr>
      </w:pPr>
      <w:r>
        <w:rPr>
          <w:noProof/>
        </w:rPr>
        <w:t>а)</w:t>
      </w:r>
      <w:r>
        <w:rPr>
          <w:noProof/>
        </w:rPr>
        <w:tab/>
        <w:t>обмен на информация относно митническото законодателство и процедури;</w:t>
      </w:r>
    </w:p>
    <w:p>
      <w:pPr>
        <w:pStyle w:val="Point1"/>
        <w:rPr>
          <w:noProof/>
          <w:snapToGrid w:val="0"/>
        </w:rPr>
      </w:pPr>
      <w:r>
        <w:rPr>
          <w:noProof/>
        </w:rPr>
        <w:t>б)</w:t>
      </w:r>
      <w:r>
        <w:rPr>
          <w:noProof/>
        </w:rPr>
        <w:tab/>
        <w:t xml:space="preserve">разработване на съвместни инициативи в договорени помежду им области; </w:t>
      </w:r>
    </w:p>
    <w:p>
      <w:pPr>
        <w:pStyle w:val="Point1"/>
        <w:rPr>
          <w:rFonts w:eastAsia="Times New Roman"/>
          <w:noProof/>
          <w:snapToGrid w:val="0"/>
          <w:szCs w:val="24"/>
        </w:rPr>
      </w:pPr>
      <w:r>
        <w:rPr>
          <w:noProof/>
        </w:rPr>
        <w:t>в)</w:t>
      </w:r>
      <w:r>
        <w:rPr>
          <w:noProof/>
        </w:rPr>
        <w:tab/>
        <w:t>подкрепа за:</w:t>
      </w:r>
    </w:p>
    <w:p>
      <w:pPr>
        <w:pStyle w:val="Point2"/>
        <w:rPr>
          <w:noProof/>
        </w:rPr>
      </w:pPr>
      <w:r>
        <w:rPr>
          <w:noProof/>
        </w:rPr>
        <w:t>i)</w:t>
      </w:r>
      <w:r>
        <w:rPr>
          <w:noProof/>
        </w:rPr>
        <w:tab/>
        <w:t>модернизацията на митническите системи и процедури и намаляване на времето за митническо оформяне;</w:t>
      </w:r>
    </w:p>
    <w:p>
      <w:pPr>
        <w:pStyle w:val="Point2"/>
        <w:rPr>
          <w:noProof/>
        </w:rPr>
      </w:pPr>
      <w:r>
        <w:rPr>
          <w:noProof/>
        </w:rPr>
        <w:t>ii)</w:t>
      </w:r>
      <w:r>
        <w:rPr>
          <w:noProof/>
        </w:rPr>
        <w:tab/>
        <w:t>опростяването и хармонизирането на митническите процедури и търговските формалности, включително на тези, свързани с вноса, износа и транзита;</w:t>
      </w:r>
    </w:p>
    <w:p>
      <w:pPr>
        <w:pStyle w:val="Point2"/>
        <w:rPr>
          <w:noProof/>
        </w:rPr>
      </w:pPr>
      <w:r>
        <w:rPr>
          <w:noProof/>
        </w:rPr>
        <w:t>iii)</w:t>
      </w:r>
      <w:r>
        <w:rPr>
          <w:noProof/>
        </w:rPr>
        <w:tab/>
        <w:t>засилването на регионалните системи за транзит;</w:t>
      </w:r>
    </w:p>
    <w:p>
      <w:pPr>
        <w:pStyle w:val="Point2"/>
        <w:rPr>
          <w:noProof/>
        </w:rPr>
      </w:pPr>
      <w:r>
        <w:rPr>
          <w:noProof/>
        </w:rPr>
        <w:t>iv)</w:t>
      </w:r>
      <w:r>
        <w:rPr>
          <w:noProof/>
        </w:rPr>
        <w:tab/>
        <w:t>подобряването на прозрачността в съответствие с член 134;</w:t>
      </w:r>
    </w:p>
    <w:p>
      <w:pPr>
        <w:pStyle w:val="Point2"/>
        <w:rPr>
          <w:noProof/>
        </w:rPr>
      </w:pPr>
      <w:r>
        <w:rPr>
          <w:noProof/>
        </w:rPr>
        <w:t>v)</w:t>
      </w:r>
      <w:r>
        <w:rPr>
          <w:noProof/>
        </w:rPr>
        <w:tab/>
        <w:t>изграждането на капацитет, включително финансова и техническа помощ за държавите партньори от ИАО в тази област; както и</w:t>
      </w:r>
    </w:p>
    <w:p>
      <w:pPr>
        <w:pStyle w:val="Point2"/>
        <w:rPr>
          <w:noProof/>
        </w:rPr>
      </w:pPr>
      <w:r>
        <w:rPr>
          <w:noProof/>
        </w:rPr>
        <w:t>vi)</w:t>
      </w:r>
      <w:r>
        <w:rPr>
          <w:noProof/>
        </w:rPr>
        <w:tab/>
        <w:t xml:space="preserve">други въпроси в областта на митниците, договорени между двете страни; </w:t>
      </w:r>
    </w:p>
    <w:p>
      <w:pPr>
        <w:pStyle w:val="Point1"/>
        <w:rPr>
          <w:noProof/>
          <w:snapToGrid w:val="0"/>
        </w:rPr>
      </w:pPr>
      <w:r>
        <w:rPr>
          <w:noProof/>
        </w:rPr>
        <w:t>г)</w:t>
      </w:r>
      <w:r>
        <w:rPr>
          <w:noProof/>
        </w:rPr>
        <w:tab/>
        <w:t>приемане, доколкото е възможно, на общи позиции в рамките на международни организации в областта на митниците и улесняването на търговията, като СТО, СМО, ООН и УНКТАД;</w:t>
      </w:r>
    </w:p>
    <w:p>
      <w:pPr>
        <w:pStyle w:val="Point1"/>
        <w:rPr>
          <w:rFonts w:eastAsia="Times New Roman"/>
          <w:noProof/>
          <w:snapToGrid w:val="0"/>
          <w:szCs w:val="24"/>
        </w:rPr>
      </w:pPr>
      <w:r>
        <w:rPr>
          <w:noProof/>
        </w:rPr>
        <w:t>д)</w:t>
      </w:r>
      <w:r>
        <w:rPr>
          <w:noProof/>
        </w:rPr>
        <w:tab/>
        <w:t>насърчаване на координацията между всички имащи отношение служби, както на вътрешната територия, така и извън нея.</w:t>
      </w:r>
    </w:p>
    <w:p>
      <w:pPr>
        <w:pStyle w:val="ManualNumPar1"/>
        <w:rPr>
          <w:rFonts w:eastAsia="Times New Roman"/>
          <w:bCs/>
          <w:noProof/>
          <w:color w:val="000000"/>
          <w:kern w:val="32"/>
          <w:szCs w:val="24"/>
        </w:rPr>
      </w:pPr>
      <w:r>
        <w:rPr>
          <w:noProof/>
          <w:color w:val="000000"/>
          <w:kern w:val="32"/>
        </w:rPr>
        <w:t>6.</w:t>
      </w:r>
      <w:r>
        <w:rPr>
          <w:noProof/>
        </w:rPr>
        <w:tab/>
      </w:r>
      <w:r>
        <w:rPr>
          <w:noProof/>
          <w:color w:val="000000"/>
          <w:kern w:val="32"/>
        </w:rPr>
        <w:t>Страните си предоставят административна взаимопомощ по митнически въпроси в съответствие с разпоредбите на протокол 1 относно правилата за произход, както следва:</w:t>
      </w:r>
    </w:p>
    <w:p>
      <w:pPr>
        <w:pStyle w:val="Point1"/>
        <w:rPr>
          <w:rFonts w:eastAsia="Times New Roman"/>
          <w:noProof/>
          <w:color w:val="000000"/>
          <w:szCs w:val="24"/>
        </w:rPr>
      </w:pPr>
      <w:r>
        <w:rPr>
          <w:noProof/>
        </w:rPr>
        <w:t>а)</w:t>
      </w:r>
      <w:r>
        <w:rPr>
          <w:noProof/>
        </w:rPr>
        <w:tab/>
        <w:t>въвеждане на процедури и практики, които отразяват международните инструменти и стандарти, приложими в областта на митниците и улесняването на търговията, в това число правилата на СТО и инструментите и стандартите на СМО;</w:t>
      </w:r>
    </w:p>
    <w:p>
      <w:pPr>
        <w:pStyle w:val="Point1"/>
        <w:rPr>
          <w:rFonts w:eastAsia="Times New Roman"/>
          <w:noProof/>
          <w:color w:val="000000"/>
          <w:szCs w:val="24"/>
        </w:rPr>
      </w:pPr>
      <w:r>
        <w:rPr>
          <w:noProof/>
          <w:color w:val="000000"/>
        </w:rPr>
        <w:t>б)</w:t>
      </w:r>
      <w:r>
        <w:rPr>
          <w:noProof/>
        </w:rPr>
        <w:tab/>
      </w:r>
      <w:r>
        <w:rPr>
          <w:noProof/>
          <w:color w:val="000000"/>
        </w:rPr>
        <w:t>извършване на дейности, насочени към укрепване на хармонизацията на митническите стандарти и мерките за улесняване на търговията;</w:t>
      </w:r>
    </w:p>
    <w:p>
      <w:pPr>
        <w:pStyle w:val="Point1"/>
        <w:rPr>
          <w:rFonts w:eastAsia="Times New Roman"/>
          <w:noProof/>
          <w:color w:val="000000"/>
          <w:szCs w:val="24"/>
        </w:rPr>
      </w:pPr>
      <w:r>
        <w:rPr>
          <w:noProof/>
          <w:color w:val="000000"/>
        </w:rPr>
        <w:t>в)</w:t>
      </w:r>
      <w:r>
        <w:rPr>
          <w:noProof/>
        </w:rPr>
        <w:tab/>
      </w:r>
      <w:r>
        <w:rPr>
          <w:noProof/>
          <w:color w:val="000000"/>
        </w:rPr>
        <w:t>прилагане на съвременни митнически практики, в това число оценка на риска, обвързващи предписания, опростени процедури, контрол след освобождаването и методи за одит;</w:t>
      </w:r>
    </w:p>
    <w:p>
      <w:pPr>
        <w:pStyle w:val="Point1"/>
        <w:rPr>
          <w:rFonts w:eastAsia="Times New Roman"/>
          <w:noProof/>
          <w:color w:val="000000"/>
          <w:szCs w:val="24"/>
        </w:rPr>
      </w:pPr>
      <w:r>
        <w:rPr>
          <w:noProof/>
          <w:color w:val="000000"/>
        </w:rPr>
        <w:t>г)</w:t>
      </w:r>
      <w:r>
        <w:rPr>
          <w:noProof/>
        </w:rPr>
        <w:tab/>
      </w:r>
      <w:r>
        <w:rPr>
          <w:noProof/>
          <w:color w:val="000000"/>
        </w:rPr>
        <w:t>автоматизиране на митническите и други търговски процедури, включително електронен обмен на митническа и търговска информация;</w:t>
      </w:r>
    </w:p>
    <w:p>
      <w:pPr>
        <w:pStyle w:val="Point1"/>
        <w:rPr>
          <w:rFonts w:eastAsia="Times New Roman"/>
          <w:noProof/>
          <w:color w:val="000000"/>
          <w:szCs w:val="24"/>
        </w:rPr>
      </w:pPr>
      <w:r>
        <w:rPr>
          <w:noProof/>
          <w:color w:val="000000"/>
        </w:rPr>
        <w:t>д)</w:t>
      </w:r>
      <w:r>
        <w:rPr>
          <w:noProof/>
        </w:rPr>
        <w:tab/>
      </w:r>
      <w:r>
        <w:rPr>
          <w:noProof/>
          <w:color w:val="000000"/>
        </w:rPr>
        <w:t>обучение на митническите служители и други компетентни длъжностни лица от публичния и частния сектор по въпросите на митниците и улесняването на търговията; както и</w:t>
      </w:r>
    </w:p>
    <w:p>
      <w:pPr>
        <w:pStyle w:val="Point1"/>
        <w:rPr>
          <w:rFonts w:eastAsia="Times New Roman"/>
          <w:noProof/>
          <w:snapToGrid w:val="0"/>
          <w:szCs w:val="24"/>
        </w:rPr>
      </w:pPr>
      <w:r>
        <w:rPr>
          <w:noProof/>
          <w:color w:val="000000"/>
        </w:rPr>
        <w:t>е)</w:t>
      </w:r>
      <w:r>
        <w:rPr>
          <w:noProof/>
        </w:rPr>
        <w:tab/>
        <w:t>други области, които могат да бъдат определени от страните.</w:t>
      </w:r>
    </w:p>
    <w:p>
      <w:pPr>
        <w:jc w:val="center"/>
        <w:rPr>
          <w:b/>
          <w:noProof/>
          <w:sz w:val="28"/>
          <w:szCs w:val="28"/>
        </w:rPr>
      </w:pPr>
      <w:r>
        <w:rPr>
          <w:b/>
          <w:noProof/>
          <w:sz w:val="28"/>
        </w:rPr>
        <w:t>ДЯЛ ІХ: МЕРКИ ЗА АДАПТИРАНЕ НА СИП</w:t>
      </w:r>
    </w:p>
    <w:p>
      <w:pPr>
        <w:pStyle w:val="Titrearticle"/>
        <w:rPr>
          <w:rFonts w:eastAsia="Times New Roman"/>
          <w:b/>
          <w:noProof/>
          <w:color w:val="000000"/>
          <w:szCs w:val="24"/>
        </w:rPr>
      </w:pPr>
      <w:r>
        <w:rPr>
          <w:b/>
          <w:noProof/>
          <w:color w:val="000000"/>
        </w:rPr>
        <w:t>ЧЛЕН 99</w:t>
      </w:r>
    </w:p>
    <w:p>
      <w:pPr>
        <w:jc w:val="center"/>
        <w:rPr>
          <w:rFonts w:eastAsia="Times New Roman"/>
          <w:b/>
          <w:noProof/>
          <w:color w:val="000000"/>
          <w:szCs w:val="24"/>
        </w:rPr>
      </w:pPr>
      <w:r>
        <w:rPr>
          <w:b/>
          <w:noProof/>
          <w:color w:val="000000"/>
        </w:rPr>
        <w:t>Обхват и цели</w:t>
      </w:r>
    </w:p>
    <w:p>
      <w:pPr>
        <w:pStyle w:val="ManualNumPar1"/>
        <w:rPr>
          <w:rFonts w:eastAsia="Times New Roman"/>
          <w:bCs/>
          <w:noProof/>
          <w:color w:val="000000"/>
          <w:kern w:val="32"/>
          <w:szCs w:val="24"/>
        </w:rPr>
      </w:pPr>
      <w:r>
        <w:rPr>
          <w:noProof/>
          <w:color w:val="000000"/>
        </w:rPr>
        <w:t>1.</w:t>
      </w:r>
      <w:r>
        <w:rPr>
          <w:noProof/>
        </w:rPr>
        <w:tab/>
      </w:r>
      <w:r>
        <w:rPr>
          <w:noProof/>
          <w:color w:val="000000"/>
        </w:rPr>
        <w:t>Страните признават, че премахването и/или същественото намаляване на митата съгласно предвиденото в настоящото споразумение ще бъде предизвикателство за държавите партньори от ИАО. Страните се споразумяват, че това специфично предизвикателство трябва да бъде преодоляно чрез създаването на компенсаторна рамка.</w:t>
      </w:r>
    </w:p>
    <w:p>
      <w:pPr>
        <w:pStyle w:val="ManualNumPar1"/>
        <w:rPr>
          <w:rFonts w:eastAsia="Times New Roman"/>
          <w:bCs/>
          <w:noProof/>
          <w:color w:val="000000"/>
          <w:kern w:val="32"/>
          <w:szCs w:val="24"/>
        </w:rPr>
      </w:pPr>
      <w:r>
        <w:rPr>
          <w:noProof/>
          <w:color w:val="000000"/>
          <w:kern w:val="32"/>
        </w:rPr>
        <w:t>2.</w:t>
      </w:r>
      <w:r>
        <w:rPr>
          <w:noProof/>
        </w:rPr>
        <w:tab/>
      </w:r>
      <w:r>
        <w:rPr>
          <w:noProof/>
          <w:color w:val="000000"/>
          <w:kern w:val="32"/>
        </w:rPr>
        <w:t xml:space="preserve">Страните също така признават, че прилагането на настоящото споразумение може да доведе до потенциални предизвикателства за икономиките на държавите партньори от ИАО, свързани, </w:t>
      </w:r>
      <w:r>
        <w:rPr>
          <w:i/>
          <w:noProof/>
          <w:color w:val="000000"/>
          <w:kern w:val="32"/>
        </w:rPr>
        <w:t>inter alia</w:t>
      </w:r>
      <w:r>
        <w:rPr>
          <w:noProof/>
          <w:color w:val="000000"/>
          <w:kern w:val="32"/>
        </w:rPr>
        <w:t xml:space="preserve">, със социалната и икономическата област и с околната среда. Страните се споразумяват, че тези предизвикателства следва да бъдат преодолени чрез дейности за сътрудничество в областта на икономиката и развитието. </w:t>
      </w:r>
    </w:p>
    <w:p>
      <w:pPr>
        <w:pStyle w:val="ManualNumPar1"/>
        <w:rPr>
          <w:rFonts w:eastAsia="Times New Roman"/>
          <w:noProof/>
          <w:color w:val="000000"/>
          <w:szCs w:val="24"/>
        </w:rPr>
      </w:pPr>
      <w:r>
        <w:rPr>
          <w:noProof/>
          <w:color w:val="000000"/>
          <w:kern w:val="32"/>
        </w:rPr>
        <w:t>3.</w:t>
      </w:r>
      <w:r>
        <w:rPr>
          <w:noProof/>
        </w:rPr>
        <w:tab/>
      </w:r>
      <w:r>
        <w:rPr>
          <w:noProof/>
          <w:color w:val="000000"/>
          <w:kern w:val="32"/>
        </w:rPr>
        <w:t xml:space="preserve">Сътрудничеството по настоящия дял цели преодоляване на действителни и потенциални предизвикателства, свързани с адаптирането и произтичащи от прилагането на настоящото споразумение. </w:t>
      </w:r>
    </w:p>
    <w:p>
      <w:pPr>
        <w:pStyle w:val="Titrearticle"/>
        <w:rPr>
          <w:rFonts w:eastAsia="Times New Roman"/>
          <w:b/>
          <w:noProof/>
          <w:color w:val="000000"/>
          <w:szCs w:val="24"/>
        </w:rPr>
      </w:pPr>
      <w:r>
        <w:rPr>
          <w:b/>
          <w:noProof/>
          <w:color w:val="000000"/>
        </w:rPr>
        <w:t>ЧЛЕН 100</w:t>
      </w:r>
    </w:p>
    <w:p>
      <w:pPr>
        <w:jc w:val="center"/>
        <w:rPr>
          <w:rFonts w:eastAsia="Times New Roman"/>
          <w:b/>
          <w:noProof/>
          <w:color w:val="000000"/>
          <w:szCs w:val="24"/>
        </w:rPr>
      </w:pPr>
      <w:r>
        <w:rPr>
          <w:b/>
          <w:noProof/>
          <w:color w:val="000000"/>
        </w:rPr>
        <w:t>Области на сътрудничество</w:t>
      </w:r>
    </w:p>
    <w:p>
      <w:pPr>
        <w:pStyle w:val="ManualNumPar1"/>
        <w:rPr>
          <w:rFonts w:eastAsia="Times New Roman"/>
          <w:noProof/>
          <w:color w:val="000000"/>
          <w:szCs w:val="24"/>
        </w:rPr>
      </w:pPr>
      <w:r>
        <w:rPr>
          <w:noProof/>
          <w:color w:val="000000"/>
        </w:rPr>
        <w:t>1.</w:t>
      </w:r>
      <w:r>
        <w:rPr>
          <w:noProof/>
        </w:rPr>
        <w:tab/>
      </w:r>
      <w:r>
        <w:rPr>
          <w:noProof/>
          <w:color w:val="000000"/>
        </w:rPr>
        <w:t>По отношение на загубите на приходи, свързани с намаляването на митата, ЕС:</w:t>
      </w:r>
    </w:p>
    <w:p>
      <w:pPr>
        <w:pStyle w:val="Point1"/>
        <w:rPr>
          <w:rFonts w:eastAsia="Times New Roman"/>
          <w:noProof/>
          <w:color w:val="000000"/>
          <w:szCs w:val="24"/>
        </w:rPr>
      </w:pPr>
      <w:r>
        <w:rPr>
          <w:noProof/>
        </w:rPr>
        <w:t>а)</w:t>
      </w:r>
      <w:r>
        <w:rPr>
          <w:noProof/>
        </w:rPr>
        <w:tab/>
        <w:t>участва в засилен диалог относно мерките и реформите за данъчна корекция;</w:t>
      </w:r>
      <w:r>
        <w:rPr>
          <w:noProof/>
          <w:color w:val="000000"/>
        </w:rPr>
        <w:t xml:space="preserve"> </w:t>
      </w:r>
    </w:p>
    <w:p>
      <w:pPr>
        <w:pStyle w:val="Point1"/>
        <w:rPr>
          <w:rFonts w:eastAsia="Times New Roman"/>
          <w:noProof/>
          <w:color w:val="000000"/>
          <w:szCs w:val="24"/>
        </w:rPr>
      </w:pPr>
      <w:r>
        <w:rPr>
          <w:noProof/>
          <w:color w:val="000000"/>
        </w:rPr>
        <w:t>б)</w:t>
      </w:r>
      <w:r>
        <w:rPr>
          <w:noProof/>
        </w:rPr>
        <w:tab/>
      </w:r>
      <w:r>
        <w:rPr>
          <w:noProof/>
          <w:color w:val="000000"/>
        </w:rPr>
        <w:t>установява правила и ред за сътрудничество в подкрепа на данъчната реформа;</w:t>
      </w:r>
    </w:p>
    <w:p>
      <w:pPr>
        <w:pStyle w:val="Point1"/>
        <w:rPr>
          <w:rFonts w:eastAsia="Times New Roman"/>
          <w:noProof/>
          <w:snapToGrid w:val="0"/>
          <w:szCs w:val="24"/>
        </w:rPr>
      </w:pPr>
      <w:r>
        <w:rPr>
          <w:noProof/>
          <w:color w:val="000000"/>
        </w:rPr>
        <w:t>в)</w:t>
      </w:r>
      <w:r>
        <w:rPr>
          <w:noProof/>
        </w:rPr>
        <w:tab/>
        <w:t xml:space="preserve">предоставя финансови ресурси за временно покриване на определените по взаимно съгласие загуби на държавни приходи, дължащи се на премахването или значителното намаляване на митата. </w:t>
      </w:r>
    </w:p>
    <w:p>
      <w:pPr>
        <w:pStyle w:val="ManualNumPar1"/>
        <w:rPr>
          <w:rFonts w:eastAsia="Times New Roman"/>
          <w:noProof/>
          <w:color w:val="000000"/>
          <w:szCs w:val="24"/>
        </w:rPr>
      </w:pPr>
      <w:r>
        <w:rPr>
          <w:noProof/>
          <w:color w:val="000000"/>
        </w:rPr>
        <w:t>2.</w:t>
      </w:r>
      <w:r>
        <w:rPr>
          <w:noProof/>
        </w:rPr>
        <w:tab/>
      </w:r>
      <w:r>
        <w:rPr>
          <w:noProof/>
          <w:color w:val="000000"/>
        </w:rPr>
        <w:t>С цел да се гарантира, че икономиките на държавите партньори от ИАО се възползват напълно от настоящото споразумение, ЕС се съгласява да работи с държавите партньори от ИАО за предприемане на подходящи дейности за сътрудничество, които имат за цел:</w:t>
      </w:r>
    </w:p>
    <w:p>
      <w:pPr>
        <w:pStyle w:val="Point1"/>
        <w:rPr>
          <w:rFonts w:eastAsia="Times New Roman"/>
          <w:noProof/>
          <w:color w:val="000000"/>
          <w:szCs w:val="24"/>
        </w:rPr>
      </w:pPr>
      <w:r>
        <w:rPr>
          <w:noProof/>
          <w:color w:val="000000"/>
        </w:rPr>
        <w:t>а)</w:t>
      </w:r>
      <w:r>
        <w:rPr>
          <w:noProof/>
        </w:rPr>
        <w:tab/>
      </w:r>
      <w:r>
        <w:rPr>
          <w:noProof/>
          <w:color w:val="000000"/>
        </w:rPr>
        <w:t>подобряване на конкурентоспособността на производствените сектори в държавите партньори от ИАО;</w:t>
      </w:r>
    </w:p>
    <w:p>
      <w:pPr>
        <w:pStyle w:val="Point1"/>
        <w:rPr>
          <w:rFonts w:eastAsia="Times New Roman"/>
          <w:noProof/>
          <w:color w:val="000000"/>
          <w:szCs w:val="24"/>
        </w:rPr>
      </w:pPr>
      <w:r>
        <w:rPr>
          <w:noProof/>
          <w:color w:val="000000"/>
        </w:rPr>
        <w:t>б)</w:t>
      </w:r>
      <w:r>
        <w:rPr>
          <w:noProof/>
        </w:rPr>
        <w:tab/>
      </w:r>
      <w:r>
        <w:rPr>
          <w:noProof/>
          <w:color w:val="000000"/>
        </w:rPr>
        <w:t>подобряване на производствения и професионалния капацитет на работната сила в държавите партньори от ИАО, включително чрез обучение на работниците, загубили работното си място при закриването на дружества, или чрез подпомагането на тези работници да придобият нови умения за нови дейности и др.;</w:t>
      </w:r>
    </w:p>
    <w:p>
      <w:pPr>
        <w:pStyle w:val="Point1"/>
        <w:rPr>
          <w:rFonts w:eastAsia="Times New Roman"/>
          <w:noProof/>
          <w:color w:val="000000"/>
          <w:szCs w:val="24"/>
        </w:rPr>
      </w:pPr>
      <w:r>
        <w:rPr>
          <w:noProof/>
          <w:color w:val="000000"/>
        </w:rPr>
        <w:t>в)</w:t>
      </w:r>
      <w:r>
        <w:rPr>
          <w:noProof/>
        </w:rPr>
        <w:tab/>
      </w:r>
      <w:r>
        <w:rPr>
          <w:noProof/>
          <w:color w:val="000000"/>
        </w:rPr>
        <w:t xml:space="preserve">мерки за подкрепа за постигане на устойчива околна среда; </w:t>
      </w:r>
    </w:p>
    <w:p>
      <w:pPr>
        <w:pStyle w:val="Point1"/>
        <w:rPr>
          <w:rFonts w:eastAsia="Times New Roman"/>
          <w:noProof/>
          <w:color w:val="000000"/>
          <w:szCs w:val="24"/>
        </w:rPr>
      </w:pPr>
      <w:r>
        <w:rPr>
          <w:noProof/>
          <w:color w:val="000000"/>
        </w:rPr>
        <w:t>г)</w:t>
      </w:r>
      <w:r>
        <w:rPr>
          <w:noProof/>
        </w:rPr>
        <w:tab/>
      </w:r>
      <w:r>
        <w:rPr>
          <w:noProof/>
          <w:color w:val="000000"/>
        </w:rPr>
        <w:t xml:space="preserve">изграждане на капацитет за укрепване на макроикономическата дисциплина; </w:t>
      </w:r>
    </w:p>
    <w:p>
      <w:pPr>
        <w:pStyle w:val="Point1"/>
        <w:rPr>
          <w:rFonts w:eastAsia="Times New Roman"/>
          <w:noProof/>
          <w:color w:val="000000"/>
          <w:szCs w:val="24"/>
        </w:rPr>
      </w:pPr>
      <w:r>
        <w:rPr>
          <w:noProof/>
          <w:color w:val="000000"/>
        </w:rPr>
        <w:t>д)</w:t>
      </w:r>
      <w:r>
        <w:rPr>
          <w:noProof/>
        </w:rPr>
        <w:tab/>
      </w:r>
      <w:r>
        <w:rPr>
          <w:noProof/>
          <w:color w:val="000000"/>
        </w:rPr>
        <w:t>смекчаване на евентуалното въздействие върху продоволствената сигурност и сигурността на храните, развитието на селските райони, осигуряването на препитанието и доходите от износ в държавите партньори от ИАО;</w:t>
      </w:r>
    </w:p>
    <w:p>
      <w:pPr>
        <w:pStyle w:val="Point1"/>
        <w:rPr>
          <w:rFonts w:eastAsia="Times New Roman"/>
          <w:noProof/>
          <w:snapToGrid w:val="0"/>
          <w:szCs w:val="24"/>
        </w:rPr>
      </w:pPr>
      <w:r>
        <w:rPr>
          <w:noProof/>
          <w:color w:val="000000"/>
        </w:rPr>
        <w:t>е)</w:t>
      </w:r>
      <w:r>
        <w:rPr>
          <w:noProof/>
        </w:rPr>
        <w:tab/>
        <w:t>разглеждане на други възможни области на сътрудничество, свързани с предизвикателствата при прилагането на настоящото споразумение.</w:t>
      </w:r>
    </w:p>
    <w:p>
      <w:pPr>
        <w:jc w:val="center"/>
        <w:rPr>
          <w:b/>
          <w:noProof/>
          <w:sz w:val="28"/>
          <w:szCs w:val="28"/>
        </w:rPr>
      </w:pPr>
      <w:r>
        <w:rPr>
          <w:b/>
          <w:noProof/>
          <w:sz w:val="28"/>
        </w:rPr>
        <w:t>ДЯЛ X: МОБИЛИЗИРАНЕ НА РЕСУРСИ</w:t>
      </w:r>
    </w:p>
    <w:p>
      <w:pPr>
        <w:pStyle w:val="Titrearticle"/>
        <w:rPr>
          <w:rFonts w:eastAsia="Times New Roman"/>
          <w:b/>
          <w:bCs/>
          <w:noProof/>
          <w:color w:val="000000"/>
          <w:kern w:val="32"/>
          <w:szCs w:val="24"/>
        </w:rPr>
      </w:pPr>
      <w:r>
        <w:rPr>
          <w:b/>
          <w:noProof/>
          <w:color w:val="000000"/>
        </w:rPr>
        <w:t>ЧЛЕН 101</w:t>
      </w:r>
    </w:p>
    <w:p>
      <w:pPr>
        <w:jc w:val="center"/>
        <w:rPr>
          <w:rFonts w:eastAsia="Times New Roman"/>
          <w:b/>
          <w:noProof/>
          <w:color w:val="000000"/>
          <w:szCs w:val="24"/>
        </w:rPr>
      </w:pPr>
      <w:r>
        <w:rPr>
          <w:b/>
          <w:noProof/>
          <w:color w:val="000000"/>
        </w:rPr>
        <w:t>Принципи и цели</w:t>
      </w:r>
    </w:p>
    <w:p>
      <w:pPr>
        <w:pStyle w:val="ManualNumPar1"/>
        <w:rPr>
          <w:rFonts w:eastAsia="Times New Roman"/>
          <w:noProof/>
          <w:color w:val="000000"/>
          <w:szCs w:val="24"/>
        </w:rPr>
      </w:pPr>
      <w:r>
        <w:rPr>
          <w:noProof/>
          <w:color w:val="000000"/>
        </w:rPr>
        <w:t>1.</w:t>
      </w:r>
      <w:r>
        <w:rPr>
          <w:noProof/>
        </w:rPr>
        <w:tab/>
      </w:r>
      <w:r>
        <w:rPr>
          <w:noProof/>
          <w:color w:val="000000"/>
        </w:rPr>
        <w:t>Като признават ангажимента на ЕС за подпомагане на прилагането на настоящото споразумение и собствените усилия на държавите партньори от ИАО за финансиране на техните нужди от развитие, страните се споразумяват да работят както съвместно, така и самостоятелно, за да мобилизират финансови ресурси за подпомагане на прилагането на настоящото споразумение, регионалната интеграция и стратегиите за развитие на държавите партньори от ИАО.</w:t>
      </w:r>
    </w:p>
    <w:p>
      <w:pPr>
        <w:pStyle w:val="ManualNumPar1"/>
        <w:rPr>
          <w:rFonts w:eastAsia="Calibri"/>
          <w:noProof/>
          <w:color w:val="000000"/>
          <w:szCs w:val="24"/>
        </w:rPr>
      </w:pPr>
      <w:r>
        <w:rPr>
          <w:noProof/>
          <w:color w:val="000000"/>
        </w:rPr>
        <w:t>2.</w:t>
      </w:r>
      <w:r>
        <w:rPr>
          <w:noProof/>
        </w:rPr>
        <w:tab/>
      </w:r>
      <w:r>
        <w:rPr>
          <w:noProof/>
          <w:color w:val="000000"/>
        </w:rPr>
        <w:t>Целта на съвместното мобилизиране на ресурси е да се допълват, подкрепят и насърчават в духа на взаимозависимост усилията на държавите партньори от ИАО при търсенето на алтернативни източници на финансиране за подпомагане на регионалната интеграция и стратегиите за развитие, по-специално Модела за развитие по СИП, съдържащ се в настоящото споразумение.</w:t>
      </w:r>
    </w:p>
    <w:p>
      <w:pPr>
        <w:pStyle w:val="Titrearticle"/>
        <w:rPr>
          <w:rFonts w:eastAsia="Times New Roman"/>
          <w:b/>
          <w:bCs/>
          <w:noProof/>
          <w:color w:val="000000"/>
          <w:kern w:val="32"/>
          <w:szCs w:val="20"/>
        </w:rPr>
      </w:pPr>
      <w:r>
        <w:rPr>
          <w:b/>
          <w:noProof/>
          <w:color w:val="000000"/>
          <w:kern w:val="32"/>
        </w:rPr>
        <w:t>ЧЛЕН 102</w:t>
      </w:r>
    </w:p>
    <w:p>
      <w:pPr>
        <w:jc w:val="center"/>
        <w:rPr>
          <w:rFonts w:eastAsia="Times New Roman"/>
          <w:b/>
          <w:bCs/>
          <w:noProof/>
          <w:color w:val="000000"/>
          <w:kern w:val="32"/>
          <w:szCs w:val="20"/>
        </w:rPr>
      </w:pPr>
      <w:r>
        <w:rPr>
          <w:b/>
          <w:noProof/>
          <w:color w:val="000000"/>
        </w:rPr>
        <w:t>Задължения</w:t>
      </w:r>
    </w:p>
    <w:p>
      <w:pPr>
        <w:pStyle w:val="ManualNumPar1"/>
        <w:rPr>
          <w:rFonts w:eastAsia="Times New Roman"/>
          <w:noProof/>
          <w:color w:val="000000"/>
          <w:szCs w:val="24"/>
        </w:rPr>
      </w:pPr>
      <w:r>
        <w:rPr>
          <w:noProof/>
          <w:color w:val="000000"/>
        </w:rPr>
        <w:t>1.</w:t>
      </w:r>
      <w:r>
        <w:rPr>
          <w:noProof/>
        </w:rPr>
        <w:tab/>
      </w:r>
      <w:r>
        <w:rPr>
          <w:noProof/>
          <w:color w:val="000000"/>
        </w:rPr>
        <w:t>Държавите партньори от ИАО:</w:t>
      </w:r>
    </w:p>
    <w:p>
      <w:pPr>
        <w:pStyle w:val="Point1"/>
        <w:rPr>
          <w:rFonts w:eastAsia="Times New Roman"/>
          <w:noProof/>
          <w:color w:val="000000"/>
          <w:szCs w:val="24"/>
        </w:rPr>
      </w:pPr>
      <w:r>
        <w:rPr>
          <w:noProof/>
        </w:rPr>
        <w:t>а)</w:t>
      </w:r>
      <w:r>
        <w:rPr>
          <w:noProof/>
        </w:rPr>
        <w:tab/>
        <w:t>своевременно заделят ресурси от механизма си за финансиране при условията на предвидимост за подпомагане на регионалната интеграция и на свързаните със СИП стратегии за развитие и проекти, включени в Модела за развитие по СИП;</w:t>
      </w:r>
    </w:p>
    <w:p>
      <w:pPr>
        <w:pStyle w:val="Point1"/>
        <w:rPr>
          <w:rFonts w:eastAsia="Times New Roman"/>
          <w:noProof/>
          <w:color w:val="000000"/>
          <w:szCs w:val="24"/>
        </w:rPr>
      </w:pPr>
      <w:r>
        <w:rPr>
          <w:noProof/>
          <w:color w:val="000000"/>
        </w:rPr>
        <w:t>б)</w:t>
      </w:r>
      <w:r>
        <w:rPr>
          <w:noProof/>
        </w:rPr>
        <w:tab/>
      </w:r>
      <w:r>
        <w:rPr>
          <w:noProof/>
          <w:color w:val="000000"/>
        </w:rPr>
        <w:t>разработват своите стратегии за развитие при надлежно зачитане на правото на държавите партньори от ИАО да определят посоката и последователността на своите стратегии за развитие и приоритети;</w:t>
      </w:r>
    </w:p>
    <w:p>
      <w:pPr>
        <w:pStyle w:val="Point1"/>
        <w:rPr>
          <w:rFonts w:eastAsia="Times New Roman"/>
          <w:noProof/>
          <w:color w:val="000000"/>
          <w:szCs w:val="24"/>
        </w:rPr>
      </w:pPr>
      <w:r>
        <w:rPr>
          <w:noProof/>
          <w:color w:val="000000"/>
        </w:rPr>
        <w:t>в)</w:t>
      </w:r>
      <w:r>
        <w:rPr>
          <w:noProof/>
        </w:rPr>
        <w:tab/>
      </w:r>
      <w:r>
        <w:rPr>
          <w:noProof/>
          <w:color w:val="000000"/>
        </w:rPr>
        <w:t>създават фонд за СИП за насочване на свързаните със СИП средства;</w:t>
      </w:r>
    </w:p>
    <w:p>
      <w:pPr>
        <w:pStyle w:val="Point1"/>
        <w:rPr>
          <w:rFonts w:eastAsia="Times New Roman"/>
          <w:noProof/>
          <w:snapToGrid w:val="0"/>
          <w:szCs w:val="24"/>
        </w:rPr>
      </w:pPr>
      <w:r>
        <w:rPr>
          <w:noProof/>
          <w:color w:val="000000"/>
        </w:rPr>
        <w:t>г)</w:t>
      </w:r>
      <w:r>
        <w:rPr>
          <w:noProof/>
        </w:rPr>
        <w:tab/>
        <w:t>включат приоритетите на Модела за развитие по СИП в регионалните и националните стратегии.</w:t>
      </w:r>
    </w:p>
    <w:p>
      <w:pPr>
        <w:pStyle w:val="ManualNumPar1"/>
        <w:rPr>
          <w:rFonts w:eastAsia="Times New Roman"/>
          <w:noProof/>
          <w:color w:val="000000"/>
          <w:szCs w:val="24"/>
        </w:rPr>
      </w:pPr>
      <w:r>
        <w:rPr>
          <w:noProof/>
          <w:color w:val="000000"/>
        </w:rPr>
        <w:t>2.</w:t>
      </w:r>
      <w:r>
        <w:rPr>
          <w:noProof/>
        </w:rPr>
        <w:tab/>
      </w:r>
      <w:r>
        <w:rPr>
          <w:noProof/>
          <w:color w:val="000000"/>
        </w:rPr>
        <w:t>Държавите партньори от ИАО формулират правила и разпоредби за управлението на фонда, така че да се гарантира прозрачност, отчетност и разходна ефективност при използването на тези ресурси. Без да се засягат вноските на други партньори във фонда на ИАО по СИП, насочването на ресурсите на ЕС ще зависи от положителната оценка от страна на ЕС на оперативните процедури на фонда.</w:t>
      </w:r>
    </w:p>
    <w:p>
      <w:pPr>
        <w:pStyle w:val="ManualNumPar1"/>
        <w:rPr>
          <w:rFonts w:eastAsia="Times New Roman"/>
          <w:noProof/>
          <w:color w:val="000000"/>
          <w:szCs w:val="24"/>
        </w:rPr>
      </w:pPr>
      <w:r>
        <w:rPr>
          <w:noProof/>
          <w:color w:val="000000"/>
        </w:rPr>
        <w:t>3.</w:t>
      </w:r>
      <w:r>
        <w:rPr>
          <w:noProof/>
        </w:rPr>
        <w:tab/>
      </w:r>
      <w:r>
        <w:rPr>
          <w:noProof/>
          <w:color w:val="000000"/>
        </w:rPr>
        <w:t>ЕС заделя своевременно ресурси при условията на предвидимост, като по-специално взема предвид ограниченията по отношение на предлагането на държавите партньори от ИАО, свързани с прилагането на настоящото споразумение, включително пропуските във финансирането, установени в Модела за развитие по СИП, чрез:</w:t>
      </w:r>
    </w:p>
    <w:p>
      <w:pPr>
        <w:pStyle w:val="Point1"/>
        <w:rPr>
          <w:rFonts w:eastAsia="Times New Roman"/>
          <w:noProof/>
          <w:color w:val="000000"/>
          <w:szCs w:val="24"/>
        </w:rPr>
      </w:pPr>
      <w:r>
        <w:rPr>
          <w:noProof/>
        </w:rPr>
        <w:t>а)</w:t>
      </w:r>
      <w:r>
        <w:rPr>
          <w:noProof/>
        </w:rPr>
        <w:tab/>
        <w:t>Европейския фонд за развитие (ЕФР) (национални и регионални инструменти);</w:t>
      </w:r>
    </w:p>
    <w:p>
      <w:pPr>
        <w:pStyle w:val="Point1"/>
        <w:rPr>
          <w:rFonts w:eastAsia="Times New Roman"/>
          <w:noProof/>
          <w:color w:val="000000"/>
          <w:szCs w:val="24"/>
        </w:rPr>
      </w:pPr>
      <w:r>
        <w:rPr>
          <w:noProof/>
          <w:color w:val="000000"/>
        </w:rPr>
        <w:t>б)</w:t>
      </w:r>
      <w:r>
        <w:rPr>
          <w:noProof/>
        </w:rPr>
        <w:tab/>
      </w:r>
      <w:r>
        <w:rPr>
          <w:noProof/>
          <w:color w:val="000000"/>
        </w:rPr>
        <w:t>бюджета на ЕС;</w:t>
      </w:r>
    </w:p>
    <w:p>
      <w:pPr>
        <w:pStyle w:val="Point1"/>
        <w:rPr>
          <w:rFonts w:eastAsia="Times New Roman"/>
          <w:noProof/>
          <w:snapToGrid w:val="0"/>
          <w:szCs w:val="24"/>
        </w:rPr>
      </w:pPr>
      <w:r>
        <w:rPr>
          <w:noProof/>
          <w:color w:val="000000"/>
        </w:rPr>
        <w:t>в)</w:t>
      </w:r>
      <w:r>
        <w:rPr>
          <w:noProof/>
        </w:rPr>
        <w:tab/>
        <w:t xml:space="preserve">всеки друг инструмент, който ще се използва за въвеждането на официалната помощ за развитие (ОПР) на ЕС. </w:t>
      </w:r>
    </w:p>
    <w:p>
      <w:pPr>
        <w:pStyle w:val="Text1"/>
        <w:rPr>
          <w:noProof/>
        </w:rPr>
      </w:pPr>
      <w:r>
        <w:rPr>
          <w:noProof/>
        </w:rPr>
        <w:t xml:space="preserve">В допълнение ЕС работи за своевременното мобилизиране на ресурси при условията на предвидимост от неговите държави членки. </w:t>
      </w:r>
    </w:p>
    <w:p>
      <w:pPr>
        <w:pStyle w:val="ManualNumPar1"/>
        <w:rPr>
          <w:rFonts w:eastAsia="Times New Roman"/>
          <w:noProof/>
          <w:color w:val="000000"/>
          <w:szCs w:val="24"/>
        </w:rPr>
      </w:pPr>
      <w:r>
        <w:rPr>
          <w:noProof/>
          <w:color w:val="000000"/>
        </w:rPr>
        <w:t>4.</w:t>
      </w:r>
      <w:r>
        <w:rPr>
          <w:noProof/>
        </w:rPr>
        <w:tab/>
      </w:r>
      <w:r>
        <w:rPr>
          <w:noProof/>
          <w:color w:val="000000"/>
        </w:rPr>
        <w:t>Страните съвместно се ангажират да работят за мобилизиране на следните ресурси:</w:t>
      </w:r>
    </w:p>
    <w:p>
      <w:pPr>
        <w:pStyle w:val="Point1"/>
        <w:rPr>
          <w:rFonts w:eastAsia="Times New Roman"/>
          <w:noProof/>
          <w:color w:val="000000"/>
          <w:szCs w:val="24"/>
        </w:rPr>
      </w:pPr>
      <w:r>
        <w:rPr>
          <w:noProof/>
          <w:color w:val="000000"/>
        </w:rPr>
        <w:t>а)</w:t>
      </w:r>
      <w:r>
        <w:rPr>
          <w:noProof/>
        </w:rPr>
        <w:tab/>
      </w:r>
      <w:r>
        <w:rPr>
          <w:noProof/>
          <w:color w:val="000000"/>
        </w:rPr>
        <w:t xml:space="preserve">средства от други донори (многостранни и двустранни донори); </w:t>
      </w:r>
    </w:p>
    <w:p>
      <w:pPr>
        <w:pStyle w:val="Point1"/>
        <w:rPr>
          <w:rFonts w:eastAsia="Times New Roman"/>
          <w:noProof/>
          <w:color w:val="000000"/>
          <w:szCs w:val="24"/>
        </w:rPr>
      </w:pPr>
      <w:r>
        <w:rPr>
          <w:noProof/>
          <w:color w:val="000000"/>
        </w:rPr>
        <w:t>б)</w:t>
      </w:r>
      <w:r>
        <w:rPr>
          <w:noProof/>
        </w:rPr>
        <w:tab/>
      </w:r>
      <w:r>
        <w:rPr>
          <w:noProof/>
          <w:color w:val="000000"/>
        </w:rPr>
        <w:t>безвъзмездни помощи, концесионни заеми, публично-частни партньорства и специализирани инструменти;</w:t>
      </w:r>
    </w:p>
    <w:p>
      <w:pPr>
        <w:pStyle w:val="Point1"/>
        <w:rPr>
          <w:rFonts w:eastAsia="Times New Roman"/>
          <w:noProof/>
          <w:color w:val="000000"/>
          <w:szCs w:val="24"/>
        </w:rPr>
      </w:pPr>
      <w:r>
        <w:rPr>
          <w:noProof/>
          <w:color w:val="000000"/>
        </w:rPr>
        <w:t>в)</w:t>
      </w:r>
      <w:r>
        <w:rPr>
          <w:noProof/>
        </w:rPr>
        <w:tab/>
      </w:r>
      <w:r>
        <w:rPr>
          <w:noProof/>
          <w:color w:val="000000"/>
        </w:rPr>
        <w:t>други ресурси по ОПР, предоставени от партньорите за развитие.</w:t>
      </w:r>
    </w:p>
    <w:p>
      <w:pPr>
        <w:jc w:val="center"/>
        <w:rPr>
          <w:rFonts w:eastAsia="Times New Roman"/>
          <w:b/>
          <w:bCs/>
          <w:noProof/>
          <w:szCs w:val="24"/>
        </w:rPr>
      </w:pPr>
      <w:r>
        <w:rPr>
          <w:b/>
          <w:noProof/>
        </w:rPr>
        <w:t>ЧАСТ VI: ИНСТИТУЦИОНАЛНИ РАЗПОРЕДБИ</w:t>
      </w:r>
    </w:p>
    <w:p>
      <w:pPr>
        <w:pStyle w:val="Titrearticle"/>
        <w:rPr>
          <w:rFonts w:eastAsia="Times New Roman"/>
          <w:b/>
          <w:bCs/>
          <w:noProof/>
          <w:szCs w:val="24"/>
        </w:rPr>
      </w:pPr>
      <w:r>
        <w:rPr>
          <w:b/>
          <w:noProof/>
          <w:color w:val="000000"/>
          <w:kern w:val="32"/>
        </w:rPr>
        <w:t>ЧЛЕН 103</w:t>
      </w:r>
    </w:p>
    <w:p>
      <w:pPr>
        <w:jc w:val="center"/>
        <w:rPr>
          <w:rFonts w:eastAsia="Times New Roman"/>
          <w:b/>
          <w:bCs/>
          <w:noProof/>
          <w:szCs w:val="24"/>
        </w:rPr>
      </w:pPr>
      <w:r>
        <w:rPr>
          <w:b/>
          <w:noProof/>
        </w:rPr>
        <w:t>Обхват и цели</w:t>
      </w:r>
    </w:p>
    <w:p>
      <w:pPr>
        <w:pStyle w:val="ManualNumPar1"/>
        <w:rPr>
          <w:rFonts w:eastAsia="Times New Roman"/>
          <w:noProof/>
          <w:color w:val="000000"/>
          <w:szCs w:val="24"/>
        </w:rPr>
      </w:pPr>
      <w:r>
        <w:rPr>
          <w:noProof/>
        </w:rPr>
        <w:t>1.</w:t>
      </w:r>
      <w:r>
        <w:rPr>
          <w:noProof/>
        </w:rPr>
        <w:tab/>
        <w:t>Разпоредбите на настоящата част се прилагат по отношение на Съвета по СИП, Комитета на висшите служители, Консултативния комитет, както и по отношение на всички институции и комитети, които могат да бъдат създадени по силата на настоящото споразумение.</w:t>
      </w:r>
      <w:r>
        <w:rPr>
          <w:noProof/>
          <w:color w:val="000000"/>
        </w:rPr>
        <w:t xml:space="preserve"> </w:t>
      </w:r>
    </w:p>
    <w:p>
      <w:pPr>
        <w:pStyle w:val="ManualNumPar1"/>
        <w:rPr>
          <w:rFonts w:eastAsia="Times New Roman"/>
          <w:b/>
          <w:noProof/>
          <w:szCs w:val="24"/>
        </w:rPr>
      </w:pPr>
      <w:r>
        <w:rPr>
          <w:noProof/>
          <w:color w:val="000000"/>
        </w:rPr>
        <w:t>2.</w:t>
      </w:r>
      <w:r>
        <w:rPr>
          <w:noProof/>
        </w:rPr>
        <w:tab/>
        <w:t>Целта на настоящата част е създаване на институции, които ще улеснят постигането на целите на настоящото споразумение.</w:t>
      </w:r>
    </w:p>
    <w:p>
      <w:pPr>
        <w:pStyle w:val="Titrearticle"/>
        <w:rPr>
          <w:rFonts w:eastAsia="Times New Roman"/>
          <w:b/>
          <w:iCs/>
          <w:noProof/>
          <w:szCs w:val="24"/>
        </w:rPr>
      </w:pPr>
      <w:r>
        <w:rPr>
          <w:b/>
          <w:noProof/>
          <w:color w:val="000000"/>
          <w:kern w:val="32"/>
        </w:rPr>
        <w:t>ЧЛЕН 104</w:t>
      </w:r>
    </w:p>
    <w:p>
      <w:pPr>
        <w:jc w:val="center"/>
        <w:rPr>
          <w:rFonts w:eastAsia="Times New Roman"/>
          <w:b/>
          <w:bCs/>
          <w:noProof/>
          <w:szCs w:val="24"/>
        </w:rPr>
      </w:pPr>
      <w:r>
        <w:rPr>
          <w:b/>
          <w:noProof/>
        </w:rPr>
        <w:t>Съвет по СИП</w:t>
      </w:r>
    </w:p>
    <w:p>
      <w:pPr>
        <w:pStyle w:val="ManualNumPar1"/>
        <w:rPr>
          <w:rFonts w:eastAsia="Times New Roman"/>
          <w:noProof/>
          <w:color w:val="000000"/>
          <w:szCs w:val="24"/>
        </w:rPr>
      </w:pPr>
      <w:r>
        <w:rPr>
          <w:noProof/>
        </w:rPr>
        <w:t>1.</w:t>
      </w:r>
      <w:r>
        <w:rPr>
          <w:noProof/>
        </w:rPr>
        <w:tab/>
        <w:t>При влизането в сила на настоящото споразумение се създава Съвет по СИП.</w:t>
      </w:r>
    </w:p>
    <w:p>
      <w:pPr>
        <w:pStyle w:val="ManualNumPar1"/>
        <w:rPr>
          <w:rFonts w:eastAsia="Times New Roman"/>
          <w:noProof/>
          <w:color w:val="000000"/>
          <w:szCs w:val="24"/>
        </w:rPr>
      </w:pPr>
      <w:r>
        <w:rPr>
          <w:noProof/>
          <w:color w:val="000000"/>
        </w:rPr>
        <w:t>2.</w:t>
      </w:r>
      <w:r>
        <w:rPr>
          <w:noProof/>
        </w:rPr>
        <w:tab/>
      </w:r>
      <w:r>
        <w:rPr>
          <w:noProof/>
          <w:color w:val="000000"/>
        </w:rPr>
        <w:t>Съветът по СИП се състои от представители на страните на равнище министри.</w:t>
      </w:r>
    </w:p>
    <w:p>
      <w:pPr>
        <w:pStyle w:val="ManualNumPar1"/>
        <w:rPr>
          <w:rFonts w:eastAsia="Times New Roman"/>
          <w:noProof/>
          <w:color w:val="000000"/>
          <w:szCs w:val="24"/>
        </w:rPr>
      </w:pPr>
      <w:r>
        <w:rPr>
          <w:noProof/>
          <w:color w:val="000000"/>
        </w:rPr>
        <w:t>3.</w:t>
      </w:r>
      <w:r>
        <w:rPr>
          <w:noProof/>
        </w:rPr>
        <w:tab/>
      </w:r>
      <w:r>
        <w:rPr>
          <w:noProof/>
          <w:color w:val="000000"/>
        </w:rPr>
        <w:t>Съветът по СИП приема свой процедурен правилник в рамките на шест (6) месеца от влизането в сила на настоящото споразумение.</w:t>
      </w:r>
    </w:p>
    <w:p>
      <w:pPr>
        <w:pStyle w:val="ManualNumPar1"/>
        <w:rPr>
          <w:rFonts w:eastAsia="Times New Roman"/>
          <w:noProof/>
          <w:color w:val="000000"/>
          <w:szCs w:val="24"/>
        </w:rPr>
      </w:pPr>
      <w:r>
        <w:rPr>
          <w:noProof/>
          <w:color w:val="000000"/>
        </w:rPr>
        <w:t>4.</w:t>
      </w:r>
      <w:r>
        <w:rPr>
          <w:noProof/>
        </w:rPr>
        <w:tab/>
      </w:r>
      <w:r>
        <w:rPr>
          <w:noProof/>
          <w:color w:val="000000"/>
        </w:rPr>
        <w:t xml:space="preserve">Съветът по СИП се председателства съвместно от представител на всяка от страните в съответствие с разпоредбите, установени в процедурния му правилник. </w:t>
      </w:r>
    </w:p>
    <w:p>
      <w:pPr>
        <w:pStyle w:val="ManualNumPar1"/>
        <w:rPr>
          <w:rFonts w:eastAsia="Times New Roman"/>
          <w:noProof/>
          <w:color w:val="000000"/>
          <w:szCs w:val="24"/>
        </w:rPr>
      </w:pPr>
      <w:r>
        <w:rPr>
          <w:noProof/>
          <w:color w:val="000000"/>
        </w:rPr>
        <w:t>5.</w:t>
      </w:r>
      <w:r>
        <w:rPr>
          <w:noProof/>
        </w:rPr>
        <w:tab/>
      </w:r>
      <w:r>
        <w:rPr>
          <w:noProof/>
          <w:color w:val="000000"/>
        </w:rPr>
        <w:t>Съветът по СИП провежда срещи редовно, най-малко веднъж на две (2) години, и извънредно, когато обстоятелствата го налагат и при съгласие на страните.</w:t>
      </w:r>
    </w:p>
    <w:p>
      <w:pPr>
        <w:pStyle w:val="ManualNumPar1"/>
        <w:rPr>
          <w:rFonts w:eastAsia="Times New Roman"/>
          <w:noProof/>
          <w:szCs w:val="24"/>
        </w:rPr>
      </w:pPr>
      <w:r>
        <w:rPr>
          <w:noProof/>
          <w:color w:val="000000"/>
        </w:rPr>
        <w:t>6.</w:t>
      </w:r>
      <w:r>
        <w:rPr>
          <w:noProof/>
        </w:rPr>
        <w:tab/>
        <w:t xml:space="preserve">Съветът по СИП отговаря за: </w:t>
      </w:r>
    </w:p>
    <w:p>
      <w:pPr>
        <w:pStyle w:val="Point1"/>
        <w:rPr>
          <w:rFonts w:eastAsia="Times New Roman"/>
          <w:noProof/>
          <w:color w:val="000000"/>
          <w:szCs w:val="24"/>
        </w:rPr>
      </w:pPr>
      <w:r>
        <w:rPr>
          <w:noProof/>
        </w:rPr>
        <w:t>а)</w:t>
      </w:r>
      <w:r>
        <w:rPr>
          <w:noProof/>
        </w:rPr>
        <w:tab/>
        <w:t>действието и прилагането на настоящото споразумение и наблюдението на постигането на неговите цели;</w:t>
      </w:r>
    </w:p>
    <w:p>
      <w:pPr>
        <w:pStyle w:val="Point1"/>
        <w:rPr>
          <w:rFonts w:eastAsia="Times New Roman"/>
          <w:noProof/>
          <w:color w:val="000000"/>
          <w:szCs w:val="24"/>
        </w:rPr>
      </w:pPr>
      <w:r>
        <w:rPr>
          <w:noProof/>
          <w:color w:val="000000"/>
        </w:rPr>
        <w:t>б)</w:t>
      </w:r>
      <w:r>
        <w:rPr>
          <w:noProof/>
        </w:rPr>
        <w:tab/>
      </w:r>
      <w:r>
        <w:rPr>
          <w:noProof/>
          <w:color w:val="000000"/>
        </w:rPr>
        <w:t>проучването на всеки сериозен проблем, възникващ в рамките на настоящото споразумение, както и всеки друг въпрос от общ интерес, засягащ търговията между страните, без да се засягат правата, предоставени съгласно част VII; както и</w:t>
      </w:r>
    </w:p>
    <w:p>
      <w:pPr>
        <w:pStyle w:val="Point1"/>
        <w:rPr>
          <w:rFonts w:eastAsia="Calibri"/>
          <w:b/>
          <w:noProof/>
          <w:szCs w:val="24"/>
        </w:rPr>
      </w:pPr>
      <w:r>
        <w:rPr>
          <w:noProof/>
          <w:color w:val="000000"/>
        </w:rPr>
        <w:t>в)</w:t>
      </w:r>
      <w:r>
        <w:rPr>
          <w:noProof/>
        </w:rPr>
        <w:tab/>
        <w:t>проверката на предложения и препоръки на страните за преразглеждане и изменение на настоящото споразумение.</w:t>
      </w:r>
    </w:p>
    <w:p>
      <w:pPr>
        <w:pStyle w:val="Titrearticle"/>
        <w:rPr>
          <w:rFonts w:eastAsia="Times New Roman"/>
          <w:b/>
          <w:iCs/>
          <w:noProof/>
          <w:szCs w:val="24"/>
        </w:rPr>
      </w:pPr>
      <w:r>
        <w:rPr>
          <w:b/>
          <w:noProof/>
        </w:rPr>
        <w:t>ЧЛЕН 105</w:t>
      </w:r>
    </w:p>
    <w:p>
      <w:pPr>
        <w:jc w:val="center"/>
        <w:rPr>
          <w:rFonts w:eastAsia="Times New Roman"/>
          <w:b/>
          <w:bCs/>
          <w:noProof/>
          <w:szCs w:val="24"/>
        </w:rPr>
      </w:pPr>
      <w:r>
        <w:rPr>
          <w:b/>
          <w:noProof/>
        </w:rPr>
        <w:t>Правомощия на Съвета по СИП</w:t>
      </w:r>
    </w:p>
    <w:p>
      <w:pPr>
        <w:pStyle w:val="ManualNumPar1"/>
        <w:rPr>
          <w:rFonts w:eastAsia="Times New Roman"/>
          <w:noProof/>
          <w:szCs w:val="24"/>
        </w:rPr>
      </w:pPr>
      <w:r>
        <w:rPr>
          <w:noProof/>
        </w:rPr>
        <w:t>1.</w:t>
      </w:r>
      <w:r>
        <w:rPr>
          <w:noProof/>
        </w:rPr>
        <w:tab/>
        <w:t xml:space="preserve">Съветът по СИП има правомощия да взема решения и може да приема препоръки от Комитета на висшите служители в писмен вид по взаимно съгласие. </w:t>
      </w:r>
    </w:p>
    <w:p>
      <w:pPr>
        <w:pStyle w:val="ManualNumPar1"/>
        <w:rPr>
          <w:rFonts w:eastAsia="Times New Roman"/>
          <w:noProof/>
          <w:szCs w:val="24"/>
        </w:rPr>
      </w:pPr>
      <w:r>
        <w:rPr>
          <w:noProof/>
        </w:rPr>
        <w:t>2.</w:t>
      </w:r>
      <w:r>
        <w:rPr>
          <w:noProof/>
        </w:rPr>
        <w:tab/>
        <w:t>Взетите решения са задължителни за страните, които предприемат всички необходими мерки за изпълнението им в съответствие с техните съответни вътрешни правила.</w:t>
      </w:r>
    </w:p>
    <w:p>
      <w:pPr>
        <w:pStyle w:val="ManualNumPar1"/>
        <w:rPr>
          <w:rFonts w:eastAsia="Times New Roman"/>
          <w:noProof/>
          <w:szCs w:val="24"/>
        </w:rPr>
      </w:pPr>
      <w:r>
        <w:rPr>
          <w:noProof/>
        </w:rPr>
        <w:t>3.</w:t>
      </w:r>
      <w:r>
        <w:rPr>
          <w:noProof/>
        </w:rPr>
        <w:tab/>
        <w:t xml:space="preserve">Съветът по СИП изготвя и приема в срок от шест (6) месеца след влизането в сила на настоящото споразумение процедурните правила, необходими за създаването на арбитражния комитет. </w:t>
      </w:r>
    </w:p>
    <w:p>
      <w:pPr>
        <w:pStyle w:val="ManualNumPar1"/>
        <w:rPr>
          <w:rFonts w:eastAsia="Times New Roman"/>
          <w:noProof/>
          <w:szCs w:val="24"/>
        </w:rPr>
      </w:pPr>
      <w:r>
        <w:rPr>
          <w:noProof/>
        </w:rPr>
        <w:t>4.</w:t>
      </w:r>
      <w:r>
        <w:rPr>
          <w:noProof/>
        </w:rPr>
        <w:tab/>
        <w:t xml:space="preserve">За приемането на решения от Съвета по СИП по въпроси, по които държава партньор от ИАО действа самостоятелно, се изисква съгласието на съответната държава партньор от ИАО. </w:t>
      </w:r>
    </w:p>
    <w:p>
      <w:pPr>
        <w:pStyle w:val="Titrearticle"/>
        <w:rPr>
          <w:rFonts w:eastAsia="Times New Roman"/>
          <w:b/>
          <w:iCs/>
          <w:noProof/>
          <w:szCs w:val="24"/>
        </w:rPr>
      </w:pPr>
      <w:r>
        <w:rPr>
          <w:b/>
          <w:noProof/>
        </w:rPr>
        <w:t>ЧЛЕН 106</w:t>
      </w:r>
    </w:p>
    <w:p>
      <w:pPr>
        <w:jc w:val="center"/>
        <w:rPr>
          <w:rFonts w:eastAsia="Times New Roman"/>
          <w:b/>
          <w:bCs/>
          <w:noProof/>
          <w:szCs w:val="24"/>
        </w:rPr>
      </w:pPr>
      <w:r>
        <w:rPr>
          <w:b/>
          <w:noProof/>
        </w:rPr>
        <w:t>Комитет на висшите служители</w:t>
      </w:r>
    </w:p>
    <w:p>
      <w:pPr>
        <w:pStyle w:val="ManualNumPar1"/>
        <w:rPr>
          <w:rFonts w:eastAsia="Times New Roman"/>
          <w:noProof/>
          <w:szCs w:val="24"/>
        </w:rPr>
      </w:pPr>
      <w:r>
        <w:rPr>
          <w:noProof/>
        </w:rPr>
        <w:t>1.</w:t>
      </w:r>
      <w:r>
        <w:rPr>
          <w:noProof/>
        </w:rPr>
        <w:tab/>
        <w:t>При влизането в сила на настоящото споразумение се създава Комитет на висшите служители.</w:t>
      </w:r>
    </w:p>
    <w:p>
      <w:pPr>
        <w:pStyle w:val="ManualNumPar1"/>
        <w:rPr>
          <w:rFonts w:eastAsia="Times New Roman"/>
          <w:noProof/>
          <w:szCs w:val="24"/>
        </w:rPr>
      </w:pPr>
      <w:r>
        <w:rPr>
          <w:noProof/>
        </w:rPr>
        <w:t>2.</w:t>
      </w:r>
      <w:r>
        <w:rPr>
          <w:noProof/>
        </w:rPr>
        <w:tab/>
        <w:t xml:space="preserve">Той се състои от постоянни секретари или главни секретари, в зависимост от случая, от държавите партньори от ИАО и представители на ЕС на равнище висши служители. </w:t>
      </w:r>
    </w:p>
    <w:p>
      <w:pPr>
        <w:pStyle w:val="ManualNumPar1"/>
        <w:rPr>
          <w:rFonts w:eastAsia="Times New Roman"/>
          <w:noProof/>
          <w:szCs w:val="24"/>
        </w:rPr>
      </w:pPr>
      <w:r>
        <w:rPr>
          <w:noProof/>
        </w:rPr>
        <w:t>3.</w:t>
      </w:r>
      <w:r>
        <w:rPr>
          <w:noProof/>
        </w:rPr>
        <w:tab/>
        <w:t>При спазване на всички указания, които могат да бъдат дадени от Съвета по СИП, Комитетът на висшите служители заседава най-малко веднъж годишно и може да провежда извънредни заседания, когато обстоятелствата го изискват, по всяко време, договорено от страните. Комитетът на висшите служители също така заседава преди заседанията на Съвета по СИП.</w:t>
      </w:r>
    </w:p>
    <w:p>
      <w:pPr>
        <w:pStyle w:val="ManualNumPar1"/>
        <w:rPr>
          <w:rFonts w:eastAsia="Times New Roman"/>
          <w:noProof/>
          <w:szCs w:val="24"/>
        </w:rPr>
      </w:pPr>
      <w:r>
        <w:rPr>
          <w:noProof/>
        </w:rPr>
        <w:t>4.</w:t>
      </w:r>
      <w:r>
        <w:rPr>
          <w:noProof/>
        </w:rPr>
        <w:tab/>
        <w:t>Комитетът на висшите служители се председателства съвместно от представител на всяка от страните.</w:t>
      </w:r>
    </w:p>
    <w:p>
      <w:pPr>
        <w:pStyle w:val="ManualNumPar1"/>
        <w:rPr>
          <w:rFonts w:eastAsia="Calibri"/>
          <w:noProof/>
          <w:szCs w:val="24"/>
        </w:rPr>
      </w:pPr>
      <w:r>
        <w:rPr>
          <w:noProof/>
        </w:rPr>
        <w:t>5.</w:t>
      </w:r>
      <w:r>
        <w:rPr>
          <w:noProof/>
        </w:rPr>
        <w:tab/>
        <w:t>Комитетът на висшите служители отговаря за:</w:t>
      </w:r>
    </w:p>
    <w:p>
      <w:pPr>
        <w:pStyle w:val="Point1"/>
        <w:rPr>
          <w:rFonts w:eastAsia="Calibri"/>
          <w:noProof/>
          <w:szCs w:val="24"/>
        </w:rPr>
      </w:pPr>
      <w:r>
        <w:rPr>
          <w:noProof/>
        </w:rPr>
        <w:t>а)</w:t>
      </w:r>
      <w:r>
        <w:rPr>
          <w:noProof/>
        </w:rPr>
        <w:tab/>
        <w:t xml:space="preserve">подпомагането на Съвета по СИП при осъществяване на дейността му; </w:t>
      </w:r>
    </w:p>
    <w:p>
      <w:pPr>
        <w:pStyle w:val="Point1"/>
        <w:rPr>
          <w:rFonts w:eastAsia="Calibri"/>
          <w:noProof/>
          <w:szCs w:val="24"/>
        </w:rPr>
      </w:pPr>
      <w:r>
        <w:rPr>
          <w:noProof/>
        </w:rPr>
        <w:t>б)</w:t>
      </w:r>
      <w:r>
        <w:rPr>
          <w:noProof/>
        </w:rPr>
        <w:tab/>
        <w:t>получаването и разглеждането на доклади от специализираните комитети, работните сесии, работните групи или други органи, създадени от Комитета съгласно член 107, параграф 1, и координирането на техните дейности, както и отправянето на препоръки за обсъждане от Съвета по СИП;</w:t>
      </w:r>
    </w:p>
    <w:p>
      <w:pPr>
        <w:pStyle w:val="Point1"/>
        <w:rPr>
          <w:rFonts w:eastAsia="Calibri"/>
          <w:noProof/>
          <w:szCs w:val="24"/>
        </w:rPr>
      </w:pPr>
      <w:r>
        <w:rPr>
          <w:noProof/>
        </w:rPr>
        <w:t>в)</w:t>
      </w:r>
      <w:r>
        <w:rPr>
          <w:noProof/>
        </w:rPr>
        <w:tab/>
        <w:t>представянето на Съвета по СИП на доклади и препоръки относно прилагането на настоящото споразумение, било по своя собствена инициатива или по искане на Съвета по СИП, или по искане на някоя от страните;</w:t>
      </w:r>
    </w:p>
    <w:p>
      <w:pPr>
        <w:pStyle w:val="Point1"/>
        <w:rPr>
          <w:rFonts w:eastAsia="Calibri"/>
          <w:b/>
          <w:noProof/>
          <w:szCs w:val="24"/>
        </w:rPr>
      </w:pPr>
      <w:r>
        <w:rPr>
          <w:noProof/>
        </w:rPr>
        <w:t>г)</w:t>
      </w:r>
      <w:r>
        <w:rPr>
          <w:noProof/>
        </w:rPr>
        <w:tab/>
        <w:t>в областта на търговията:</w:t>
      </w:r>
    </w:p>
    <w:p>
      <w:pPr>
        <w:pStyle w:val="Point2"/>
        <w:rPr>
          <w:noProof/>
        </w:rPr>
      </w:pPr>
      <w:r>
        <w:rPr>
          <w:noProof/>
        </w:rPr>
        <w:t>i)</w:t>
      </w:r>
      <w:r>
        <w:rPr>
          <w:noProof/>
        </w:rPr>
        <w:tab/>
        <w:t>осъществяването на надзор и поемането на отговорност за изпълнението и правилното прилагане на разпоредбите на настоящото споразумение, както и разглеждането и препоръчването на области за сътрудничество в това отношение;</w:t>
      </w:r>
    </w:p>
    <w:p>
      <w:pPr>
        <w:pStyle w:val="Point2"/>
        <w:rPr>
          <w:noProof/>
        </w:rPr>
      </w:pPr>
      <w:r>
        <w:rPr>
          <w:noProof/>
        </w:rPr>
        <w:t>ii)</w:t>
      </w:r>
      <w:r>
        <w:rPr>
          <w:noProof/>
        </w:rPr>
        <w:tab/>
        <w:t>предприемането на действия за избягване и уреждане на спорове, които могат да възникнат относно тълкуването или прилагането на споразумението, в съответствие с разпоредбите на дял I от част VII;</w:t>
      </w:r>
    </w:p>
    <w:p>
      <w:pPr>
        <w:pStyle w:val="Point2"/>
        <w:rPr>
          <w:noProof/>
        </w:rPr>
      </w:pPr>
      <w:r>
        <w:rPr>
          <w:noProof/>
        </w:rPr>
        <w:t>iii)</w:t>
      </w:r>
      <w:r>
        <w:rPr>
          <w:noProof/>
        </w:rPr>
        <w:tab/>
        <w:t>подпомагането на Съвета по СИП при изпълнението на функциите му, включително изготвянето на препоръки за решения, които да бъдат взети от Съвета по СИП;</w:t>
      </w:r>
    </w:p>
    <w:p>
      <w:pPr>
        <w:pStyle w:val="Point2"/>
        <w:rPr>
          <w:noProof/>
        </w:rPr>
      </w:pPr>
      <w:r>
        <w:rPr>
          <w:noProof/>
        </w:rPr>
        <w:t>iv)</w:t>
      </w:r>
      <w:r>
        <w:rPr>
          <w:noProof/>
        </w:rPr>
        <w:tab/>
        <w:t>наблюдаването на развитието на регионалната интеграция и на икономическите и търговските отношения между страните;</w:t>
      </w:r>
    </w:p>
    <w:p>
      <w:pPr>
        <w:pStyle w:val="Point2"/>
        <w:rPr>
          <w:noProof/>
        </w:rPr>
      </w:pPr>
      <w:r>
        <w:rPr>
          <w:noProof/>
        </w:rPr>
        <w:t>v)</w:t>
      </w:r>
      <w:r>
        <w:rPr>
          <w:noProof/>
        </w:rPr>
        <w:tab/>
        <w:t xml:space="preserve">наблюдаването и оценката на въздействието на прилагането на настоящото споразумение върху устойчивото развитие на страните; </w:t>
      </w:r>
    </w:p>
    <w:p>
      <w:pPr>
        <w:pStyle w:val="Point2"/>
        <w:rPr>
          <w:noProof/>
        </w:rPr>
      </w:pPr>
      <w:r>
        <w:rPr>
          <w:noProof/>
        </w:rPr>
        <w:t>vi)</w:t>
      </w:r>
      <w:r>
        <w:rPr>
          <w:noProof/>
        </w:rPr>
        <w:tab/>
        <w:t>обсъждането и предприемането на действия, които могат да улеснят търговията, инвестициите и възможностите за бизнес между страните; както и</w:t>
      </w:r>
    </w:p>
    <w:p>
      <w:pPr>
        <w:pStyle w:val="Point2"/>
        <w:rPr>
          <w:noProof/>
        </w:rPr>
      </w:pPr>
      <w:r>
        <w:rPr>
          <w:noProof/>
        </w:rPr>
        <w:t>vii)</w:t>
      </w:r>
      <w:r>
        <w:rPr>
          <w:noProof/>
        </w:rPr>
        <w:tab/>
        <w:t>обсъждането на всякакви въпроси, които се отнасят до настоящото споразумение, както и на всеки въпрос, който би могъл да повлияе на постигането на неговите цели;</w:t>
      </w:r>
    </w:p>
    <w:p>
      <w:pPr>
        <w:pStyle w:val="Point1"/>
        <w:rPr>
          <w:rFonts w:eastAsia="Times New Roman"/>
          <w:b/>
          <w:noProof/>
          <w:szCs w:val="24"/>
        </w:rPr>
      </w:pPr>
      <w:r>
        <w:rPr>
          <w:noProof/>
        </w:rPr>
        <w:t>д)</w:t>
      </w:r>
      <w:r>
        <w:rPr>
          <w:noProof/>
        </w:rPr>
        <w:tab/>
        <w:t>в областта на развитието:</w:t>
      </w:r>
    </w:p>
    <w:p>
      <w:pPr>
        <w:pStyle w:val="Point2"/>
        <w:rPr>
          <w:noProof/>
        </w:rPr>
      </w:pPr>
      <w:r>
        <w:rPr>
          <w:noProof/>
        </w:rPr>
        <w:t>i)</w:t>
      </w:r>
      <w:r>
        <w:rPr>
          <w:noProof/>
        </w:rPr>
        <w:tab/>
        <w:t>подпомагането на Съвета по СИП при осъществяването на функциите му във връзка с въпроси от областта на сътрудничеството за развитие, попадащи в обхвата на настоящото споразумение;</w:t>
      </w:r>
    </w:p>
    <w:p>
      <w:pPr>
        <w:pStyle w:val="Point2"/>
        <w:rPr>
          <w:noProof/>
        </w:rPr>
      </w:pPr>
      <w:r>
        <w:rPr>
          <w:noProof/>
        </w:rPr>
        <w:t>ii)</w:t>
      </w:r>
      <w:r>
        <w:rPr>
          <w:noProof/>
        </w:rPr>
        <w:tab/>
        <w:t xml:space="preserve">наблюдаването на прилагането на разпоредбите за сътрудничество, предвидени в настоящото споразумение, и координирането на такива действия с трети страни донори; </w:t>
      </w:r>
    </w:p>
    <w:p>
      <w:pPr>
        <w:pStyle w:val="Point2"/>
        <w:rPr>
          <w:noProof/>
        </w:rPr>
      </w:pPr>
      <w:r>
        <w:rPr>
          <w:noProof/>
        </w:rPr>
        <w:t>iii)</w:t>
      </w:r>
      <w:r>
        <w:rPr>
          <w:noProof/>
        </w:rPr>
        <w:tab/>
        <w:t>отправянето на препоръки относно сътрудничеството между страните в областта на търговията;</w:t>
      </w:r>
    </w:p>
    <w:p>
      <w:pPr>
        <w:pStyle w:val="Point2"/>
        <w:rPr>
          <w:noProof/>
        </w:rPr>
      </w:pPr>
      <w:r>
        <w:rPr>
          <w:noProof/>
        </w:rPr>
        <w:t>iv)</w:t>
      </w:r>
      <w:r>
        <w:rPr>
          <w:noProof/>
        </w:rPr>
        <w:tab/>
        <w:t>периодичното преразглеждане на определените в настоящото споразумение области за сътрудничество, както и отправянето на препоръки за включването на нови приоритети по целесъобразност; както и</w:t>
      </w:r>
    </w:p>
    <w:p>
      <w:pPr>
        <w:pStyle w:val="Point2"/>
        <w:rPr>
          <w:rFonts w:eastAsia="Times New Roman"/>
          <w:noProof/>
          <w:szCs w:val="24"/>
        </w:rPr>
      </w:pPr>
      <w:r>
        <w:rPr>
          <w:noProof/>
        </w:rPr>
        <w:t>v)</w:t>
      </w:r>
      <w:r>
        <w:rPr>
          <w:noProof/>
        </w:rPr>
        <w:tab/>
        <w:t>разглеждането и обсъждането на въпроси относно сътрудничеството в областта на регионалната интеграция и прилагането на настоящото споразумение.</w:t>
      </w:r>
    </w:p>
    <w:p>
      <w:pPr>
        <w:pStyle w:val="Titrearticle"/>
        <w:rPr>
          <w:rFonts w:eastAsia="Times New Roman"/>
          <w:b/>
          <w:noProof/>
          <w:szCs w:val="24"/>
        </w:rPr>
      </w:pPr>
      <w:r>
        <w:rPr>
          <w:b/>
          <w:noProof/>
        </w:rPr>
        <w:t>ЧЛЕН 107</w:t>
      </w:r>
    </w:p>
    <w:p>
      <w:pPr>
        <w:jc w:val="center"/>
        <w:rPr>
          <w:rFonts w:eastAsia="Times New Roman"/>
          <w:b/>
          <w:noProof/>
          <w:szCs w:val="24"/>
        </w:rPr>
      </w:pPr>
      <w:r>
        <w:rPr>
          <w:b/>
          <w:noProof/>
        </w:rPr>
        <w:t>Правомощия на Комитета на висшите служители</w:t>
      </w:r>
    </w:p>
    <w:p>
      <w:pPr>
        <w:pStyle w:val="ManualNumPar1"/>
        <w:rPr>
          <w:rFonts w:eastAsia="Times New Roman"/>
          <w:noProof/>
          <w:szCs w:val="24"/>
        </w:rPr>
      </w:pPr>
      <w:r>
        <w:rPr>
          <w:noProof/>
        </w:rPr>
        <w:t>1.</w:t>
      </w:r>
      <w:r>
        <w:rPr>
          <w:noProof/>
        </w:rPr>
        <w:tab/>
        <w:t>При изпълнението на функциите си Комитетът на висшите служители:</w:t>
      </w:r>
    </w:p>
    <w:p>
      <w:pPr>
        <w:pStyle w:val="Point1"/>
        <w:rPr>
          <w:rFonts w:eastAsia="Times New Roman"/>
          <w:noProof/>
          <w:szCs w:val="24"/>
        </w:rPr>
      </w:pPr>
      <w:r>
        <w:rPr>
          <w:noProof/>
        </w:rPr>
        <w:t>а)</w:t>
      </w:r>
      <w:r>
        <w:rPr>
          <w:noProof/>
        </w:rPr>
        <w:tab/>
        <w:t>установява по целесъобразност специализирани комитети, работни сесии, работни групи или органи, занимаващи се с въпроси от неговата компетентност, като им дава указания и осъществява надзор над тях, и определя техния състав, задължения и процедурни правила, освен ако не е предвидено друго в настоящото споразумение;</w:t>
      </w:r>
    </w:p>
    <w:p>
      <w:pPr>
        <w:pStyle w:val="Point1"/>
        <w:rPr>
          <w:rFonts w:eastAsia="Times New Roman"/>
          <w:noProof/>
          <w:szCs w:val="24"/>
        </w:rPr>
      </w:pPr>
      <w:r>
        <w:rPr>
          <w:noProof/>
        </w:rPr>
        <w:t>б)</w:t>
      </w:r>
      <w:r>
        <w:rPr>
          <w:noProof/>
        </w:rPr>
        <w:tab/>
        <w:t>взема решения или приема препоръки в случаите, когато това е предвидено в настоящото споразумение или когато такива изпълнителни правомощия са му били делегирани от Съвета по СИП, като в такива случаи Комитетът взема решения или отправя препоръки в съответствие с условията, установени в член 105; както и</w:t>
      </w:r>
    </w:p>
    <w:p>
      <w:pPr>
        <w:pStyle w:val="Point1"/>
        <w:rPr>
          <w:rFonts w:eastAsia="Times New Roman"/>
          <w:noProof/>
          <w:szCs w:val="24"/>
        </w:rPr>
      </w:pPr>
      <w:r>
        <w:rPr>
          <w:noProof/>
        </w:rPr>
        <w:t>в)</w:t>
      </w:r>
      <w:r>
        <w:rPr>
          <w:noProof/>
        </w:rPr>
        <w:tab/>
        <w:t>разглежда всякакви въпроси, попадащи в обхвата на настоящото споразумение, и предприема подходящи действия при изпълнението на функциите си.</w:t>
      </w:r>
    </w:p>
    <w:p>
      <w:pPr>
        <w:pStyle w:val="ManualNumPar1"/>
        <w:rPr>
          <w:rFonts w:eastAsia="Times New Roman"/>
          <w:noProof/>
          <w:szCs w:val="24"/>
        </w:rPr>
      </w:pPr>
      <w:r>
        <w:rPr>
          <w:noProof/>
        </w:rPr>
        <w:t>2.</w:t>
      </w:r>
      <w:r>
        <w:rPr>
          <w:noProof/>
        </w:rPr>
        <w:tab/>
        <w:t>За да упражнява функциите, предвидени в параграф 1, буква а), Комитетът провежда специални работни сесии.</w:t>
      </w:r>
    </w:p>
    <w:p>
      <w:pPr>
        <w:pStyle w:val="ManualNumPar1"/>
        <w:rPr>
          <w:rFonts w:eastAsia="Times New Roman"/>
          <w:noProof/>
          <w:szCs w:val="24"/>
        </w:rPr>
      </w:pPr>
      <w:r>
        <w:rPr>
          <w:noProof/>
        </w:rPr>
        <w:t>3.</w:t>
      </w:r>
      <w:r>
        <w:rPr>
          <w:noProof/>
        </w:rPr>
        <w:tab/>
        <w:t>Комитетът приема свой процедурен правилник в рамките на три (3) месеца от влизането в сила на настоящото споразумение.</w:t>
      </w:r>
    </w:p>
    <w:p>
      <w:pPr>
        <w:pStyle w:val="Titrearticle"/>
        <w:rPr>
          <w:rFonts w:eastAsia="Times New Roman"/>
          <w:b/>
          <w:bCs/>
          <w:noProof/>
          <w:szCs w:val="24"/>
        </w:rPr>
      </w:pPr>
      <w:r>
        <w:rPr>
          <w:b/>
          <w:noProof/>
        </w:rPr>
        <w:t>ЧЛЕН 108</w:t>
      </w:r>
    </w:p>
    <w:p>
      <w:pPr>
        <w:jc w:val="center"/>
        <w:rPr>
          <w:b/>
          <w:noProof/>
        </w:rPr>
      </w:pPr>
      <w:r>
        <w:rPr>
          <w:b/>
          <w:noProof/>
        </w:rPr>
        <w:t>Консултативен комитет по СИП</w:t>
      </w:r>
    </w:p>
    <w:p>
      <w:pPr>
        <w:pStyle w:val="ManualNumPar1"/>
        <w:rPr>
          <w:rFonts w:eastAsia="Times New Roman"/>
          <w:noProof/>
          <w:szCs w:val="24"/>
        </w:rPr>
      </w:pPr>
      <w:r>
        <w:rPr>
          <w:noProof/>
        </w:rPr>
        <w:t>1.</w:t>
      </w:r>
      <w:r>
        <w:rPr>
          <w:noProof/>
        </w:rPr>
        <w:tab/>
        <w:t>Създава се Консултативен комитет по СИП със задачата да оказва съдействие на Комитета на висшите служители за насърчаване на диалога и сътрудничеството между представителите на частния сектор, организациите на гражданското общество, включително на академичната общност, и социалните и икономическите партньори. Диалогът и сътрудничеството включват всички въпроси, попадащи в обхвата на настоящото споразумение, които възникват в контекста на прилагането му.</w:t>
      </w:r>
    </w:p>
    <w:p>
      <w:pPr>
        <w:pStyle w:val="ManualNumPar1"/>
        <w:rPr>
          <w:rFonts w:eastAsia="Times New Roman"/>
          <w:noProof/>
          <w:szCs w:val="24"/>
        </w:rPr>
      </w:pPr>
      <w:r>
        <w:rPr>
          <w:noProof/>
        </w:rPr>
        <w:t>2.</w:t>
      </w:r>
      <w:r>
        <w:rPr>
          <w:noProof/>
        </w:rPr>
        <w:tab/>
        <w:t>Решение относно участието в Консултативния комитет по СИП се взема от Съвета по СИП по препоръки на Комитета на висшите служители с цел да се осигури широко представяне на всички заинтересовани страни.</w:t>
      </w:r>
    </w:p>
    <w:p>
      <w:pPr>
        <w:pStyle w:val="ManualNumPar1"/>
        <w:rPr>
          <w:rFonts w:eastAsia="Times New Roman"/>
          <w:noProof/>
          <w:szCs w:val="24"/>
        </w:rPr>
      </w:pPr>
      <w:r>
        <w:rPr>
          <w:noProof/>
        </w:rPr>
        <w:t>3.</w:t>
      </w:r>
      <w:r>
        <w:rPr>
          <w:noProof/>
        </w:rPr>
        <w:tab/>
        <w:t xml:space="preserve">Консултативният комитет по СИП осъществява дейностите си въз основа на искане за консултация от страна на Комитета на висшите служители или по своя собствена инициатива и отправя препоръки към Комитета на висшите служители. Представителите на страните присъстват на заседанията на Консултативния комитет по СИП. </w:t>
      </w:r>
    </w:p>
    <w:p>
      <w:pPr>
        <w:pStyle w:val="ManualNumPar1"/>
        <w:rPr>
          <w:rFonts w:eastAsia="Times New Roman"/>
          <w:noProof/>
          <w:szCs w:val="24"/>
        </w:rPr>
      </w:pPr>
      <w:r>
        <w:rPr>
          <w:noProof/>
        </w:rPr>
        <w:t>4.</w:t>
      </w:r>
      <w:r>
        <w:rPr>
          <w:noProof/>
        </w:rPr>
        <w:tab/>
        <w:t xml:space="preserve">Консултативният комитет по СИП приема свой процедурен правилник в рамките на три (3) месеца след създаването си със съгласието на Комитета на висшите служители. </w:t>
      </w:r>
    </w:p>
    <w:p>
      <w:pPr>
        <w:jc w:val="center"/>
        <w:rPr>
          <w:rFonts w:eastAsia="Calibri"/>
          <w:b/>
          <w:iCs/>
          <w:noProof/>
          <w:szCs w:val="24"/>
        </w:rPr>
      </w:pPr>
      <w:r>
        <w:rPr>
          <w:b/>
          <w:noProof/>
        </w:rPr>
        <w:t>ЧАСТ VII: ПРЕДОТВРАТЯВАНЕ И УРЕЖДАНЕ НА СПОРОВЕ</w:t>
      </w:r>
    </w:p>
    <w:p>
      <w:pPr>
        <w:pStyle w:val="Titrearticle"/>
        <w:rPr>
          <w:rFonts w:eastAsia="Times New Roman"/>
          <w:b/>
          <w:bCs/>
          <w:noProof/>
          <w:szCs w:val="24"/>
        </w:rPr>
      </w:pPr>
      <w:r>
        <w:rPr>
          <w:b/>
          <w:noProof/>
        </w:rPr>
        <w:t>ЧЛЕН 109</w:t>
      </w:r>
    </w:p>
    <w:p>
      <w:pPr>
        <w:jc w:val="center"/>
        <w:rPr>
          <w:rFonts w:eastAsia="Times New Roman"/>
          <w:bCs/>
          <w:noProof/>
          <w:szCs w:val="24"/>
        </w:rPr>
      </w:pPr>
      <w:r>
        <w:rPr>
          <w:b/>
          <w:noProof/>
        </w:rPr>
        <w:t>Обхват и цел</w:t>
      </w:r>
    </w:p>
    <w:p>
      <w:pPr>
        <w:pStyle w:val="ManualNumPar1"/>
        <w:rPr>
          <w:rFonts w:eastAsia="Times New Roman"/>
          <w:noProof/>
          <w:szCs w:val="24"/>
        </w:rPr>
      </w:pPr>
      <w:r>
        <w:rPr>
          <w:noProof/>
        </w:rPr>
        <w:t>1.</w:t>
      </w:r>
      <w:r>
        <w:rPr>
          <w:noProof/>
        </w:rPr>
        <w:tab/>
        <w:t xml:space="preserve">Настоящата част се прилага за всеки спор, свързан с тълкуването и прилагането на разпоредбите на настоящото споразумение, освен ако не е предвидено друго. </w:t>
      </w:r>
    </w:p>
    <w:p>
      <w:pPr>
        <w:pStyle w:val="ManualNumPar1"/>
        <w:rPr>
          <w:rFonts w:eastAsia="Times New Roman"/>
          <w:b/>
          <w:noProof/>
          <w:szCs w:val="24"/>
        </w:rPr>
      </w:pPr>
      <w:r>
        <w:rPr>
          <w:noProof/>
        </w:rPr>
        <w:t>2.</w:t>
      </w:r>
      <w:r>
        <w:rPr>
          <w:noProof/>
        </w:rPr>
        <w:tab/>
        <w:t xml:space="preserve">Целта на настоящата част е предотвратяване и уреждане на спорове между страните, свързани с добросъвестното тълкуване и прилагане на настоящото споразумение, и постигане на решение по взаимно съгласие, когато това е възможно. </w:t>
      </w:r>
    </w:p>
    <w:p>
      <w:pPr>
        <w:jc w:val="center"/>
        <w:rPr>
          <w:b/>
          <w:noProof/>
          <w:sz w:val="28"/>
          <w:szCs w:val="28"/>
        </w:rPr>
      </w:pPr>
      <w:r>
        <w:rPr>
          <w:b/>
          <w:noProof/>
          <w:sz w:val="28"/>
        </w:rPr>
        <w:t>ДЯЛ I: ПРЕДОТВРАТЯВАНЕ НА СПОРОВЕ</w:t>
      </w:r>
    </w:p>
    <w:p>
      <w:pPr>
        <w:pStyle w:val="Titrearticle"/>
        <w:rPr>
          <w:rFonts w:eastAsia="Times New Roman"/>
          <w:b/>
          <w:bCs/>
          <w:noProof/>
          <w:szCs w:val="24"/>
        </w:rPr>
      </w:pPr>
      <w:r>
        <w:rPr>
          <w:b/>
          <w:noProof/>
        </w:rPr>
        <w:t>ЧЛЕН 110</w:t>
      </w:r>
    </w:p>
    <w:p>
      <w:pPr>
        <w:jc w:val="center"/>
        <w:rPr>
          <w:rFonts w:eastAsia="Times New Roman"/>
          <w:b/>
          <w:noProof/>
          <w:szCs w:val="24"/>
        </w:rPr>
      </w:pPr>
      <w:r>
        <w:rPr>
          <w:b/>
          <w:noProof/>
        </w:rPr>
        <w:t>Консултации</w:t>
      </w:r>
    </w:p>
    <w:p>
      <w:pPr>
        <w:pStyle w:val="ManualNumPar1"/>
        <w:rPr>
          <w:rFonts w:eastAsia="Times New Roman"/>
          <w:noProof/>
          <w:szCs w:val="24"/>
        </w:rPr>
      </w:pPr>
      <w:r>
        <w:rPr>
          <w:noProof/>
        </w:rPr>
        <w:t>1.</w:t>
      </w:r>
      <w:r>
        <w:rPr>
          <w:noProof/>
        </w:rPr>
        <w:tab/>
        <w:t>Страните започват добросъвестни консултации и полагат усилия за разрешаване на всеки един спор относно тълкуването и прилагането на настоящото споразумение с цел постигане на решение по взаимно съгласие.</w:t>
      </w:r>
    </w:p>
    <w:p>
      <w:pPr>
        <w:pStyle w:val="ManualNumPar1"/>
        <w:rPr>
          <w:rFonts w:eastAsia="Times New Roman"/>
          <w:noProof/>
          <w:szCs w:val="24"/>
        </w:rPr>
      </w:pPr>
      <w:r>
        <w:rPr>
          <w:noProof/>
        </w:rPr>
        <w:t>2.</w:t>
      </w:r>
      <w:r>
        <w:rPr>
          <w:noProof/>
        </w:rPr>
        <w:tab/>
        <w:t xml:space="preserve">Едната страна може да поиска провеждане на консултации, като изпрати до другата страна писмено искане, с копие до Комитета на висшите служители, в което се посочват спорната мярка и разпоредбите от споразумението, с които смята, че мярката не е съобразена. </w:t>
      </w:r>
    </w:p>
    <w:p>
      <w:pPr>
        <w:pStyle w:val="ManualNumPar1"/>
        <w:rPr>
          <w:rFonts w:eastAsia="Times New Roman"/>
          <w:b/>
          <w:noProof/>
          <w:szCs w:val="24"/>
        </w:rPr>
      </w:pPr>
      <w:r>
        <w:rPr>
          <w:noProof/>
        </w:rPr>
        <w:t>3.</w:t>
      </w:r>
      <w:r>
        <w:rPr>
          <w:noProof/>
        </w:rPr>
        <w:tab/>
        <w:t xml:space="preserve">Освен ако страните не се споразумеят друго, консултациите се провеждат на територията на страната ответник и в рамките на двадесет (20) дни от датата на получаване на искането. Консултациите се считат за приключени след изтичане на шестдесет (60) дни от датата на получаване на искането от страната ответник, освен ако страните не се споразумеят да ги продължат. Цялата информация, разкрита по време на консултациите, остава поверителна. </w:t>
      </w:r>
    </w:p>
    <w:p>
      <w:pPr>
        <w:pStyle w:val="ManualNumPar1"/>
        <w:rPr>
          <w:rFonts w:eastAsia="Times New Roman"/>
          <w:noProof/>
          <w:szCs w:val="24"/>
        </w:rPr>
      </w:pPr>
      <w:r>
        <w:rPr>
          <w:noProof/>
        </w:rPr>
        <w:t>4.</w:t>
      </w:r>
      <w:r>
        <w:rPr>
          <w:noProof/>
        </w:rPr>
        <w:tab/>
        <w:t>Консултациите по спешни въпроси, включително тези, които са свързани с малотрайни или сезонни стоки, се провеждат веднага щом това е възможно на практика и във всеки случай в рамките на петнадесет (15) дни от датата на получаване на искането, и се считат за приключени след изтичане на тридесет (30) дни от датата на получаване на искането, освен ако страните не се споразумеят да продължат консултациите.</w:t>
      </w:r>
    </w:p>
    <w:p>
      <w:pPr>
        <w:pStyle w:val="ManualNumPar1"/>
        <w:rPr>
          <w:rFonts w:eastAsia="Times New Roman"/>
          <w:noProof/>
          <w:szCs w:val="24"/>
        </w:rPr>
      </w:pPr>
      <w:r>
        <w:rPr>
          <w:noProof/>
        </w:rPr>
        <w:t>5.</w:t>
      </w:r>
      <w:r>
        <w:rPr>
          <w:noProof/>
        </w:rPr>
        <w:tab/>
        <w:t>Ако страната, до която е отправено искането, не отговори на искането за консултации в рамките на десет (10) дни от датата на получаването му, или ако консултации не бъдат проведени в сроковете, предвидени съответно в параграф 3 или параграф 4 по-горе, или ако консултациите са приключили, без да се стигне до решение по взаимно съгласие, всяка от страните може да поиска уреждане на спора чрез арбитраж в съответствие с член 112.</w:t>
      </w:r>
    </w:p>
    <w:p>
      <w:pPr>
        <w:pStyle w:val="ManualNumPar1"/>
        <w:rPr>
          <w:rFonts w:eastAsia="Times New Roman"/>
          <w:b/>
          <w:noProof/>
          <w:szCs w:val="24"/>
        </w:rPr>
      </w:pPr>
      <w:r>
        <w:rPr>
          <w:noProof/>
        </w:rPr>
        <w:t>6.</w:t>
      </w:r>
      <w:r>
        <w:rPr>
          <w:noProof/>
        </w:rPr>
        <w:tab/>
        <w:t xml:space="preserve">Страните могат да се споразумеят за промяна на сроковете, посочени в параграфи от 3 — 5 по-горе, предвид сложността на случая или трудностите, с които се сблъсква някоя от тях. </w:t>
      </w:r>
    </w:p>
    <w:p>
      <w:pPr>
        <w:pStyle w:val="Titrearticle"/>
        <w:rPr>
          <w:rFonts w:eastAsia="Times New Roman"/>
          <w:b/>
          <w:noProof/>
          <w:szCs w:val="24"/>
        </w:rPr>
      </w:pPr>
      <w:r>
        <w:rPr>
          <w:b/>
          <w:noProof/>
        </w:rPr>
        <w:t>ЧЛЕН 111</w:t>
      </w:r>
    </w:p>
    <w:p>
      <w:pPr>
        <w:jc w:val="center"/>
        <w:rPr>
          <w:rFonts w:eastAsia="Times New Roman"/>
          <w:b/>
          <w:bCs/>
          <w:noProof/>
          <w:szCs w:val="24"/>
        </w:rPr>
      </w:pPr>
      <w:r>
        <w:rPr>
          <w:b/>
          <w:noProof/>
        </w:rPr>
        <w:t>Медиация</w:t>
      </w:r>
    </w:p>
    <w:p>
      <w:pPr>
        <w:pStyle w:val="ManualNumPar1"/>
        <w:rPr>
          <w:rFonts w:eastAsia="Times New Roman"/>
          <w:noProof/>
          <w:szCs w:val="24"/>
        </w:rPr>
      </w:pPr>
      <w:r>
        <w:rPr>
          <w:noProof/>
        </w:rPr>
        <w:t>1.</w:t>
      </w:r>
      <w:r>
        <w:rPr>
          <w:noProof/>
        </w:rPr>
        <w:tab/>
        <w:t xml:space="preserve">Ако след консултациите страните не достигнат до решение по взаимно съгласие, те могат по взаимно съгласие да прибягнат до медиатор. Медиацията ще има за предмет същите въпроси, които са посочени в заявлението за провеждане на консултации, освен ако страните не се споразумеят друго. </w:t>
      </w:r>
    </w:p>
    <w:p>
      <w:pPr>
        <w:pStyle w:val="ManualNumPar1"/>
        <w:rPr>
          <w:rFonts w:eastAsia="Times New Roman"/>
          <w:noProof/>
          <w:szCs w:val="24"/>
        </w:rPr>
      </w:pPr>
      <w:r>
        <w:rPr>
          <w:noProof/>
        </w:rPr>
        <w:t>2.</w:t>
      </w:r>
      <w:r>
        <w:rPr>
          <w:noProof/>
        </w:rPr>
        <w:tab/>
        <w:t xml:space="preserve">Всяка от страните може да пристъпи към арбитраж по член 112, без да прибягва до медиация. </w:t>
      </w:r>
    </w:p>
    <w:p>
      <w:pPr>
        <w:pStyle w:val="ManualNumPar1"/>
        <w:rPr>
          <w:rFonts w:eastAsia="Times New Roman"/>
          <w:noProof/>
          <w:szCs w:val="24"/>
        </w:rPr>
      </w:pPr>
      <w:r>
        <w:rPr>
          <w:noProof/>
        </w:rPr>
        <w:t>3.</w:t>
      </w:r>
      <w:r>
        <w:rPr>
          <w:noProof/>
        </w:rPr>
        <w:tab/>
        <w:t>Ако страните не се споразумеят за избора на медиатор в рамките на петнадесет (15) дни след постигането на съгласие за подаване на искане за медиация, председателят на Комитета на висшите служители или негов представител определя медиатор чрез жребий сред посочените в списъка по член 125 лица, които не са граждани на никоя от страните. Изборът се прави в рамките на двадесет и пет (25) дни от датата на предаване на искането за медиация в присъствието на представител на всяка от страните. Медиаторът свиква среща със страните не по-късно от тридесет (30) дни след като бъде избран. Той получава становищата на всяка от страните не по-късно от петнадесет (15) дни преди срещата и обявява становището си не по-късно от четиридесет и пет (45) дни, след като бъде избран.</w:t>
      </w:r>
    </w:p>
    <w:p>
      <w:pPr>
        <w:pStyle w:val="ManualNumPar1"/>
        <w:rPr>
          <w:rFonts w:eastAsia="Times New Roman"/>
          <w:noProof/>
          <w:szCs w:val="24"/>
        </w:rPr>
      </w:pPr>
      <w:r>
        <w:rPr>
          <w:noProof/>
        </w:rPr>
        <w:t>4.</w:t>
      </w:r>
      <w:r>
        <w:rPr>
          <w:noProof/>
        </w:rPr>
        <w:tab/>
        <w:t>В своето становище медиаторът може да включи препоръка за начин на разрешаване на спора, който да е в съответствие с разпоредбите на настоящото споразумение. Неговото становище не е обвързващо.</w:t>
      </w:r>
    </w:p>
    <w:p>
      <w:pPr>
        <w:pStyle w:val="ManualNumPar1"/>
        <w:rPr>
          <w:rFonts w:eastAsia="Times New Roman"/>
          <w:noProof/>
          <w:szCs w:val="24"/>
        </w:rPr>
      </w:pPr>
      <w:r>
        <w:rPr>
          <w:noProof/>
        </w:rPr>
        <w:t>5.</w:t>
      </w:r>
      <w:r>
        <w:rPr>
          <w:noProof/>
        </w:rPr>
        <w:tab/>
        <w:t>Страните могат да се споразумеят за промяна на сроковете, посочени в параграф 3. Медиаторът също може да реши да промени тези срокове, по искане на някоя от страните или по своя собствена инициатива, в зависимост от трудностите, с които се е сблъскала засегнатата страна, или от сложността на случая.</w:t>
      </w:r>
    </w:p>
    <w:p>
      <w:pPr>
        <w:pStyle w:val="ManualNumPar1"/>
        <w:rPr>
          <w:rFonts w:eastAsia="Times New Roman"/>
          <w:b/>
          <w:noProof/>
          <w:szCs w:val="24"/>
        </w:rPr>
      </w:pPr>
      <w:r>
        <w:rPr>
          <w:noProof/>
        </w:rPr>
        <w:t>6.</w:t>
      </w:r>
      <w:r>
        <w:rPr>
          <w:noProof/>
        </w:rPr>
        <w:tab/>
        <w:t>Процедурите по медиация, и по-специално обменената информация и позициите, заети от страните по време на тези процедури, остават поверителни.</w:t>
      </w:r>
    </w:p>
    <w:p>
      <w:pPr>
        <w:jc w:val="center"/>
        <w:rPr>
          <w:b/>
          <w:noProof/>
          <w:sz w:val="28"/>
          <w:szCs w:val="28"/>
        </w:rPr>
      </w:pPr>
      <w:r>
        <w:rPr>
          <w:b/>
          <w:noProof/>
          <w:sz w:val="28"/>
        </w:rPr>
        <w:t>ДЯЛ II: УРЕЖДАНЕ НА СПОРОВЕ</w:t>
      </w:r>
    </w:p>
    <w:p>
      <w:pPr>
        <w:pStyle w:val="Titrearticle"/>
        <w:rPr>
          <w:rFonts w:eastAsia="Times New Roman"/>
          <w:b/>
          <w:noProof/>
          <w:szCs w:val="24"/>
        </w:rPr>
      </w:pPr>
      <w:r>
        <w:rPr>
          <w:b/>
          <w:noProof/>
        </w:rPr>
        <w:t>ЧЛЕН 112</w:t>
      </w:r>
    </w:p>
    <w:p>
      <w:pPr>
        <w:jc w:val="center"/>
        <w:rPr>
          <w:rFonts w:eastAsia="Times New Roman"/>
          <w:b/>
          <w:bCs/>
          <w:noProof/>
          <w:szCs w:val="24"/>
        </w:rPr>
      </w:pPr>
      <w:r>
        <w:rPr>
          <w:b/>
          <w:noProof/>
        </w:rPr>
        <w:t>Започване на арбитражна процедура</w:t>
      </w:r>
    </w:p>
    <w:p>
      <w:pPr>
        <w:pStyle w:val="ManualNumPar1"/>
        <w:rPr>
          <w:rFonts w:eastAsia="Times New Roman"/>
          <w:noProof/>
          <w:szCs w:val="24"/>
        </w:rPr>
      </w:pPr>
      <w:r>
        <w:rPr>
          <w:noProof/>
        </w:rPr>
        <w:t>1.</w:t>
      </w:r>
      <w:r>
        <w:rPr>
          <w:noProof/>
        </w:rPr>
        <w:tab/>
        <w:t xml:space="preserve">Когато страните не успеят да решат спора чрез прибягване до консултации съгласно предвиденото в член 110, страната жалбоподател може да поиска започване на процедура за сформиране на арбитражен комитет, който се съставя в съответствие с член 113. </w:t>
      </w:r>
    </w:p>
    <w:p>
      <w:pPr>
        <w:pStyle w:val="ManualNumPar1"/>
        <w:rPr>
          <w:rFonts w:eastAsia="Times New Roman"/>
          <w:b/>
          <w:noProof/>
          <w:szCs w:val="24"/>
        </w:rPr>
      </w:pPr>
      <w:r>
        <w:rPr>
          <w:noProof/>
        </w:rPr>
        <w:t>2.</w:t>
      </w:r>
      <w:r>
        <w:rPr>
          <w:noProof/>
        </w:rPr>
        <w:tab/>
        <w:t xml:space="preserve">Искането за сформиране на арбитражен комитет се отправя в писмен вид до страната ответник и до Комитета на висшите служители. Страната жалбоподател посочва в искането конкретните спорни мерки и ясно обяснява как тези мерки нарушават разпоредбите на настоящото споразумение. </w:t>
      </w:r>
    </w:p>
    <w:p>
      <w:pPr>
        <w:pStyle w:val="Titrearticle"/>
        <w:rPr>
          <w:rFonts w:eastAsia="Times New Roman"/>
          <w:b/>
          <w:iCs/>
          <w:noProof/>
          <w:szCs w:val="24"/>
        </w:rPr>
      </w:pPr>
      <w:r>
        <w:rPr>
          <w:b/>
          <w:noProof/>
        </w:rPr>
        <w:t>ЧЛЕН 113</w:t>
      </w:r>
    </w:p>
    <w:p>
      <w:pPr>
        <w:jc w:val="center"/>
        <w:rPr>
          <w:rFonts w:eastAsia="Times New Roman"/>
          <w:b/>
          <w:bCs/>
          <w:noProof/>
          <w:szCs w:val="24"/>
        </w:rPr>
      </w:pPr>
      <w:r>
        <w:rPr>
          <w:b/>
          <w:noProof/>
        </w:rPr>
        <w:t>Сформиране на арбитражния комитет</w:t>
      </w:r>
    </w:p>
    <w:p>
      <w:pPr>
        <w:pStyle w:val="ManualNumPar1"/>
        <w:rPr>
          <w:rFonts w:eastAsia="Times New Roman"/>
          <w:noProof/>
          <w:szCs w:val="24"/>
        </w:rPr>
      </w:pPr>
      <w:r>
        <w:rPr>
          <w:noProof/>
        </w:rPr>
        <w:t>1.</w:t>
      </w:r>
      <w:r>
        <w:rPr>
          <w:noProof/>
        </w:rPr>
        <w:tab/>
        <w:t>Арбитражният комитет се състои от трима арбитри.</w:t>
      </w:r>
    </w:p>
    <w:p>
      <w:pPr>
        <w:pStyle w:val="ManualNumPar1"/>
        <w:rPr>
          <w:rFonts w:eastAsia="Times New Roman"/>
          <w:noProof/>
          <w:szCs w:val="24"/>
        </w:rPr>
      </w:pPr>
      <w:r>
        <w:rPr>
          <w:noProof/>
        </w:rPr>
        <w:t>2.</w:t>
      </w:r>
      <w:r>
        <w:rPr>
          <w:noProof/>
        </w:rPr>
        <w:tab/>
        <w:t xml:space="preserve">В срок от десет (10) дни от датата на подаване до Комитета на висшите служители на искането за съставяне на арбитражен комитет, страните провеждат консултации, за да постигнат съгласие относно състава на арбитражния комитет. </w:t>
      </w:r>
    </w:p>
    <w:p>
      <w:pPr>
        <w:pStyle w:val="ManualNumPar1"/>
        <w:rPr>
          <w:rFonts w:eastAsia="Times New Roman"/>
          <w:noProof/>
          <w:szCs w:val="24"/>
        </w:rPr>
      </w:pPr>
      <w:r>
        <w:rPr>
          <w:noProof/>
        </w:rPr>
        <w:t>3.</w:t>
      </w:r>
      <w:r>
        <w:rPr>
          <w:noProof/>
        </w:rPr>
        <w:tab/>
        <w:t>В случай че страните не могат да се споразумеят за състава му в срока, посочен в параграф 2, всяка от страните избира един арбитър от списъка с арбитри, съставен съгласно член 125, в рамките на пет (5) дни. Ако някоя от страните не посочи свой арбитър, по искане на другата страна този арбитър се избира чрез жребий от председателя на Комитета на висшите служители или от упълномощено от председателя лице от подсписъка на тази страна, съставен съгласно член 125.</w:t>
      </w:r>
    </w:p>
    <w:p>
      <w:pPr>
        <w:pStyle w:val="ManualNumPar1"/>
        <w:rPr>
          <w:rFonts w:eastAsia="Times New Roman"/>
          <w:i/>
          <w:noProof/>
          <w:szCs w:val="24"/>
        </w:rPr>
      </w:pPr>
      <w:r>
        <w:rPr>
          <w:noProof/>
        </w:rPr>
        <w:t>4.</w:t>
      </w:r>
      <w:r>
        <w:rPr>
          <w:noProof/>
        </w:rPr>
        <w:tab/>
        <w:t>Освен ако страните постигнат съгласие относно председателя на арбитражния комитет в срока, установен в параграф 2, двамата арбитри на свой ред посочват трети арбитър като председател на арбитражния комитет от списъка, съставен съгласно член 125, в рамките на пет (5) дни от назначаването им и уведомяват Комитета на висшите служители за избора си. В случай че не бъде избран председател на арбитражния комитет, всяка страна може да поиска от председателя на Комитета на висшите служители или от упълномощено от председателя лице да избере чрез жребий председателя на арбитражния комитет от подсписъка с председатели, съдържащ се в списъка, съставен съгласно член 125, в рамките на пет (5) дни.</w:t>
      </w:r>
    </w:p>
    <w:p>
      <w:pPr>
        <w:pStyle w:val="ManualNumPar1"/>
        <w:rPr>
          <w:rFonts w:eastAsia="Times New Roman"/>
          <w:noProof/>
          <w:szCs w:val="24"/>
        </w:rPr>
      </w:pPr>
      <w:r>
        <w:rPr>
          <w:noProof/>
        </w:rPr>
        <w:t>5.</w:t>
      </w:r>
      <w:r>
        <w:rPr>
          <w:noProof/>
        </w:rPr>
        <w:tab/>
        <w:t xml:space="preserve">Датата на съставяне на арбитражния комитет е датата, на която тримата арбитри са избрани и са изразили своето съгласие съгласно процедурния правилник. </w:t>
      </w:r>
    </w:p>
    <w:p>
      <w:pPr>
        <w:pStyle w:val="Titrearticle"/>
        <w:rPr>
          <w:rFonts w:eastAsia="Times New Roman"/>
          <w:b/>
          <w:iCs/>
          <w:noProof/>
          <w:szCs w:val="24"/>
        </w:rPr>
      </w:pPr>
      <w:r>
        <w:rPr>
          <w:b/>
          <w:noProof/>
        </w:rPr>
        <w:t>ЧЛЕН 114</w:t>
      </w:r>
    </w:p>
    <w:p>
      <w:pPr>
        <w:jc w:val="center"/>
        <w:rPr>
          <w:rFonts w:eastAsia="Times New Roman"/>
          <w:b/>
          <w:bCs/>
          <w:noProof/>
          <w:szCs w:val="24"/>
        </w:rPr>
      </w:pPr>
      <w:r>
        <w:rPr>
          <w:b/>
          <w:noProof/>
        </w:rPr>
        <w:t>Междинен доклад на комитета</w:t>
      </w:r>
    </w:p>
    <w:p>
      <w:pPr>
        <w:pStyle w:val="ManualNumPar1"/>
        <w:rPr>
          <w:rFonts w:eastAsia="Times New Roman"/>
          <w:noProof/>
          <w:szCs w:val="24"/>
        </w:rPr>
      </w:pPr>
      <w:r>
        <w:rPr>
          <w:noProof/>
        </w:rPr>
        <w:t>1.</w:t>
      </w:r>
      <w:r>
        <w:rPr>
          <w:noProof/>
        </w:rPr>
        <w:tab/>
        <w:t>Арбитражният комитет представя на страните междинен доклад, съдържащ както описателна част, така и неговите констатации и заключения, като правило не по-късно от деветдесет (90) дни от датата на сформирането си. Когато се счита, че този срок не може да бъде спазен, председателят на арбитражния комитет трябва да уведоми писмено страните и Комитета на висшите служители, като посочи причините за закъснението и датата, на която комитетът предвижда да представи своя междинен доклад. При никакви обстоятелства междинният доклад не трябва да бъде представян по-късно от сто и двадесет (120) дни след датата на сформиране на арбитражния комитет. Всяка от страните може, в рамките на петнадесет (15) дни от предаването на междинния доклад от страна на арбитражния комитет, да му предостави в писмен вид забележките си по конкретни аспекти на междинния доклад.</w:t>
      </w:r>
    </w:p>
    <w:p>
      <w:pPr>
        <w:pStyle w:val="ManualNumPar1"/>
        <w:rPr>
          <w:rFonts w:eastAsia="Times New Roman"/>
          <w:noProof/>
          <w:szCs w:val="24"/>
        </w:rPr>
      </w:pPr>
      <w:r>
        <w:rPr>
          <w:noProof/>
        </w:rPr>
        <w:t>2.</w:t>
      </w:r>
      <w:r>
        <w:rPr>
          <w:noProof/>
        </w:rPr>
        <w:tab/>
        <w:t>При спешни случаи, включително тези, които са свързани с бързоразвалящи се или сезонни стоки, арбитражният комитет полага максимални усилия, за да представи своя междинен доклад в срок от тридесет (30) дни, и във всеки случай не по-късно от четиридесет и пет (45) дни от датата на сформирането си. В срок от седем (7) дни от представянето на междинния доклад всяка от страните може да подаде писмено искане до арбитражния комитет за преразглеждане на конкретни аспекти от междинния доклад.</w:t>
      </w:r>
    </w:p>
    <w:p>
      <w:pPr>
        <w:pStyle w:val="ManualNumPar1"/>
        <w:rPr>
          <w:rFonts w:eastAsia="Times New Roman"/>
          <w:b/>
          <w:noProof/>
          <w:szCs w:val="24"/>
        </w:rPr>
      </w:pPr>
      <w:r>
        <w:rPr>
          <w:noProof/>
        </w:rPr>
        <w:t>3.</w:t>
      </w:r>
      <w:r>
        <w:rPr>
          <w:noProof/>
        </w:rPr>
        <w:tab/>
        <w:t>След като разгледа всички писмени коментари на страните, свързани с междинния доклад, арбитражният комитет може да измени своя доклад и да проведе допълнителни проучвания, ако счита това за целесъобразно. В окончателното решение на арбитражния комитет се обсъждат в достатъчна степен доводите, представени на етапа на междинния преглед, и се дава ясен отговор на въпросите и становищата на страните.</w:t>
      </w:r>
    </w:p>
    <w:p>
      <w:pPr>
        <w:pStyle w:val="Titrearticle"/>
        <w:rPr>
          <w:rFonts w:eastAsia="Times New Roman"/>
          <w:b/>
          <w:iCs/>
          <w:noProof/>
          <w:szCs w:val="24"/>
        </w:rPr>
      </w:pPr>
      <w:r>
        <w:rPr>
          <w:b/>
          <w:noProof/>
        </w:rPr>
        <w:t>ЧЛЕН 115</w:t>
      </w:r>
    </w:p>
    <w:p>
      <w:pPr>
        <w:jc w:val="center"/>
        <w:rPr>
          <w:rFonts w:eastAsia="Times New Roman"/>
          <w:b/>
          <w:bCs/>
          <w:noProof/>
          <w:szCs w:val="24"/>
        </w:rPr>
      </w:pPr>
      <w:r>
        <w:rPr>
          <w:b/>
          <w:noProof/>
        </w:rPr>
        <w:t>Решение на арбитражния комитет</w:t>
      </w:r>
    </w:p>
    <w:p>
      <w:pPr>
        <w:pStyle w:val="ManualNumPar1"/>
        <w:rPr>
          <w:rFonts w:eastAsia="Times New Roman"/>
          <w:bCs/>
          <w:noProof/>
          <w:szCs w:val="24"/>
        </w:rPr>
      </w:pPr>
      <w:r>
        <w:rPr>
          <w:noProof/>
        </w:rPr>
        <w:t>1.</w:t>
      </w:r>
      <w:r>
        <w:rPr>
          <w:noProof/>
        </w:rPr>
        <w:tab/>
        <w:t>Арбитражният комитет:</w:t>
      </w:r>
    </w:p>
    <w:p>
      <w:pPr>
        <w:pStyle w:val="Point1"/>
        <w:rPr>
          <w:rFonts w:eastAsia="Times New Roman"/>
          <w:noProof/>
          <w:szCs w:val="24"/>
        </w:rPr>
      </w:pPr>
      <w:r>
        <w:rPr>
          <w:noProof/>
        </w:rPr>
        <w:t>а)</w:t>
      </w:r>
      <w:r>
        <w:rPr>
          <w:noProof/>
        </w:rPr>
        <w:tab/>
        <w:t>съобщава своето решение на страните и на Комитета на висшите служители в срок от сто и двадесет (120) дни от датата на сформирането си;</w:t>
      </w:r>
    </w:p>
    <w:p>
      <w:pPr>
        <w:pStyle w:val="Point1"/>
        <w:rPr>
          <w:rFonts w:eastAsia="Times New Roman"/>
          <w:b/>
          <w:noProof/>
          <w:szCs w:val="24"/>
        </w:rPr>
      </w:pPr>
      <w:r>
        <w:rPr>
          <w:noProof/>
        </w:rPr>
        <w:t>б)</w:t>
      </w:r>
      <w:r>
        <w:rPr>
          <w:noProof/>
        </w:rPr>
        <w:tab/>
        <w:t>без да се засяга буква а) по-горе, ако този срок не може да бъде спазен, председателят на арбитражния комитет уведомява писмено страните и Комитета на висшите служители, като посочи причините за закъснението и датата, на която комитетът предвижда да представи своето решение. При никакви обстоятелства решението не трябва да бъде съобщено по-късно от сто и петдесет (150) дни от датата на сформиране на комитета.</w:t>
      </w:r>
    </w:p>
    <w:p>
      <w:pPr>
        <w:pStyle w:val="ManualNumPar1"/>
        <w:rPr>
          <w:rFonts w:eastAsia="Times New Roman"/>
          <w:b/>
          <w:noProof/>
          <w:szCs w:val="24"/>
        </w:rPr>
      </w:pPr>
      <w:r>
        <w:rPr>
          <w:noProof/>
        </w:rPr>
        <w:t>2.</w:t>
      </w:r>
      <w:r>
        <w:rPr>
          <w:noProof/>
        </w:rPr>
        <w:tab/>
        <w:t xml:space="preserve">При спешни случаи, включително тези, които са свързани с бързоразвалящи се и сезонни стоки, арбитражният комитет: </w:t>
      </w:r>
    </w:p>
    <w:p>
      <w:pPr>
        <w:pStyle w:val="Point1"/>
        <w:rPr>
          <w:rFonts w:eastAsia="Times New Roman"/>
          <w:noProof/>
          <w:szCs w:val="24"/>
        </w:rPr>
      </w:pPr>
      <w:r>
        <w:rPr>
          <w:noProof/>
        </w:rPr>
        <w:t>а)</w:t>
      </w:r>
      <w:r>
        <w:rPr>
          <w:noProof/>
        </w:rPr>
        <w:tab/>
        <w:t>обявява своето решение в срок от шестдесет (60) дни от датата на сформирането си;</w:t>
      </w:r>
    </w:p>
    <w:p>
      <w:pPr>
        <w:pStyle w:val="Point1"/>
        <w:rPr>
          <w:rFonts w:eastAsia="Times New Roman"/>
          <w:b/>
          <w:noProof/>
          <w:szCs w:val="24"/>
        </w:rPr>
      </w:pPr>
      <w:r>
        <w:rPr>
          <w:noProof/>
        </w:rPr>
        <w:t>б)</w:t>
      </w:r>
      <w:r>
        <w:rPr>
          <w:noProof/>
        </w:rPr>
        <w:tab/>
        <w:t>може да постанови предварително решение за това дали смята случая за спешен веднага, щом това е възможно на практика, и във всеки случай в рамките на седем (7) дни от своето сформиране.</w:t>
      </w:r>
    </w:p>
    <w:p>
      <w:pPr>
        <w:pStyle w:val="ManualNumPar1"/>
        <w:rPr>
          <w:rFonts w:eastAsia="Times New Roman"/>
          <w:noProof/>
          <w:szCs w:val="24"/>
        </w:rPr>
      </w:pPr>
      <w:r>
        <w:rPr>
          <w:noProof/>
        </w:rPr>
        <w:t>3.</w:t>
      </w:r>
      <w:r>
        <w:rPr>
          <w:noProof/>
        </w:rPr>
        <w:tab/>
        <w:t>Решението на арбитражния комитет включва препоръки за това как страната ответник би могла да се съобрази с разпоредбите на споразумението.</w:t>
      </w:r>
    </w:p>
    <w:p>
      <w:pPr>
        <w:pStyle w:val="ManualNumPar1"/>
        <w:rPr>
          <w:rFonts w:eastAsia="Times New Roman"/>
          <w:noProof/>
          <w:szCs w:val="24"/>
        </w:rPr>
      </w:pPr>
      <w:r>
        <w:rPr>
          <w:noProof/>
        </w:rPr>
        <w:t>4.</w:t>
      </w:r>
      <w:r>
        <w:rPr>
          <w:noProof/>
        </w:rPr>
        <w:tab/>
        <w:t>Независимо от разпоредбите на параграфи 6 — 10 относно разумния срок, страната ответник взема необходимите мерки за незабавното и добросъвестно изпълнение на решението на арбитражния комитет.</w:t>
      </w:r>
    </w:p>
    <w:p>
      <w:pPr>
        <w:pStyle w:val="ManualNumPar1"/>
        <w:rPr>
          <w:rFonts w:eastAsia="Times New Roman"/>
          <w:noProof/>
          <w:szCs w:val="24"/>
        </w:rPr>
      </w:pPr>
      <w:r>
        <w:rPr>
          <w:noProof/>
        </w:rPr>
        <w:t>5.</w:t>
      </w:r>
      <w:r>
        <w:rPr>
          <w:noProof/>
        </w:rPr>
        <w:tab/>
        <w:t xml:space="preserve">Ако не е възможно решението да бъде изпълнено незабавно, страните полагат усилия, за да договорят срока, в който да бъде изпълнено решението. В този случай страната ответник не по-късно от двадесет и един (21) дни след съобщаването на решението на арбитражния комитет на страните уведомява страната жалбоподател и Комитета на висшите служители за срока, който ще ѝ бъде необходим за изпълнение. </w:t>
      </w:r>
    </w:p>
    <w:p>
      <w:pPr>
        <w:pStyle w:val="ManualNumPar1"/>
        <w:rPr>
          <w:rFonts w:eastAsia="Times New Roman"/>
          <w:noProof/>
          <w:szCs w:val="24"/>
        </w:rPr>
      </w:pPr>
      <w:r>
        <w:rPr>
          <w:noProof/>
        </w:rPr>
        <w:t>6.</w:t>
      </w:r>
      <w:r>
        <w:rPr>
          <w:noProof/>
        </w:rPr>
        <w:tab/>
        <w:t xml:space="preserve">Ако между страните има несъгласие по отношение на разумния срок за изпълнение на решението на арбитражния комитет, в срок от четиринадесет (14) дни от уведомлението съгласно параграф 1 страната жалбоподател подава писмено искане до арбитражния комитет за определяне на продължителността на разумния срок. За това искане едновременно се уведомяват другата страна и Комитетът на висшите служители. Арбитражният комитет уведомява за своето решение страните и Комитета на висшите служители в рамките на двадесет и един (21) дни от отправянето на искането. </w:t>
      </w:r>
    </w:p>
    <w:p>
      <w:pPr>
        <w:pStyle w:val="ManualNumPar1"/>
        <w:rPr>
          <w:rFonts w:eastAsia="Times New Roman"/>
          <w:noProof/>
          <w:szCs w:val="24"/>
        </w:rPr>
      </w:pPr>
      <w:r>
        <w:rPr>
          <w:noProof/>
        </w:rPr>
        <w:t>7.</w:t>
      </w:r>
      <w:r>
        <w:rPr>
          <w:noProof/>
        </w:rPr>
        <w:tab/>
        <w:t xml:space="preserve">В случай на невъзможност първоначално съставеният арбитражен комитет или някои от неговите членове да бъдат свикани отново, се прилагат процедурите, определени в член 113. Срокът за съобщаване на решението е тридесет и пет (35) дни от датата на подаване на искането, посочено в параграф 6. </w:t>
      </w:r>
    </w:p>
    <w:p>
      <w:pPr>
        <w:pStyle w:val="ManualNumPar1"/>
        <w:rPr>
          <w:rFonts w:eastAsia="Times New Roman"/>
          <w:b/>
          <w:noProof/>
          <w:szCs w:val="24"/>
        </w:rPr>
      </w:pPr>
      <w:r>
        <w:rPr>
          <w:noProof/>
        </w:rPr>
        <w:t>8.</w:t>
      </w:r>
      <w:r>
        <w:rPr>
          <w:noProof/>
        </w:rPr>
        <w:tab/>
        <w:t>При определянето на продължителността на разумния срок арбитражният комитет взема предвид времето, от което по принцип би имала нужда страната ответник, за да приеме законодателни или административни мерки, сходни на тези, считани от нея за необходими за привеждането в съответствие, и по-специално комитетът взема предвид трудностите, които държавите партньори от ИАО могат да срещат поради липса на необходимия капацитет.</w:t>
      </w:r>
    </w:p>
    <w:p>
      <w:pPr>
        <w:pStyle w:val="ManualNumPar1"/>
        <w:rPr>
          <w:rFonts w:eastAsia="Times New Roman"/>
          <w:b/>
          <w:noProof/>
          <w:szCs w:val="24"/>
        </w:rPr>
      </w:pPr>
      <w:r>
        <w:rPr>
          <w:noProof/>
        </w:rPr>
        <w:t>9.</w:t>
      </w:r>
      <w:r>
        <w:rPr>
          <w:noProof/>
        </w:rPr>
        <w:tab/>
        <w:t>Разумният срок може да бъде удължен по споразумение между страните.</w:t>
      </w:r>
    </w:p>
    <w:p>
      <w:pPr>
        <w:pStyle w:val="Titrearticle"/>
        <w:rPr>
          <w:rFonts w:eastAsia="Times New Roman"/>
          <w:b/>
          <w:iCs/>
          <w:noProof/>
          <w:szCs w:val="24"/>
        </w:rPr>
      </w:pPr>
      <w:r>
        <w:rPr>
          <w:b/>
          <w:noProof/>
        </w:rPr>
        <w:t>ЧЛЕН 116</w:t>
      </w:r>
    </w:p>
    <w:p>
      <w:pPr>
        <w:jc w:val="center"/>
        <w:rPr>
          <w:rFonts w:eastAsia="Times New Roman"/>
          <w:b/>
          <w:i/>
          <w:iCs/>
          <w:noProof/>
          <w:szCs w:val="24"/>
        </w:rPr>
      </w:pPr>
      <w:r>
        <w:rPr>
          <w:b/>
          <w:noProof/>
        </w:rPr>
        <w:t>Преглед на мярка, предприета в изпълнение на решението на арбитражния комитет</w:t>
      </w:r>
    </w:p>
    <w:p>
      <w:pPr>
        <w:pStyle w:val="ManualNumPar1"/>
        <w:rPr>
          <w:rFonts w:eastAsia="Times New Roman"/>
          <w:noProof/>
          <w:szCs w:val="24"/>
        </w:rPr>
      </w:pPr>
      <w:r>
        <w:rPr>
          <w:noProof/>
        </w:rPr>
        <w:t>1.</w:t>
      </w:r>
      <w:r>
        <w:rPr>
          <w:noProof/>
        </w:rPr>
        <w:tab/>
        <w:t>Преди изтичането на разумния срок страната ответник уведомява страната жалбоподател и Комитета на висшите служители за мерките, които е предприела за изпълнение на решението на арбитражния комитет.</w:t>
      </w:r>
    </w:p>
    <w:p>
      <w:pPr>
        <w:pStyle w:val="ManualNumPar1"/>
        <w:rPr>
          <w:rFonts w:eastAsia="Times New Roman"/>
          <w:noProof/>
          <w:szCs w:val="24"/>
        </w:rPr>
      </w:pPr>
      <w:r>
        <w:rPr>
          <w:noProof/>
        </w:rPr>
        <w:t>2.</w:t>
      </w:r>
      <w:r>
        <w:rPr>
          <w:noProof/>
        </w:rPr>
        <w:tab/>
        <w:t xml:space="preserve">Когато при изтичане на разумния срок страната ответник не е спазила параграф 1 по-горе, страната жалбоподател може да предприеме подходящи мерки в съответствие с член 118, параграф 2, след като уведоми другата страна и Комитета на висшите служители за това. </w:t>
      </w:r>
    </w:p>
    <w:p>
      <w:pPr>
        <w:pStyle w:val="ManualNumPar1"/>
        <w:rPr>
          <w:rFonts w:eastAsia="Times New Roman"/>
          <w:noProof/>
          <w:szCs w:val="24"/>
        </w:rPr>
      </w:pPr>
      <w:r>
        <w:rPr>
          <w:noProof/>
        </w:rPr>
        <w:t>3.</w:t>
      </w:r>
      <w:r>
        <w:rPr>
          <w:noProof/>
        </w:rPr>
        <w:tab/>
        <w:t xml:space="preserve">Когато е налице несъгласие между страните по отношение на това дали страната ответник се е съобразила с разпоредбите на настоящото споразумение, всяка страна може да отправи писмено искане до арбитражния комитет да се произнесе по въпроса. В това искане се посочва конкретната спорна мярка и се обяснява ясно причината, поради която тази мярка е несъвместима или съвместима с разпоредбите на споразумението и с решението на арбитражния комитет. </w:t>
      </w:r>
    </w:p>
    <w:p>
      <w:pPr>
        <w:pStyle w:val="ManualNumPar1"/>
        <w:rPr>
          <w:rFonts w:eastAsia="Times New Roman"/>
          <w:noProof/>
          <w:szCs w:val="24"/>
        </w:rPr>
      </w:pPr>
      <w:r>
        <w:rPr>
          <w:noProof/>
        </w:rPr>
        <w:t>4.</w:t>
      </w:r>
      <w:r>
        <w:rPr>
          <w:noProof/>
        </w:rPr>
        <w:tab/>
        <w:t>Арбитражният комитет се стреми да обяви своето решение в срок от четиридесет и пет (45) дни от датата на подаване на посоченото по-горе искане. При спешни случаи, включително тези, които са свързани с малотрайни и сезонни стоки, арбитражният комитет оповестява решението си в срок от тридесет (30) дни от датата на отправяне на искането.</w:t>
      </w:r>
    </w:p>
    <w:p>
      <w:pPr>
        <w:pStyle w:val="ManualNumPar1"/>
        <w:rPr>
          <w:rFonts w:eastAsia="Calibri"/>
          <w:noProof/>
          <w:szCs w:val="24"/>
        </w:rPr>
      </w:pPr>
      <w:r>
        <w:rPr>
          <w:noProof/>
        </w:rPr>
        <w:t>5.</w:t>
      </w:r>
      <w:r>
        <w:rPr>
          <w:noProof/>
        </w:rPr>
        <w:tab/>
        <w:t xml:space="preserve">В случай на невъзможност първоначално съставеният арбитражен комитет или някои от неговите членове да бъдат свикани отново в рамките на петнадесет (15) дни, се прилагат процедурите, определени в член 113. В тези случаи срокът за съобщаване на решението е осемдесет (80) дни от датата на подаване на искането, посочено в параграф 3 по-горе. </w:t>
      </w:r>
    </w:p>
    <w:p>
      <w:pPr>
        <w:pStyle w:val="Titrearticle"/>
        <w:rPr>
          <w:rFonts w:eastAsia="Times New Roman"/>
          <w:b/>
          <w:iCs/>
          <w:noProof/>
          <w:szCs w:val="24"/>
        </w:rPr>
      </w:pPr>
      <w:r>
        <w:rPr>
          <w:b/>
          <w:noProof/>
        </w:rPr>
        <w:t>ЧЛЕН 117</w:t>
      </w:r>
    </w:p>
    <w:p>
      <w:pPr>
        <w:jc w:val="center"/>
        <w:rPr>
          <w:rFonts w:eastAsia="Times New Roman"/>
          <w:b/>
          <w:bCs/>
          <w:noProof/>
          <w:szCs w:val="24"/>
        </w:rPr>
      </w:pPr>
      <w:r>
        <w:rPr>
          <w:b/>
          <w:noProof/>
        </w:rPr>
        <w:t>Временни мерки в случай на неизпълнение</w:t>
      </w:r>
    </w:p>
    <w:p>
      <w:pPr>
        <w:pStyle w:val="ManualNumPar1"/>
        <w:rPr>
          <w:rFonts w:eastAsia="Times New Roman"/>
          <w:noProof/>
          <w:szCs w:val="24"/>
        </w:rPr>
      </w:pPr>
      <w:r>
        <w:rPr>
          <w:noProof/>
        </w:rPr>
        <w:t>1.</w:t>
      </w:r>
      <w:r>
        <w:rPr>
          <w:noProof/>
        </w:rPr>
        <w:tab/>
        <w:t xml:space="preserve">Ако страната ответник не съобщи мярката, която е предприела, за да изпълни решението на арбитражния комитет, преди изтичането на разумния срок или ако арбитражният комитет постанови, че мярката, съобщена съгласно член 116, параграф 1, е несъвместима със задълженията на страната ответник по смисъла на разпоредбите на настоящото споразумение, страната жалбоподател има право, след като уведоми другата страната, да приеме подходящи мерки. </w:t>
      </w:r>
    </w:p>
    <w:p>
      <w:pPr>
        <w:pStyle w:val="ManualNumPar1"/>
        <w:rPr>
          <w:rFonts w:eastAsia="Times New Roman"/>
          <w:noProof/>
          <w:szCs w:val="24"/>
        </w:rPr>
      </w:pPr>
      <w:r>
        <w:rPr>
          <w:noProof/>
        </w:rPr>
        <w:t>2.</w:t>
      </w:r>
      <w:r>
        <w:rPr>
          <w:noProof/>
        </w:rPr>
        <w:tab/>
        <w:t xml:space="preserve">При приемането на тези мерки страната жалбоподател се стреми да избере мерки, които засягат във възможно най-малка степен постигането на целите на настоящото споразумение, и взема предвид отражението им върху икономиката на страната ответник. Освен това, когато ЕС получава право да приеме подобни мерки, той подбира мерки, конкретно насочени към изпълнение от страна на държавите партньори от ИАО, за чиито мерки се смята, че са несъвместими с настоящото споразумение. </w:t>
      </w:r>
    </w:p>
    <w:p>
      <w:pPr>
        <w:pStyle w:val="ManualNumPar1"/>
        <w:rPr>
          <w:rFonts w:eastAsia="Times New Roman"/>
          <w:noProof/>
          <w:szCs w:val="24"/>
        </w:rPr>
      </w:pPr>
      <w:r>
        <w:rPr>
          <w:noProof/>
        </w:rPr>
        <w:t>3.</w:t>
      </w:r>
      <w:r>
        <w:rPr>
          <w:noProof/>
        </w:rPr>
        <w:tab/>
        <w:t>Във всеки момент след изтичането на разумния срок страната жалбоподател може да поиска от страната ответник да представи предложение за временна компенсация и страната ответник следва да представи такова предложение.</w:t>
      </w:r>
    </w:p>
    <w:p>
      <w:pPr>
        <w:pStyle w:val="ManualNumPar1"/>
        <w:rPr>
          <w:rFonts w:eastAsia="Times New Roman"/>
          <w:noProof/>
          <w:szCs w:val="24"/>
        </w:rPr>
      </w:pPr>
      <w:r>
        <w:rPr>
          <w:noProof/>
        </w:rPr>
        <w:t>4.</w:t>
      </w:r>
      <w:r>
        <w:rPr>
          <w:noProof/>
        </w:rPr>
        <w:tab/>
        <w:t>Компенсацията или ответните мерки имат временен характер и се прилагат само докато мярката, за която е установено, че нарушава разпоредбите на настоящото споразумение, не бъде оттеглена или изменена, така че да бъде в съответствие с тези разпоредби, или докато страните не постигнат съгласие за уреждане на спора.</w:t>
      </w:r>
    </w:p>
    <w:p>
      <w:pPr>
        <w:pStyle w:val="Titrearticle"/>
        <w:rPr>
          <w:rFonts w:eastAsia="Times New Roman"/>
          <w:b/>
          <w:iCs/>
          <w:noProof/>
          <w:szCs w:val="24"/>
        </w:rPr>
      </w:pPr>
      <w:r>
        <w:rPr>
          <w:b/>
          <w:noProof/>
        </w:rPr>
        <w:t>ЧЛЕН 118</w:t>
      </w:r>
    </w:p>
    <w:p>
      <w:pPr>
        <w:jc w:val="center"/>
        <w:rPr>
          <w:rFonts w:eastAsia="Times New Roman"/>
          <w:b/>
          <w:bCs/>
          <w:noProof/>
          <w:szCs w:val="24"/>
        </w:rPr>
      </w:pPr>
      <w:r>
        <w:rPr>
          <w:b/>
          <w:noProof/>
        </w:rPr>
        <w:t>Преглед на мерките за привеждане в съответствие, последвали приемането на подходящи мерки</w:t>
      </w:r>
    </w:p>
    <w:p>
      <w:pPr>
        <w:pStyle w:val="ManualNumPar1"/>
        <w:rPr>
          <w:rFonts w:eastAsia="Times New Roman"/>
          <w:noProof/>
          <w:szCs w:val="24"/>
        </w:rPr>
      </w:pPr>
      <w:r>
        <w:rPr>
          <w:noProof/>
        </w:rPr>
        <w:t>1.</w:t>
      </w:r>
      <w:r>
        <w:rPr>
          <w:noProof/>
        </w:rPr>
        <w:tab/>
        <w:t>Страната ответник уведомява другата страна и Комитета на висшите служители за всички мерки, които е предприела, за да се съобрази с решението на арбитражния комитет, и за искането си за прекратяване на прилагането на подходящите мерки от страната жалбоподател.</w:t>
      </w:r>
    </w:p>
    <w:p>
      <w:pPr>
        <w:pStyle w:val="ManualNumPar1"/>
        <w:rPr>
          <w:rFonts w:eastAsia="Times New Roman"/>
          <w:noProof/>
          <w:szCs w:val="24"/>
        </w:rPr>
      </w:pPr>
      <w:r>
        <w:rPr>
          <w:noProof/>
        </w:rPr>
        <w:t>2.</w:t>
      </w:r>
      <w:r>
        <w:rPr>
          <w:noProof/>
        </w:rPr>
        <w:tab/>
        <w:t xml:space="preserve">Ако страните не постигнат съгласие относно съвместимостта на мерките, за които е направено уведомление, с разпоредбите на настоящото споразумение в рамките на тридесет (30) дни от датата на представяне на уведомлението, страната жалбоподател се обръща с писмено искане до арбитражния комитет да се произнесе по въпроса. За това искане се уведомяват другата страна и Комитетът на висшите служители. Арбитражният комитет уведомява за своето решение страните и Комитета на висшите служители в рамките на четиридесет и пет (45) дни от отправянето на искането. </w:t>
      </w:r>
    </w:p>
    <w:p>
      <w:pPr>
        <w:pStyle w:val="ManualNumPar1"/>
        <w:rPr>
          <w:rFonts w:eastAsia="Times New Roman"/>
          <w:noProof/>
          <w:szCs w:val="24"/>
        </w:rPr>
      </w:pPr>
      <w:r>
        <w:rPr>
          <w:noProof/>
        </w:rPr>
        <w:t>3.</w:t>
      </w:r>
      <w:r>
        <w:rPr>
          <w:noProof/>
        </w:rPr>
        <w:tab/>
        <w:t>Ако арбитражният комитет постанови, че дадени мерки, предприети с оглед привеждане в съответствие, не са съобразени с разпоредбите на настоящото споразумение, той решава дали страната жалбоподател може да продължи да прилага подходящи мерки. Ако арбитражният комитет постанови, че дадени мерки, предприети с оглед привеждане в съответствие, са съобразени с разпоредбите на настоящото споразумение, прилагането на подходящи мерки се прекратява незабавно след постановяването на решението.</w:t>
      </w:r>
    </w:p>
    <w:p>
      <w:pPr>
        <w:pStyle w:val="ManualNumPar1"/>
        <w:rPr>
          <w:rFonts w:eastAsia="Times New Roman"/>
          <w:b/>
          <w:iCs/>
          <w:noProof/>
          <w:szCs w:val="24"/>
        </w:rPr>
      </w:pPr>
      <w:r>
        <w:rPr>
          <w:noProof/>
        </w:rPr>
        <w:t>4.</w:t>
      </w:r>
      <w:r>
        <w:rPr>
          <w:noProof/>
        </w:rPr>
        <w:tab/>
        <w:t>В случай че първоначалният арбитражен комитет или някои от неговите членове не могат да бъдат свикани отново, се прилагат процедурите, посочени в член 113. Срокът за съобщаване на решението е шестдесет (60) дни от датата на подаване на искането, посочено в параграф 2 по-горе.</w:t>
      </w:r>
    </w:p>
    <w:p>
      <w:pPr>
        <w:jc w:val="center"/>
        <w:rPr>
          <w:b/>
          <w:i/>
          <w:iCs/>
          <w:noProof/>
          <w:sz w:val="28"/>
          <w:szCs w:val="28"/>
        </w:rPr>
      </w:pPr>
      <w:r>
        <w:rPr>
          <w:b/>
          <w:noProof/>
          <w:sz w:val="28"/>
        </w:rPr>
        <w:t>ДЯЛ III: ОБЩИ РАЗПОРЕДБИ</w:t>
      </w:r>
    </w:p>
    <w:p>
      <w:pPr>
        <w:pStyle w:val="Titrearticle"/>
        <w:rPr>
          <w:rFonts w:eastAsia="Times New Roman"/>
          <w:b/>
          <w:noProof/>
          <w:szCs w:val="24"/>
        </w:rPr>
      </w:pPr>
      <w:r>
        <w:rPr>
          <w:b/>
          <w:noProof/>
        </w:rPr>
        <w:t>ЧЛЕН 119</w:t>
      </w:r>
    </w:p>
    <w:p>
      <w:pPr>
        <w:jc w:val="center"/>
        <w:rPr>
          <w:rFonts w:eastAsia="Times New Roman"/>
          <w:b/>
          <w:bCs/>
          <w:noProof/>
          <w:szCs w:val="24"/>
        </w:rPr>
      </w:pPr>
      <w:r>
        <w:rPr>
          <w:b/>
          <w:noProof/>
        </w:rPr>
        <w:t>Решение по взаимно съгласие</w:t>
      </w:r>
    </w:p>
    <w:p>
      <w:pPr>
        <w:rPr>
          <w:b/>
          <w:noProof/>
        </w:rPr>
      </w:pPr>
      <w:r>
        <w:rPr>
          <w:noProof/>
        </w:rPr>
        <w:t>Страните могат да стигнат до решение по взаимно съгласие на спор по смисъла на настоящата част във всеки един момент и уведомяват Комитета на висшите служители за всяко такова решение. Ако за решението се изисква одобрение съгласно приложимите вътрешни процедури на някоя от страните, това изискване се посочва в уведомлението, а процедурата се спира. Ако не се изисква такова одобрение или ако е налице уведомление за завършването на такива вътрешни процедури, процедурата се прекратява.</w:t>
      </w:r>
    </w:p>
    <w:p>
      <w:pPr>
        <w:pStyle w:val="Titrearticle"/>
        <w:rPr>
          <w:rFonts w:eastAsia="Times New Roman"/>
          <w:b/>
          <w:iCs/>
          <w:noProof/>
          <w:szCs w:val="24"/>
        </w:rPr>
      </w:pPr>
      <w:r>
        <w:rPr>
          <w:b/>
          <w:noProof/>
        </w:rPr>
        <w:t>ЧЛЕН 120</w:t>
      </w:r>
    </w:p>
    <w:p>
      <w:pPr>
        <w:jc w:val="center"/>
        <w:rPr>
          <w:b/>
          <w:noProof/>
        </w:rPr>
      </w:pPr>
      <w:r>
        <w:rPr>
          <w:b/>
          <w:noProof/>
        </w:rPr>
        <w:t>Процедурен правилник</w:t>
      </w:r>
    </w:p>
    <w:p>
      <w:pPr>
        <w:autoSpaceDE w:val="0"/>
        <w:autoSpaceDN w:val="0"/>
        <w:adjustRightInd w:val="0"/>
        <w:spacing w:before="0" w:after="0"/>
        <w:rPr>
          <w:rFonts w:eastAsia="Times New Roman"/>
          <w:b/>
          <w:noProof/>
          <w:szCs w:val="24"/>
        </w:rPr>
      </w:pPr>
      <w:r>
        <w:rPr>
          <w:noProof/>
        </w:rPr>
        <w:t xml:space="preserve">Процедурите за уреждане на спорове се уреждат от процедурния правилник, който се приема от Съвета по СИП в рамките на шест (6) месеца след влизането в сила на настоящото споразумение. </w:t>
      </w:r>
    </w:p>
    <w:p>
      <w:pPr>
        <w:pStyle w:val="Titrearticle"/>
        <w:rPr>
          <w:rFonts w:eastAsia="Times New Roman"/>
          <w:b/>
          <w:iCs/>
          <w:noProof/>
          <w:szCs w:val="24"/>
        </w:rPr>
      </w:pPr>
      <w:r>
        <w:rPr>
          <w:b/>
          <w:noProof/>
        </w:rPr>
        <w:t>ЧЛЕН 121</w:t>
      </w:r>
    </w:p>
    <w:p>
      <w:pPr>
        <w:jc w:val="center"/>
        <w:rPr>
          <w:rFonts w:eastAsia="Times New Roman"/>
          <w:b/>
          <w:bCs/>
          <w:noProof/>
          <w:szCs w:val="24"/>
        </w:rPr>
      </w:pPr>
      <w:r>
        <w:rPr>
          <w:b/>
          <w:noProof/>
        </w:rPr>
        <w:t>Информация и технически консултации</w:t>
      </w:r>
    </w:p>
    <w:p>
      <w:pPr>
        <w:rPr>
          <w:rFonts w:eastAsia="Times New Roman"/>
          <w:b/>
          <w:noProof/>
          <w:szCs w:val="24"/>
        </w:rPr>
      </w:pPr>
      <w:r>
        <w:rPr>
          <w:noProof/>
        </w:rPr>
        <w:t xml:space="preserve">По искане на някоя от страните или по собствена инициатива арбитражният комитет може да получи информация от всякакви източници, включително от страните по спора, ако сметне това за необходимо за арбитражната процедура. Арбитражният комитет е също така оправомощен да получи становището на експерти, ако сметне това за необходимо. Заинтересовани физически или юридически лица, които са установени в страните, и други трети страни имат право да представят на арбитражния комитет становища </w:t>
      </w:r>
      <w:r>
        <w:rPr>
          <w:i/>
          <w:noProof/>
        </w:rPr>
        <w:t>amicus curiae</w:t>
      </w:r>
      <w:r>
        <w:rPr>
          <w:noProof/>
        </w:rPr>
        <w:t xml:space="preserve"> в съответствие с процедурния правилник. Всяка информация, получена по този начин, трябва да бъде разкрита на страните, които могат да представят коментари.</w:t>
      </w:r>
    </w:p>
    <w:p>
      <w:pPr>
        <w:pStyle w:val="Titrearticle"/>
        <w:rPr>
          <w:rFonts w:eastAsia="Times New Roman"/>
          <w:b/>
          <w:iCs/>
          <w:noProof/>
          <w:szCs w:val="24"/>
        </w:rPr>
      </w:pPr>
      <w:r>
        <w:rPr>
          <w:b/>
          <w:noProof/>
        </w:rPr>
        <w:t>ЧЛЕН 122</w:t>
      </w:r>
    </w:p>
    <w:p>
      <w:pPr>
        <w:autoSpaceDE w:val="0"/>
        <w:autoSpaceDN w:val="0"/>
        <w:adjustRightInd w:val="0"/>
        <w:spacing w:before="0" w:after="0"/>
        <w:jc w:val="center"/>
        <w:rPr>
          <w:rFonts w:eastAsia="Times New Roman"/>
          <w:b/>
          <w:bCs/>
          <w:noProof/>
          <w:szCs w:val="24"/>
        </w:rPr>
      </w:pPr>
      <w:r>
        <w:rPr>
          <w:b/>
          <w:noProof/>
        </w:rPr>
        <w:t>Език на становищата</w:t>
      </w:r>
    </w:p>
    <w:p>
      <w:pPr>
        <w:pStyle w:val="ManualNumPar1"/>
        <w:rPr>
          <w:rFonts w:eastAsia="Times New Roman"/>
          <w:b/>
          <w:noProof/>
          <w:szCs w:val="24"/>
        </w:rPr>
      </w:pPr>
      <w:r>
        <w:rPr>
          <w:noProof/>
        </w:rPr>
        <w:t>1.</w:t>
      </w:r>
      <w:r>
        <w:rPr>
          <w:noProof/>
        </w:rPr>
        <w:tab/>
        <w:t>Писмените и устните становища на страните се правят на някой от официалните езици на страните.</w:t>
      </w:r>
    </w:p>
    <w:p>
      <w:pPr>
        <w:pStyle w:val="ManualNumPar1"/>
        <w:rPr>
          <w:rFonts w:eastAsia="Times New Roman"/>
          <w:b/>
          <w:noProof/>
          <w:szCs w:val="24"/>
        </w:rPr>
      </w:pPr>
      <w:r>
        <w:rPr>
          <w:noProof/>
        </w:rPr>
        <w:t>2.</w:t>
      </w:r>
      <w:r>
        <w:rPr>
          <w:noProof/>
        </w:rPr>
        <w:tab/>
        <w:t>Страните полагат усилие да се договорят за общ работен език за всяко едно конкретно производство по смисъла на настоящата част. При невъзможност на страните да се договорят за общ работен език, всяка страна прави необходимите постъпки и поема разходите по превода на писмените си становища и по устния превод на изслушванията на езика, избран от страната ответник, освен ако този език е официален език на посочената страна</w:t>
      </w:r>
      <w:r>
        <w:rPr>
          <w:rStyle w:val="FootnoteReference"/>
          <w:noProof/>
        </w:rPr>
        <w:footnoteReference w:id="3"/>
      </w:r>
      <w:r>
        <w:rPr>
          <w:noProof/>
        </w:rPr>
        <w:t>.</w:t>
      </w:r>
    </w:p>
    <w:p>
      <w:pPr>
        <w:pStyle w:val="Titrearticle"/>
        <w:rPr>
          <w:rFonts w:eastAsia="Times New Roman"/>
          <w:b/>
          <w:iCs/>
          <w:noProof/>
          <w:szCs w:val="24"/>
        </w:rPr>
      </w:pPr>
      <w:r>
        <w:rPr>
          <w:b/>
          <w:noProof/>
        </w:rPr>
        <w:t>ЧЛЕН 123</w:t>
      </w:r>
    </w:p>
    <w:p>
      <w:pPr>
        <w:jc w:val="center"/>
        <w:rPr>
          <w:rFonts w:eastAsia="Times New Roman"/>
          <w:b/>
          <w:bCs/>
          <w:noProof/>
          <w:szCs w:val="24"/>
        </w:rPr>
      </w:pPr>
      <w:r>
        <w:rPr>
          <w:b/>
          <w:noProof/>
        </w:rPr>
        <w:t>Правила на тълкуване</w:t>
      </w:r>
    </w:p>
    <w:p>
      <w:pPr>
        <w:pStyle w:val="ManualNumPar1"/>
        <w:rPr>
          <w:rFonts w:eastAsia="Times New Roman"/>
          <w:noProof/>
          <w:szCs w:val="24"/>
        </w:rPr>
      </w:pPr>
      <w:r>
        <w:rPr>
          <w:noProof/>
        </w:rPr>
        <w:t>1.</w:t>
      </w:r>
      <w:r>
        <w:rPr>
          <w:noProof/>
        </w:rPr>
        <w:tab/>
        <w:t xml:space="preserve">Арбитражните комитети тълкуват разпоредбите на настоящото споразумение в съответствие с обичайните правила за тълкуване на международното публично право, включително правилата, установени във Виенската конвенция за правото на договорите. </w:t>
      </w:r>
    </w:p>
    <w:p>
      <w:pPr>
        <w:pStyle w:val="ManualNumPar1"/>
        <w:rPr>
          <w:rFonts w:eastAsia="Times New Roman"/>
          <w:b/>
          <w:noProof/>
          <w:szCs w:val="24"/>
        </w:rPr>
      </w:pPr>
      <w:r>
        <w:rPr>
          <w:noProof/>
        </w:rPr>
        <w:t>2.</w:t>
      </w:r>
      <w:r>
        <w:rPr>
          <w:noProof/>
        </w:rPr>
        <w:tab/>
        <w:t>Тълкуването и решенията на арбитражния комитет не могат да увеличават или намаляват правата и задълженията, предвидени в разпоредбите на настоящото споразумение.</w:t>
      </w:r>
    </w:p>
    <w:p>
      <w:pPr>
        <w:pStyle w:val="Titrearticle"/>
        <w:rPr>
          <w:rFonts w:eastAsia="Times New Roman"/>
          <w:b/>
          <w:iCs/>
          <w:noProof/>
          <w:szCs w:val="24"/>
        </w:rPr>
      </w:pPr>
      <w:r>
        <w:rPr>
          <w:b/>
          <w:noProof/>
        </w:rPr>
        <w:t>ЧЛЕН 124</w:t>
      </w:r>
    </w:p>
    <w:p>
      <w:pPr>
        <w:jc w:val="center"/>
        <w:rPr>
          <w:rFonts w:eastAsia="Times New Roman"/>
          <w:b/>
          <w:bCs/>
          <w:noProof/>
          <w:szCs w:val="24"/>
        </w:rPr>
      </w:pPr>
      <w:r>
        <w:rPr>
          <w:b/>
          <w:noProof/>
        </w:rPr>
        <w:t>Производство за постановяване на решения на арбитражния комитет</w:t>
      </w:r>
    </w:p>
    <w:p>
      <w:pPr>
        <w:pStyle w:val="ManualNumPar1"/>
        <w:rPr>
          <w:rFonts w:eastAsia="Times New Roman"/>
          <w:noProof/>
          <w:szCs w:val="24"/>
        </w:rPr>
      </w:pPr>
      <w:r>
        <w:rPr>
          <w:noProof/>
        </w:rPr>
        <w:t>1.</w:t>
      </w:r>
      <w:r>
        <w:rPr>
          <w:noProof/>
        </w:rPr>
        <w:tab/>
        <w:t xml:space="preserve">Арбитражният комитет полага всички усилия за вземане на решения с консенсус. Ако не може да се вземе решение с консенсус, спорния въпрос се решава чрез гласуване с мнозинство. </w:t>
      </w:r>
    </w:p>
    <w:p>
      <w:pPr>
        <w:pStyle w:val="ManualNumPar1"/>
        <w:rPr>
          <w:rFonts w:eastAsia="Times New Roman"/>
          <w:b/>
          <w:strike/>
          <w:noProof/>
          <w:szCs w:val="24"/>
        </w:rPr>
      </w:pPr>
      <w:r>
        <w:rPr>
          <w:noProof/>
        </w:rPr>
        <w:t>2.</w:t>
      </w:r>
      <w:r>
        <w:rPr>
          <w:noProof/>
        </w:rPr>
        <w:tab/>
        <w:t>Всяко решение на арбитражния комитет съдържа фактическите констатации, приложимостта на съответните разпоредби на настоящото споразумение и обосновката на направените констатации, препоръки и заключения. Комитетът на висшите служители оповестява публично решенията на арбитражния комитет.</w:t>
      </w:r>
    </w:p>
    <w:p>
      <w:pPr>
        <w:pStyle w:val="ManualNumPar1"/>
        <w:rPr>
          <w:rFonts w:eastAsia="Times New Roman"/>
          <w:b/>
          <w:noProof/>
          <w:szCs w:val="24"/>
        </w:rPr>
      </w:pPr>
      <w:r>
        <w:rPr>
          <w:noProof/>
        </w:rPr>
        <w:t>3.</w:t>
      </w:r>
      <w:r>
        <w:rPr>
          <w:noProof/>
        </w:rPr>
        <w:tab/>
        <w:t xml:space="preserve">Решението на арбитражния комитет е окончателно и задължително за страните. </w:t>
      </w:r>
    </w:p>
    <w:p>
      <w:pPr>
        <w:pStyle w:val="Titrearticle"/>
        <w:rPr>
          <w:rFonts w:eastAsia="Times New Roman"/>
          <w:b/>
          <w:iCs/>
          <w:noProof/>
          <w:szCs w:val="24"/>
        </w:rPr>
      </w:pPr>
      <w:r>
        <w:rPr>
          <w:b/>
          <w:noProof/>
        </w:rPr>
        <w:t>ЧЛЕН 125</w:t>
      </w:r>
    </w:p>
    <w:p>
      <w:pPr>
        <w:jc w:val="center"/>
        <w:rPr>
          <w:rFonts w:eastAsia="Times New Roman"/>
          <w:b/>
          <w:bCs/>
          <w:noProof/>
          <w:szCs w:val="24"/>
        </w:rPr>
      </w:pPr>
      <w:r>
        <w:rPr>
          <w:b/>
          <w:noProof/>
        </w:rPr>
        <w:t>Списък на арбитрите</w:t>
      </w:r>
    </w:p>
    <w:p>
      <w:pPr>
        <w:pStyle w:val="ManualNumPar1"/>
        <w:rPr>
          <w:rFonts w:eastAsia="Times New Roman"/>
          <w:noProof/>
          <w:szCs w:val="24"/>
        </w:rPr>
      </w:pPr>
      <w:r>
        <w:rPr>
          <w:noProof/>
        </w:rPr>
        <w:t>1.</w:t>
      </w:r>
      <w:r>
        <w:rPr>
          <w:noProof/>
        </w:rPr>
        <w:tab/>
        <w:t>До шест (6) месеца след влизането в сила на настоящото споразумение Комитетът на висшите служители съставя списък с поне петнадесет (15) лица, които желаят и са способни да изпълняват функцията на арбитри. Списъкът съдържа три подсписъка: по един подсписък на лица, които да изпълняват функцията на арбитри, за всяка от страните; и един подсписък на лица, които не са граждани на никоя от страните и които да изпълняват функцията на председател на арбитражния комитет. Всеки подсписък съдържа най-малко пет (5) лица. Комитетът на висшите служители следи за това списъкът да се поддържа винаги на това равнище в съответствие с процедурния правилник.</w:t>
      </w:r>
    </w:p>
    <w:p>
      <w:pPr>
        <w:pStyle w:val="ManualNumPar1"/>
        <w:rPr>
          <w:rFonts w:eastAsia="Times New Roman"/>
          <w:noProof/>
          <w:szCs w:val="24"/>
        </w:rPr>
      </w:pPr>
      <w:r>
        <w:rPr>
          <w:noProof/>
        </w:rPr>
        <w:t>2.</w:t>
      </w:r>
      <w:r>
        <w:rPr>
          <w:noProof/>
        </w:rPr>
        <w:tab/>
        <w:t>В случай че някой от посочените подсписъци не бъде съставен или не съдържа достатъчен брой имена на лица към момента на уведомление, направено в съответствие с член 113, параграф 2, имената на арбитрите се теглят чрез жребий измежду лицата, които официално са предложени за съответния подсписък от едната или и от двете страни. Ако само едната страна е предложила имена, тримата арбитри се избират чрез жребий измежду посочените имена.</w:t>
      </w:r>
    </w:p>
    <w:p>
      <w:pPr>
        <w:pStyle w:val="ManualNumPar1"/>
        <w:rPr>
          <w:rFonts w:eastAsia="Times New Roman"/>
          <w:noProof/>
          <w:szCs w:val="24"/>
        </w:rPr>
      </w:pPr>
      <w:r>
        <w:rPr>
          <w:noProof/>
        </w:rPr>
        <w:t>3.</w:t>
      </w:r>
      <w:r>
        <w:rPr>
          <w:noProof/>
        </w:rPr>
        <w:tab/>
        <w:t>В случай че не е бил съставен списък с арбитри по силата на параграф 1 по-горе, или не са предложени имена на арбитри съгласно параграф 2, страната, която започва процедурата по арбитраж, следва да поиска от генералния секретар на Постоянния арбитражен съд да упражнява функциите на орган по назначаването.</w:t>
      </w:r>
    </w:p>
    <w:p>
      <w:pPr>
        <w:pStyle w:val="ManualNumPar1"/>
        <w:rPr>
          <w:rFonts w:eastAsia="Times New Roman"/>
          <w:b/>
          <w:i/>
          <w:noProof/>
          <w:szCs w:val="24"/>
        </w:rPr>
      </w:pPr>
      <w:r>
        <w:rPr>
          <w:noProof/>
        </w:rPr>
        <w:t>4.</w:t>
      </w:r>
      <w:r>
        <w:rPr>
          <w:noProof/>
        </w:rPr>
        <w:tab/>
        <w:t xml:space="preserve">Арбитрите имат специализирани познания по право и международна търговия, както и професионален опит в тези области. Те са независими, изпълняват функциите си в качеството си на частни лица, не приемат указания от организация или правителство, нито пък са свързани с правителството на някоя от страните, и спазват Кодекса на поведение, приложен към процедурния правилник, който се приема от Съвета по СИП в рамките на шест (6) месеца след влизането в сила на настоящото споразумение. </w:t>
      </w:r>
    </w:p>
    <w:p>
      <w:pPr>
        <w:pStyle w:val="Titrearticle"/>
        <w:rPr>
          <w:rFonts w:eastAsia="Times New Roman"/>
          <w:b/>
          <w:iCs/>
          <w:noProof/>
          <w:color w:val="000000"/>
          <w:szCs w:val="24"/>
        </w:rPr>
      </w:pPr>
      <w:r>
        <w:rPr>
          <w:b/>
          <w:noProof/>
        </w:rPr>
        <w:t>ЧЛЕН 126</w:t>
      </w:r>
    </w:p>
    <w:p>
      <w:pPr>
        <w:jc w:val="center"/>
        <w:rPr>
          <w:rFonts w:eastAsia="Times New Roman"/>
          <w:b/>
          <w:bCs/>
          <w:noProof/>
          <w:color w:val="000000"/>
          <w:szCs w:val="24"/>
        </w:rPr>
      </w:pPr>
      <w:r>
        <w:rPr>
          <w:noProof/>
        </w:rPr>
        <w:t>О</w:t>
      </w:r>
      <w:r>
        <w:rPr>
          <w:b/>
          <w:noProof/>
        </w:rPr>
        <w:t>бвързаност с уреждането на спорове в рамките на СТО</w:t>
      </w:r>
    </w:p>
    <w:p>
      <w:pPr>
        <w:pStyle w:val="ManualNumPar1"/>
        <w:rPr>
          <w:rFonts w:eastAsia="Times New Roman"/>
          <w:noProof/>
          <w:szCs w:val="24"/>
        </w:rPr>
      </w:pPr>
      <w:r>
        <w:rPr>
          <w:noProof/>
        </w:rPr>
        <w:t>1.</w:t>
      </w:r>
      <w:r>
        <w:rPr>
          <w:noProof/>
        </w:rPr>
        <w:tab/>
        <w:t>Арбитражните комитети, създадени съгласно настоящото споразумение, не решават спорове относно правата и задълженията на която и да било от страните съгласно споразуменията в рамките на СТО.</w:t>
      </w:r>
    </w:p>
    <w:p>
      <w:pPr>
        <w:pStyle w:val="ManualNumPar1"/>
        <w:rPr>
          <w:rFonts w:eastAsia="Times New Roman"/>
          <w:noProof/>
          <w:szCs w:val="24"/>
        </w:rPr>
      </w:pPr>
      <w:r>
        <w:rPr>
          <w:noProof/>
        </w:rPr>
        <w:t>2.</w:t>
      </w:r>
      <w:r>
        <w:rPr>
          <w:noProof/>
        </w:rPr>
        <w:tab/>
        <w:t>Прибягването до разпоредбите за уреждане на спорове по настоящото споразумение не засяга действия, предприети в рамките на СТО, включително действия по уреждане на спорове. Въпреки това когато една от страните е започнала процедура за уреждане на спор по отношение на определена мярка съгласно настоящия дял или съгласно Споразумението за СТО, тя не може да започне процедура за уреждане на спор относно същата мярка пред другата юрисдикция, докато не приключи първата процедура. В допълнение никоя страна не може да търси компенсации за нарушаване на задължение, което е едно и също по споразумението и по Споразумението за СТО и пред двете юрисдикции. В такъв случай, след започването на процедура за уреждане на спор страната не търси компенсации за нарушаването на същото задължение по другото споразумение пред другата юрисдикция, освен ако избраната юрисдикция по процедурни причини или причини, свързани с подсъдността, не е могла да направи констатации по искането за компенсации във връзка с това задължение.</w:t>
      </w:r>
    </w:p>
    <w:p>
      <w:pPr>
        <w:pStyle w:val="ManualNumPar1"/>
        <w:rPr>
          <w:rFonts w:eastAsia="Times New Roman"/>
          <w:noProof/>
          <w:szCs w:val="24"/>
        </w:rPr>
      </w:pPr>
      <w:r>
        <w:rPr>
          <w:noProof/>
        </w:rPr>
        <w:t>3.</w:t>
      </w:r>
      <w:r>
        <w:rPr>
          <w:noProof/>
        </w:rPr>
        <w:tab/>
        <w:t>По отношение на определена мярка едната от страните може да започне процедура за уреждане на спорове по силата на настоящата част или по силата на Споразумението за СТО:</w:t>
      </w:r>
    </w:p>
    <w:p>
      <w:pPr>
        <w:pStyle w:val="Point1"/>
        <w:rPr>
          <w:rFonts w:eastAsia="Times New Roman"/>
          <w:noProof/>
          <w:szCs w:val="24"/>
        </w:rPr>
      </w:pPr>
      <w:r>
        <w:rPr>
          <w:noProof/>
        </w:rPr>
        <w:t>а)</w:t>
      </w:r>
      <w:r>
        <w:rPr>
          <w:noProof/>
        </w:rPr>
        <w:tab/>
        <w:t>процедурата за уреждане на спорове съгласно настоящата част се счита за започната при искане на една от страните за сформиране на арбитражен комитет съгласно член 112, и се счита за приключила, когато арбитражният комитет уведоми съгласно член 115 страните и Комитета на висшите служители за своето решение или когато бъде постигнато решение по взаимно съгласие по смисъла на член 119;</w:t>
      </w:r>
    </w:p>
    <w:p>
      <w:pPr>
        <w:pStyle w:val="Point1"/>
        <w:rPr>
          <w:rFonts w:eastAsia="Calibri"/>
          <w:b/>
          <w:noProof/>
          <w:szCs w:val="24"/>
        </w:rPr>
      </w:pPr>
      <w:r>
        <w:rPr>
          <w:noProof/>
        </w:rPr>
        <w:t>б)</w:t>
      </w:r>
      <w:r>
        <w:rPr>
          <w:noProof/>
        </w:rPr>
        <w:tab/>
        <w:t>процедурата за уреждане на спорове съгласно Споразумението за СТО се смята за започната, когато една от страните поиска създаването на комитет съгласно член 6 от Договореността относно правилата и процедурите за уреждане на спорове на СТО (ДППУС), и се счита за приключила, когато органът за уреждане на спорове одобри доклада на комитета и доклада на апелативния орган, в зависимост от случая, съгласно член 16 и член 17, параграф 14 от ДППУС.</w:t>
      </w:r>
    </w:p>
    <w:p>
      <w:pPr>
        <w:pStyle w:val="ManualNumPar1"/>
        <w:rPr>
          <w:rFonts w:eastAsia="Times New Roman"/>
          <w:b/>
          <w:noProof/>
          <w:color w:val="000000"/>
          <w:szCs w:val="24"/>
        </w:rPr>
      </w:pPr>
      <w:r>
        <w:rPr>
          <w:noProof/>
        </w:rPr>
        <w:t>4.</w:t>
      </w:r>
      <w:r>
        <w:rPr>
          <w:noProof/>
        </w:rPr>
        <w:tab/>
        <w:t>Настоящото споразумение не възпрепятства страните да прилагат преустановяване на изпълнението на задължения, разрешено от Органа за уреждане на спорове на СТО. Споразумението за СТО не може да възпрепятства страните да преустановяват изпълнението на задължения по силата на настоящото споразумение.</w:t>
      </w:r>
    </w:p>
    <w:p>
      <w:pPr>
        <w:pStyle w:val="Titrearticle"/>
        <w:rPr>
          <w:rFonts w:eastAsia="Times New Roman"/>
          <w:b/>
          <w:iCs/>
          <w:noProof/>
          <w:szCs w:val="24"/>
        </w:rPr>
      </w:pPr>
      <w:r>
        <w:rPr>
          <w:b/>
          <w:noProof/>
        </w:rPr>
        <w:t>ЧЛЕН 127</w:t>
      </w:r>
    </w:p>
    <w:p>
      <w:pPr>
        <w:jc w:val="center"/>
        <w:rPr>
          <w:rFonts w:eastAsia="Times New Roman"/>
          <w:b/>
          <w:bCs/>
          <w:noProof/>
          <w:szCs w:val="24"/>
        </w:rPr>
      </w:pPr>
      <w:r>
        <w:rPr>
          <w:b/>
          <w:noProof/>
        </w:rPr>
        <w:t>Срокове</w:t>
      </w:r>
    </w:p>
    <w:p>
      <w:pPr>
        <w:pStyle w:val="ManualNumPar1"/>
        <w:rPr>
          <w:rFonts w:eastAsia="Times New Roman"/>
          <w:noProof/>
          <w:szCs w:val="24"/>
        </w:rPr>
      </w:pPr>
      <w:r>
        <w:rPr>
          <w:noProof/>
        </w:rPr>
        <w:t>1.</w:t>
      </w:r>
      <w:r>
        <w:rPr>
          <w:noProof/>
        </w:rPr>
        <w:tab/>
        <w:t>Всички срокове, посочени в настоящата част, включително сроковете, в които арбитражните комитети трябва да съобщят решенията си, се изчисляват в календарни дни от деня след действието или факта, за които се отнасят.</w:t>
      </w:r>
    </w:p>
    <w:p>
      <w:pPr>
        <w:pStyle w:val="ManualNumPar1"/>
        <w:rPr>
          <w:rFonts w:eastAsia="Times New Roman"/>
          <w:b/>
          <w:noProof/>
          <w:szCs w:val="24"/>
        </w:rPr>
      </w:pPr>
      <w:r>
        <w:rPr>
          <w:noProof/>
        </w:rPr>
        <w:t>2.</w:t>
      </w:r>
      <w:r>
        <w:rPr>
          <w:noProof/>
        </w:rPr>
        <w:tab/>
        <w:t>Всеки срок, посочен в настоящата част, може да бъде удължен по взаимно съгласие на страните.</w:t>
      </w:r>
    </w:p>
    <w:p>
      <w:pPr>
        <w:jc w:val="center"/>
        <w:rPr>
          <w:rFonts w:eastAsia="Times New Roman"/>
          <w:b/>
          <w:noProof/>
          <w:szCs w:val="24"/>
        </w:rPr>
      </w:pPr>
      <w:r>
        <w:rPr>
          <w:b/>
          <w:noProof/>
        </w:rPr>
        <w:t>ЧАСТ VIII: ОБЩИ ИЗКЛЮЧЕНИЯ</w:t>
      </w:r>
    </w:p>
    <w:p>
      <w:pPr>
        <w:pStyle w:val="Titrearticle"/>
        <w:rPr>
          <w:rFonts w:eastAsia="Times New Roman"/>
          <w:b/>
          <w:bCs/>
          <w:noProof/>
          <w:spacing w:val="-2"/>
          <w:szCs w:val="24"/>
        </w:rPr>
      </w:pPr>
      <w:bookmarkStart w:id="29" w:name="_Toc183244538"/>
      <w:bookmarkStart w:id="30" w:name="_Toc183613680"/>
      <w:r>
        <w:rPr>
          <w:b/>
          <w:noProof/>
        </w:rPr>
        <w:t>ЧЛЕН 128</w:t>
      </w:r>
    </w:p>
    <w:p>
      <w:pPr>
        <w:jc w:val="center"/>
        <w:rPr>
          <w:rFonts w:eastAsia="Times New Roman"/>
          <w:b/>
          <w:bCs/>
          <w:noProof/>
          <w:spacing w:val="-2"/>
          <w:szCs w:val="24"/>
        </w:rPr>
      </w:pPr>
      <w:r>
        <w:rPr>
          <w:b/>
          <w:noProof/>
        </w:rPr>
        <w:t>Клауза за общи изключения</w:t>
      </w:r>
      <w:bookmarkEnd w:id="29"/>
      <w:bookmarkEnd w:id="30"/>
    </w:p>
    <w:p>
      <w:pPr>
        <w:rPr>
          <w:rFonts w:eastAsia="Times New Roman"/>
          <w:b/>
          <w:noProof/>
          <w:szCs w:val="24"/>
        </w:rPr>
      </w:pPr>
      <w:r>
        <w:rPr>
          <w:noProof/>
        </w:rPr>
        <w:t>При условие че се спазва изискването подобни мерки да не се прилагат по начин, който би представлявал средство за произволна или неоправдана дискриминация между страните, в които съществуват сходни условия, или средство за прикрито ограничаване на международната търговия, никоя от разпоредбите на настоящото споразумение не се тълкува по начин, който възпрепятства приемането или прилагането от ЕС или от държавите партньори от ИАО, на мерки, които:</w:t>
      </w:r>
    </w:p>
    <w:p>
      <w:pPr>
        <w:pStyle w:val="Point0"/>
        <w:rPr>
          <w:noProof/>
        </w:rPr>
      </w:pPr>
      <w:r>
        <w:rPr>
          <w:noProof/>
        </w:rPr>
        <w:t>а)</w:t>
      </w:r>
      <w:r>
        <w:rPr>
          <w:noProof/>
        </w:rPr>
        <w:tab/>
        <w:t>са необходими за защита на обществената сигурност и морал или за поддържане на обществения ред;</w:t>
      </w:r>
    </w:p>
    <w:p>
      <w:pPr>
        <w:pStyle w:val="Point0"/>
        <w:rPr>
          <w:noProof/>
        </w:rPr>
      </w:pPr>
      <w:r>
        <w:rPr>
          <w:noProof/>
        </w:rPr>
        <w:t>б)</w:t>
      </w:r>
      <w:r>
        <w:rPr>
          <w:noProof/>
        </w:rPr>
        <w:tab/>
        <w:t xml:space="preserve">необходими за опазване живота или здравето на хората, животните или растенията; </w:t>
      </w:r>
    </w:p>
    <w:p>
      <w:pPr>
        <w:pStyle w:val="Point0"/>
        <w:rPr>
          <w:noProof/>
        </w:rPr>
      </w:pPr>
      <w:r>
        <w:rPr>
          <w:noProof/>
        </w:rPr>
        <w:t>в)</w:t>
      </w:r>
      <w:r>
        <w:rPr>
          <w:noProof/>
        </w:rPr>
        <w:tab/>
        <w:t>се отнасят до вноса или износа на злато или сребро;</w:t>
      </w:r>
    </w:p>
    <w:p>
      <w:pPr>
        <w:pStyle w:val="Point0"/>
        <w:rPr>
          <w:noProof/>
        </w:rPr>
      </w:pPr>
      <w:r>
        <w:rPr>
          <w:noProof/>
        </w:rPr>
        <w:t>г)</w:t>
      </w:r>
      <w:r>
        <w:rPr>
          <w:noProof/>
        </w:rPr>
        <w:tab/>
        <w:t>са необходими, за да се гарантира спазването на законови или подзаконови разпоредби, които са в съответствие с разпоредбите на настоящото споразумение, включително и такива, които се отнасят до прилагане на митнически процедури, упражняването на монопол по член II, параграф 4 и член XVII от ГАТТ, закрила на патенти, търговски марки и авторски права и предотвратяване на измамни практики;</w:t>
      </w:r>
    </w:p>
    <w:p>
      <w:pPr>
        <w:pStyle w:val="Point0"/>
        <w:rPr>
          <w:noProof/>
        </w:rPr>
      </w:pPr>
      <w:r>
        <w:rPr>
          <w:noProof/>
        </w:rPr>
        <w:t>д)</w:t>
      </w:r>
      <w:r>
        <w:rPr>
          <w:noProof/>
        </w:rPr>
        <w:tab/>
        <w:t xml:space="preserve">се отнасят до продукти от труд, полаган в места за лишаване от свобода; </w:t>
      </w:r>
    </w:p>
    <w:p>
      <w:pPr>
        <w:pStyle w:val="Point0"/>
        <w:rPr>
          <w:noProof/>
        </w:rPr>
      </w:pPr>
      <w:r>
        <w:rPr>
          <w:noProof/>
        </w:rPr>
        <w:t>е)</w:t>
      </w:r>
      <w:r>
        <w:rPr>
          <w:noProof/>
        </w:rPr>
        <w:tab/>
        <w:t>са наложени за опазване на националните богатства с художествена, историческа или археологическа стойност;</w:t>
      </w:r>
    </w:p>
    <w:p>
      <w:pPr>
        <w:pStyle w:val="Point0"/>
        <w:rPr>
          <w:noProof/>
        </w:rPr>
      </w:pPr>
      <w:r>
        <w:rPr>
          <w:noProof/>
        </w:rPr>
        <w:t>ж)</w:t>
      </w:r>
      <w:r>
        <w:rPr>
          <w:noProof/>
        </w:rPr>
        <w:tab/>
        <w:t xml:space="preserve">се отнасят до опазването на изчерпаемите природни ресурси, ако такива мерки влязат в сила заедно с ограничения по отношение на местното производство или потребление; </w:t>
      </w:r>
    </w:p>
    <w:p>
      <w:pPr>
        <w:pStyle w:val="Point0"/>
        <w:rPr>
          <w:noProof/>
        </w:rPr>
      </w:pPr>
      <w:r>
        <w:rPr>
          <w:noProof/>
        </w:rPr>
        <w:t>з)</w:t>
      </w:r>
      <w:r>
        <w:rPr>
          <w:noProof/>
        </w:rPr>
        <w:tab/>
        <w:t>са предприети в изпълнение на задължения по някое междуправителствено споразумение относно стоки, отговарящо на критериите, които са били представени на договарящите страни по ГАТТ и по които те не са изказали неодобрение, или когато самото споразумение е представено и по него не е изказано неодобрение по този начин</w:t>
      </w:r>
      <w:r>
        <w:rPr>
          <w:rStyle w:val="FootnoteReference"/>
          <w:noProof/>
        </w:rPr>
        <w:footnoteReference w:id="4"/>
      </w:r>
      <w:r>
        <w:rPr>
          <w:noProof/>
        </w:rPr>
        <w:t>.</w:t>
      </w:r>
    </w:p>
    <w:p>
      <w:pPr>
        <w:pStyle w:val="Point0"/>
        <w:rPr>
          <w:noProof/>
        </w:rPr>
      </w:pPr>
      <w:r>
        <w:rPr>
          <w:noProof/>
        </w:rPr>
        <w:t>и)</w:t>
      </w:r>
      <w:r>
        <w:rPr>
          <w:noProof/>
        </w:rPr>
        <w:tab/>
        <w:t>включват ограничения на износа на местни материали, необходими за гарантиране на съществените количества на такива материали за местната преработвателна промишленост през периоди, когато местната цена на такива материали се задържа на по-ниски нива от световната цена като част от правителствен план за стабилизация. Такива мерки обаче не трябва да водят до увеличаване на износа на или на защитата, предоставена на такава местна промишленост, и не трябва да се отклоняват от разпоредбите на настоящото споразумение относно недискриминацията;</w:t>
      </w:r>
    </w:p>
    <w:p>
      <w:pPr>
        <w:pStyle w:val="Point0"/>
        <w:rPr>
          <w:rFonts w:eastAsia="Times New Roman"/>
          <w:b/>
          <w:noProof/>
        </w:rPr>
      </w:pPr>
      <w:r>
        <w:rPr>
          <w:noProof/>
        </w:rPr>
        <w:t>й)</w:t>
      </w:r>
      <w:r>
        <w:rPr>
          <w:noProof/>
        </w:rPr>
        <w:tab/>
        <w:t>са от основно значение за придобиването или търговското разпространение на продукти, по отношение на които съществува недостиг като цяло или на местно равнище, при условие че такива мерки са в съответствие с принципа, че ЕС и държавите партньори от ИАО имат право да получат справедлив дял от международните доставки на такива продукти и че мерки, които не са в съответствие с другите разпоредби на настоящото споразумение, се прекратяват веднага щом отпаднат условията, довели до тяхното прилагане.</w:t>
      </w:r>
      <w:bookmarkStart w:id="31" w:name="_Toc183244539"/>
      <w:bookmarkStart w:id="32" w:name="_Toc182829707"/>
    </w:p>
    <w:p>
      <w:pPr>
        <w:pStyle w:val="Titrearticle"/>
        <w:rPr>
          <w:rFonts w:eastAsia="Times New Roman"/>
          <w:b/>
          <w:noProof/>
          <w:szCs w:val="24"/>
        </w:rPr>
      </w:pPr>
      <w:r>
        <w:rPr>
          <w:b/>
          <w:noProof/>
        </w:rPr>
        <w:t>ЧЛЕН</w:t>
      </w:r>
      <w:bookmarkEnd w:id="31"/>
      <w:r>
        <w:rPr>
          <w:b/>
          <w:noProof/>
        </w:rPr>
        <w:t xml:space="preserve"> 129</w:t>
      </w:r>
    </w:p>
    <w:bookmarkEnd w:id="32"/>
    <w:p>
      <w:pPr>
        <w:jc w:val="center"/>
        <w:rPr>
          <w:rFonts w:eastAsia="Times New Roman"/>
          <w:b/>
          <w:bCs/>
          <w:noProof/>
          <w:szCs w:val="24"/>
        </w:rPr>
      </w:pPr>
      <w:r>
        <w:rPr>
          <w:b/>
          <w:noProof/>
        </w:rPr>
        <w:t>Изключения във връзка със сигурността</w:t>
      </w:r>
    </w:p>
    <w:p>
      <w:pPr>
        <w:pStyle w:val="ManualNumPar1"/>
        <w:rPr>
          <w:rFonts w:eastAsia="Times New Roman"/>
          <w:b/>
          <w:noProof/>
          <w:szCs w:val="24"/>
        </w:rPr>
      </w:pPr>
      <w:r>
        <w:rPr>
          <w:noProof/>
        </w:rPr>
        <w:t>1.</w:t>
      </w:r>
      <w:r>
        <w:rPr>
          <w:noProof/>
        </w:rPr>
        <w:tab/>
        <w:t>Никоя от разпоредбите в настоящото споразумение не се тълкува:</w:t>
      </w:r>
    </w:p>
    <w:p>
      <w:pPr>
        <w:pStyle w:val="Point1"/>
        <w:rPr>
          <w:rFonts w:eastAsia="Times New Roman"/>
          <w:noProof/>
          <w:szCs w:val="24"/>
        </w:rPr>
      </w:pPr>
      <w:r>
        <w:rPr>
          <w:noProof/>
        </w:rPr>
        <w:t>а)</w:t>
      </w:r>
      <w:r>
        <w:rPr>
          <w:noProof/>
        </w:rPr>
        <w:tab/>
        <w:t>като изискваща от ЕС или от държавите партньори от ИАО да предоставят информация, разкриването на която те смятат за противоречащо на техни основни интереси в областта на сигурността; или</w:t>
      </w:r>
    </w:p>
    <w:p>
      <w:pPr>
        <w:pStyle w:val="Point1"/>
        <w:rPr>
          <w:rFonts w:eastAsia="Times New Roman"/>
          <w:b/>
          <w:noProof/>
          <w:szCs w:val="24"/>
        </w:rPr>
      </w:pPr>
      <w:r>
        <w:rPr>
          <w:noProof/>
        </w:rPr>
        <w:t>б)</w:t>
      </w:r>
      <w:r>
        <w:rPr>
          <w:noProof/>
        </w:rPr>
        <w:tab/>
        <w:t>като възпрепятстваща ЕС или държавите партньори от ИАО да предприемат действия, които смятат за необходими за защитата на техни основни интереси в областта на сигурността:</w:t>
      </w:r>
    </w:p>
    <w:p>
      <w:pPr>
        <w:pStyle w:val="Point2"/>
        <w:rPr>
          <w:b/>
          <w:noProof/>
        </w:rPr>
      </w:pPr>
      <w:r>
        <w:rPr>
          <w:noProof/>
        </w:rPr>
        <w:t>i)</w:t>
      </w:r>
      <w:r>
        <w:rPr>
          <w:noProof/>
        </w:rPr>
        <w:tab/>
        <w:t>във връзка с ядрени материали или материали, от които те се получават;</w:t>
      </w:r>
    </w:p>
    <w:p>
      <w:pPr>
        <w:pStyle w:val="Point2"/>
        <w:rPr>
          <w:noProof/>
          <w:spacing w:val="-2"/>
        </w:rPr>
      </w:pPr>
      <w:r>
        <w:rPr>
          <w:noProof/>
        </w:rPr>
        <w:t>ii)</w:t>
      </w:r>
      <w:r>
        <w:rPr>
          <w:noProof/>
        </w:rPr>
        <w:tab/>
        <w:t xml:space="preserve">във връзка с трафик на оръжие, муниции и военна техника и подобен трафик с други стоки и материали, когато се провежда пряко или косвено за целите на снабдяване на военен обект; </w:t>
      </w:r>
    </w:p>
    <w:p>
      <w:pPr>
        <w:pStyle w:val="Point2"/>
        <w:rPr>
          <w:b/>
          <w:noProof/>
        </w:rPr>
      </w:pPr>
      <w:r>
        <w:rPr>
          <w:noProof/>
        </w:rPr>
        <w:t>iii)</w:t>
      </w:r>
      <w:r>
        <w:rPr>
          <w:noProof/>
        </w:rPr>
        <w:tab/>
        <w:t xml:space="preserve">във връзка с възлагането на държавна поръчка, която е абсолютно необходима за целите на националната сигурност или отбрана; </w:t>
      </w:r>
    </w:p>
    <w:p>
      <w:pPr>
        <w:pStyle w:val="Point2"/>
        <w:rPr>
          <w:b/>
          <w:noProof/>
        </w:rPr>
      </w:pPr>
      <w:r>
        <w:rPr>
          <w:noProof/>
        </w:rPr>
        <w:t>iv)</w:t>
      </w:r>
      <w:r>
        <w:rPr>
          <w:noProof/>
        </w:rPr>
        <w:tab/>
        <w:t>предприети по време на война или друга спешна ситуация в международните отношения; или</w:t>
      </w:r>
    </w:p>
    <w:p>
      <w:pPr>
        <w:pStyle w:val="Point1"/>
        <w:rPr>
          <w:rFonts w:eastAsia="Times New Roman"/>
          <w:b/>
          <w:noProof/>
          <w:szCs w:val="24"/>
        </w:rPr>
      </w:pPr>
      <w:r>
        <w:rPr>
          <w:noProof/>
        </w:rPr>
        <w:t>в)</w:t>
      </w:r>
      <w:r>
        <w:rPr>
          <w:noProof/>
        </w:rPr>
        <w:tab/>
        <w:t>като възпрепятстваща ЕС или държавите партньори от ИАО да предприемат действия в изпълнение на своите задължения по Хартата на ООН във връзка с поддържането на международния мир и сигурност.</w:t>
      </w:r>
      <w:r>
        <w:rPr>
          <w:noProof/>
          <w:color w:val="000000"/>
        </w:rPr>
        <w:t xml:space="preserve"> </w:t>
      </w:r>
    </w:p>
    <w:p>
      <w:pPr>
        <w:pStyle w:val="ManualNumPar1"/>
        <w:rPr>
          <w:rFonts w:eastAsia="Times New Roman"/>
          <w:b/>
          <w:noProof/>
          <w:szCs w:val="24"/>
        </w:rPr>
      </w:pPr>
      <w:r>
        <w:rPr>
          <w:noProof/>
        </w:rPr>
        <w:t>2.</w:t>
      </w:r>
      <w:r>
        <w:rPr>
          <w:noProof/>
        </w:rPr>
        <w:tab/>
        <w:t>Комитетът на висшите служители се информира във възможно най-голяма степен за мерките, предприети по силата на параграф 1, букви б) и в) по-горе, както и за тяхното прекратяване.</w:t>
      </w:r>
    </w:p>
    <w:p>
      <w:pPr>
        <w:pStyle w:val="Titrearticle"/>
        <w:rPr>
          <w:rFonts w:eastAsia="Times New Roman"/>
          <w:b/>
          <w:iCs/>
          <w:noProof/>
          <w:szCs w:val="24"/>
        </w:rPr>
      </w:pPr>
      <w:r>
        <w:rPr>
          <w:b/>
          <w:noProof/>
        </w:rPr>
        <w:t>ЧЛЕН 130</w:t>
      </w:r>
    </w:p>
    <w:p>
      <w:pPr>
        <w:jc w:val="center"/>
        <w:rPr>
          <w:rFonts w:eastAsia="Times New Roman"/>
          <w:b/>
          <w:iCs/>
          <w:noProof/>
          <w:szCs w:val="24"/>
        </w:rPr>
      </w:pPr>
      <w:r>
        <w:rPr>
          <w:b/>
          <w:noProof/>
        </w:rPr>
        <w:t>Данъчно облагане</w:t>
      </w:r>
    </w:p>
    <w:p>
      <w:pPr>
        <w:pStyle w:val="ManualNumPar1"/>
        <w:rPr>
          <w:rFonts w:eastAsia="Times New Roman"/>
          <w:noProof/>
          <w:szCs w:val="24"/>
        </w:rPr>
      </w:pPr>
      <w:r>
        <w:rPr>
          <w:noProof/>
        </w:rPr>
        <w:t>1.</w:t>
      </w:r>
      <w:r>
        <w:rPr>
          <w:noProof/>
        </w:rPr>
        <w:tab/>
        <w:t>Никоя от разпоредбите на настоящото споразумение или на което и да било споразумение, прието по силата на настоящото, не се тълкува като възпрепятстваща която и да било от страните при прилагането на съответните разпоредби на данъчното ѝ законодателство да прави разграничение между данъкоплатци, които не се намират в еднакво положение, а именно с оглед на мястото им на пребиваване или с оглед на мястото, където е инвестиран капиталът им.</w:t>
      </w:r>
    </w:p>
    <w:p>
      <w:pPr>
        <w:pStyle w:val="ManualNumPar1"/>
        <w:rPr>
          <w:rFonts w:eastAsia="Times New Roman"/>
          <w:noProof/>
          <w:szCs w:val="24"/>
        </w:rPr>
      </w:pPr>
      <w:r>
        <w:rPr>
          <w:noProof/>
        </w:rPr>
        <w:t>2.</w:t>
      </w:r>
      <w:r>
        <w:rPr>
          <w:noProof/>
        </w:rPr>
        <w:tab/>
        <w:t>Никоя от разпоредбите на настоящото споразумение или на което и да било споразумение, прието по силата на настоящото, не се тълкува като възпрепятстваща приемането или прилагането на каквато и да било мярка, целяща да предотврати избягването на данъчно облагане или укриването на данъци, в съответствие с данъчните разпоредби на спогодбите за избягване на двойното данъчно облагане или с други данъчни споразумения или с местното данъчно законодателство.</w:t>
      </w:r>
    </w:p>
    <w:p>
      <w:pPr>
        <w:pStyle w:val="ManualNumPar1"/>
        <w:rPr>
          <w:rFonts w:eastAsia="Times New Roman"/>
          <w:b/>
          <w:noProof/>
          <w:szCs w:val="24"/>
        </w:rPr>
      </w:pPr>
      <w:r>
        <w:rPr>
          <w:noProof/>
        </w:rPr>
        <w:t>3.</w:t>
      </w:r>
      <w:r>
        <w:rPr>
          <w:noProof/>
        </w:rPr>
        <w:tab/>
        <w:t>Никоя от разпоредбите на настоящото споразумение не засяга правата и задълженията на страните, предвидени в която и да било данъчна спогодба. В случай на несъответствие между настоящото споразумение и такава спогодба, последната има предимство по отношение на несъответствието.</w:t>
      </w:r>
    </w:p>
    <w:p>
      <w:pPr>
        <w:jc w:val="center"/>
        <w:rPr>
          <w:rFonts w:eastAsia="Times New Roman"/>
          <w:b/>
          <w:noProof/>
          <w:szCs w:val="24"/>
        </w:rPr>
      </w:pPr>
      <w:r>
        <w:rPr>
          <w:b/>
          <w:noProof/>
        </w:rPr>
        <w:t>ЧАСТ IX: ОБЩИ И ЗАКЛЮЧИТЕЛНИ РАЗПОРЕДБИ</w:t>
      </w:r>
    </w:p>
    <w:p>
      <w:pPr>
        <w:pStyle w:val="Titrearticle"/>
        <w:rPr>
          <w:rFonts w:eastAsia="Times New Roman"/>
          <w:b/>
          <w:iCs/>
          <w:noProof/>
          <w:szCs w:val="24"/>
        </w:rPr>
      </w:pPr>
      <w:r>
        <w:rPr>
          <w:b/>
          <w:noProof/>
        </w:rPr>
        <w:t>ЧЛЕН 131</w:t>
      </w:r>
    </w:p>
    <w:p>
      <w:pPr>
        <w:jc w:val="center"/>
        <w:rPr>
          <w:rFonts w:eastAsia="Times New Roman"/>
          <w:b/>
          <w:bCs/>
          <w:noProof/>
          <w:szCs w:val="24"/>
        </w:rPr>
      </w:pPr>
      <w:r>
        <w:rPr>
          <w:b/>
          <w:noProof/>
        </w:rPr>
        <w:t>Затруднения по платежния баланс</w:t>
      </w:r>
    </w:p>
    <w:p>
      <w:pPr>
        <w:pStyle w:val="ManualNumPar1"/>
        <w:rPr>
          <w:rFonts w:eastAsia="Times New Roman"/>
          <w:noProof/>
          <w:szCs w:val="24"/>
        </w:rPr>
      </w:pPr>
      <w:r>
        <w:rPr>
          <w:noProof/>
        </w:rPr>
        <w:t>1.</w:t>
      </w:r>
      <w:r>
        <w:rPr>
          <w:noProof/>
        </w:rPr>
        <w:tab/>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тя може да приеме или да запази ограничителни мерки по отношение на търговията със стоки.</w:t>
      </w:r>
    </w:p>
    <w:p>
      <w:pPr>
        <w:pStyle w:val="ManualNumPar1"/>
        <w:rPr>
          <w:rFonts w:eastAsia="Times New Roman"/>
          <w:noProof/>
          <w:szCs w:val="24"/>
        </w:rPr>
      </w:pPr>
      <w:r>
        <w:rPr>
          <w:noProof/>
        </w:rPr>
        <w:t>2.</w:t>
      </w:r>
      <w:r>
        <w:rPr>
          <w:noProof/>
        </w:rPr>
        <w:tab/>
        <w:t>Страните полагат усилия за избягване на прилагането на ограничителните мерки, посочени в параграф 1.</w:t>
      </w:r>
    </w:p>
    <w:p>
      <w:pPr>
        <w:pStyle w:val="ManualNumPar1"/>
        <w:rPr>
          <w:rFonts w:eastAsia="Times New Roman"/>
          <w:noProof/>
          <w:szCs w:val="24"/>
        </w:rPr>
      </w:pPr>
      <w:r>
        <w:rPr>
          <w:noProof/>
        </w:rPr>
        <w:t>3.</w:t>
      </w:r>
      <w:r>
        <w:rPr>
          <w:noProof/>
        </w:rPr>
        <w:tab/>
        <w:t>Всяка приета или запазена съгласно настоящия член ограничителна мярка е недискриминационна и с ограничен срок на действие, и не надхвърля необходимото за справяне със ситуацията, свързана с платежния баланс и с външната финансова позиция. Такива мерки са в съответствие с условията, установени в споразуменията в рамките на СТО, и с Учредителния договор на Международния валутен фонд (МВФ), в зависимост от случая.</w:t>
      </w:r>
    </w:p>
    <w:p>
      <w:pPr>
        <w:pStyle w:val="ManualNumPar1"/>
        <w:rPr>
          <w:rFonts w:eastAsia="Times New Roman"/>
          <w:noProof/>
          <w:szCs w:val="24"/>
        </w:rPr>
      </w:pPr>
      <w:r>
        <w:rPr>
          <w:noProof/>
        </w:rPr>
        <w:t>4.</w:t>
      </w:r>
      <w:r>
        <w:rPr>
          <w:noProof/>
        </w:rPr>
        <w:tab/>
        <w:t>Когато някоя от страните е поддържала или приела ограничителни мерки или някакви изменения на такива мерки, тя своевременно уведомява другата страна и Съвета по СИП за тях и представя във възможно най-кратки срокове график за тяхното премахване.</w:t>
      </w:r>
    </w:p>
    <w:p>
      <w:pPr>
        <w:pStyle w:val="ManualNumPar1"/>
        <w:rPr>
          <w:rFonts w:eastAsia="Times New Roman"/>
          <w:b/>
          <w:noProof/>
          <w:szCs w:val="24"/>
        </w:rPr>
      </w:pPr>
      <w:r>
        <w:rPr>
          <w:noProof/>
        </w:rPr>
        <w:t>5.</w:t>
      </w:r>
      <w:r>
        <w:rPr>
          <w:noProof/>
        </w:rPr>
        <w:tab/>
        <w:t xml:space="preserve">В рамките на Съвета за СИП своевременно се провеждат консултации и в хода на тези консултации се оценяват ситуацията с платежния баланс на съответната страна, както и приетите или поддържани ограничения съгласно този член, като се вземат предвид, </w:t>
      </w:r>
      <w:r>
        <w:rPr>
          <w:i/>
          <w:noProof/>
        </w:rPr>
        <w:t>inter alia</w:t>
      </w:r>
      <w:r>
        <w:rPr>
          <w:noProof/>
        </w:rPr>
        <w:t>, фактори като:</w:t>
      </w:r>
    </w:p>
    <w:p>
      <w:pPr>
        <w:pStyle w:val="Point1"/>
        <w:rPr>
          <w:rFonts w:eastAsia="Times New Roman"/>
          <w:noProof/>
          <w:color w:val="000000"/>
          <w:szCs w:val="24"/>
        </w:rPr>
      </w:pPr>
      <w:r>
        <w:rPr>
          <w:noProof/>
        </w:rPr>
        <w:t>а)</w:t>
      </w:r>
      <w:r>
        <w:rPr>
          <w:noProof/>
        </w:rPr>
        <w:tab/>
        <w:t>естеството и степента на затрудненията по платежния баланс и външната финансова позиция;</w:t>
      </w:r>
    </w:p>
    <w:p>
      <w:pPr>
        <w:pStyle w:val="Point1"/>
        <w:rPr>
          <w:rFonts w:eastAsia="Times New Roman"/>
          <w:noProof/>
          <w:color w:val="000000"/>
          <w:szCs w:val="24"/>
        </w:rPr>
      </w:pPr>
      <w:r>
        <w:rPr>
          <w:noProof/>
          <w:color w:val="000000"/>
        </w:rPr>
        <w:t>б)</w:t>
      </w:r>
      <w:r>
        <w:rPr>
          <w:noProof/>
        </w:rPr>
        <w:tab/>
      </w:r>
      <w:r>
        <w:rPr>
          <w:noProof/>
          <w:color w:val="000000"/>
        </w:rPr>
        <w:t>външната икономическа и търговска конюнктура;</w:t>
      </w:r>
    </w:p>
    <w:p>
      <w:pPr>
        <w:pStyle w:val="Point1"/>
        <w:rPr>
          <w:rFonts w:eastAsia="Times New Roman"/>
          <w:b/>
          <w:noProof/>
          <w:szCs w:val="24"/>
        </w:rPr>
      </w:pPr>
      <w:r>
        <w:rPr>
          <w:noProof/>
          <w:color w:val="000000"/>
        </w:rPr>
        <w:t>в)</w:t>
      </w:r>
      <w:r>
        <w:rPr>
          <w:noProof/>
        </w:rPr>
        <w:tab/>
        <w:t xml:space="preserve">други възможни корективни мерки. </w:t>
      </w:r>
    </w:p>
    <w:p>
      <w:pPr>
        <w:pStyle w:val="ManualNumPar1"/>
        <w:rPr>
          <w:rFonts w:eastAsia="Times New Roman"/>
          <w:b/>
          <w:noProof/>
          <w:szCs w:val="24"/>
        </w:rPr>
      </w:pPr>
      <w:r>
        <w:rPr>
          <w:noProof/>
        </w:rPr>
        <w:t>6.</w:t>
      </w:r>
      <w:r>
        <w:rPr>
          <w:noProof/>
        </w:rPr>
        <w:tab/>
        <w:t xml:space="preserve">При консултациите се обръща внимание на съответствието на всякакви ограничителни мерки с параграфи 3 и 4. Всички констатации за статистически и други факти, представени от Международния валутен фонд, отнасящи се до валутен обмен, парични резерви и платежен баланс, се приемат, и заключенията се основават на оценката на Фонда за платежния баланс и външната финансова позиция на съответната страна, която приема или поддържа мярката. </w:t>
      </w:r>
    </w:p>
    <w:p>
      <w:pPr>
        <w:pStyle w:val="Titrearticle"/>
        <w:rPr>
          <w:rFonts w:eastAsia="Times New Roman"/>
          <w:b/>
          <w:iCs/>
          <w:noProof/>
          <w:szCs w:val="24"/>
        </w:rPr>
      </w:pPr>
      <w:r>
        <w:rPr>
          <w:b/>
          <w:noProof/>
        </w:rPr>
        <w:t>ЧЛЕН 132</w:t>
      </w:r>
    </w:p>
    <w:p>
      <w:pPr>
        <w:jc w:val="center"/>
        <w:rPr>
          <w:rFonts w:eastAsia="Times New Roman"/>
          <w:b/>
          <w:bCs/>
          <w:noProof/>
          <w:szCs w:val="24"/>
        </w:rPr>
      </w:pPr>
      <w:r>
        <w:rPr>
          <w:b/>
          <w:noProof/>
        </w:rPr>
        <w:t>Дефиниране на страните и изпълнение на задълженията</w:t>
      </w:r>
    </w:p>
    <w:p>
      <w:pPr>
        <w:pStyle w:val="ManualNumPar1"/>
        <w:rPr>
          <w:rFonts w:eastAsia="Times New Roman"/>
          <w:noProof/>
          <w:szCs w:val="24"/>
        </w:rPr>
      </w:pPr>
      <w:r>
        <w:rPr>
          <w:noProof/>
        </w:rPr>
        <w:t>1.</w:t>
      </w:r>
      <w:r>
        <w:rPr>
          <w:noProof/>
        </w:rPr>
        <w:tab/>
        <w:t>Договарящи страни по настоящото споразумение са договарящите страни по Договора за създаване на Източноафриканската общност, наричани по-долу „държавите партньори от ИАО“, от една страна, и Европейският съюз или неговите държави членки, или Европейският съюз и неговите държави членки, в рамките на съответните им области на компетентност, произтичащи от Договора за Европейския съюз и Договора за функционирането на Европейския съюз, наричан по-долу „ЕС“, от друга страна.</w:t>
      </w:r>
    </w:p>
    <w:p>
      <w:pPr>
        <w:pStyle w:val="ManualNumPar1"/>
        <w:rPr>
          <w:rFonts w:eastAsia="Times New Roman"/>
          <w:noProof/>
          <w:szCs w:val="24"/>
        </w:rPr>
      </w:pPr>
      <w:r>
        <w:rPr>
          <w:noProof/>
        </w:rPr>
        <w:t>2.</w:t>
      </w:r>
      <w:r>
        <w:rPr>
          <w:noProof/>
        </w:rPr>
        <w:tab/>
        <w:t>За целите на настоящото споразумение понятието „страна“ се отнася, в зависимост от случая, до държавите партньори от ИАО, действащи колективно, или до ЕС. Понятието „страни“ се отнася до държавите партньори от ИАО, действащи колективно, и до ЕС.</w:t>
      </w:r>
    </w:p>
    <w:p>
      <w:pPr>
        <w:pStyle w:val="ManualNumPar1"/>
        <w:rPr>
          <w:rFonts w:eastAsia="Times New Roman"/>
          <w:noProof/>
          <w:szCs w:val="24"/>
        </w:rPr>
      </w:pPr>
      <w:r>
        <w:rPr>
          <w:noProof/>
        </w:rPr>
        <w:t>3.</w:t>
      </w:r>
      <w:r>
        <w:rPr>
          <w:noProof/>
        </w:rPr>
        <w:tab/>
        <w:t>Държавите партньори от ИАО могат да упълномощят един от своите представители да действа от тяхно име по всички въпроси, попадащи в обхвата на настоящото споразумение, за които са се споразумели да действат колективно.</w:t>
      </w:r>
    </w:p>
    <w:p>
      <w:pPr>
        <w:pStyle w:val="ManualNumPar1"/>
        <w:rPr>
          <w:rFonts w:eastAsia="Times New Roman"/>
          <w:b/>
          <w:noProof/>
          <w:szCs w:val="24"/>
        </w:rPr>
      </w:pPr>
      <w:r>
        <w:rPr>
          <w:noProof/>
        </w:rPr>
        <w:t>4.</w:t>
      </w:r>
      <w:r>
        <w:rPr>
          <w:noProof/>
        </w:rPr>
        <w:tab/>
        <w:t>Страните приемат всички общи или специални мерки, необходими за изпълнение на задълженията им по настоящото споразумение, и гарантират, че съблюдават целите, предвидени в него.</w:t>
      </w:r>
    </w:p>
    <w:p>
      <w:pPr>
        <w:pStyle w:val="Titrearticle"/>
        <w:rPr>
          <w:rFonts w:eastAsia="Times New Roman"/>
          <w:b/>
          <w:iCs/>
          <w:noProof/>
          <w:szCs w:val="24"/>
        </w:rPr>
      </w:pPr>
      <w:r>
        <w:rPr>
          <w:b/>
          <w:noProof/>
        </w:rPr>
        <w:t>ЧЛЕН 133</w:t>
      </w:r>
    </w:p>
    <w:p>
      <w:pPr>
        <w:jc w:val="center"/>
        <w:rPr>
          <w:rFonts w:eastAsia="Times New Roman"/>
          <w:b/>
          <w:bCs/>
          <w:noProof/>
          <w:szCs w:val="24"/>
        </w:rPr>
      </w:pPr>
      <w:r>
        <w:rPr>
          <w:b/>
          <w:noProof/>
        </w:rPr>
        <w:t>Звена за контакт</w:t>
      </w:r>
    </w:p>
    <w:p>
      <w:pPr>
        <w:pStyle w:val="ManualNumPar1"/>
        <w:rPr>
          <w:rFonts w:eastAsia="Times New Roman"/>
          <w:noProof/>
          <w:szCs w:val="24"/>
        </w:rPr>
      </w:pPr>
      <w:r>
        <w:rPr>
          <w:noProof/>
        </w:rPr>
        <w:t>1.</w:t>
      </w:r>
      <w:r>
        <w:rPr>
          <w:noProof/>
        </w:rPr>
        <w:tab/>
        <w:t>С цел улесняване на комуникацията, свързана с ефективното прилагане на настоящото споразумение, страните определят, при влизането в сила на настоящото споразумение, звена за контакт за обмен на информация. Определянето на звена за контакт за обмен на информация не засяга специфичното определяне на компетентни органи по конкретни разпоредби от настоящото споразумение.</w:t>
      </w:r>
    </w:p>
    <w:p>
      <w:pPr>
        <w:pStyle w:val="ManualNumPar1"/>
        <w:rPr>
          <w:rFonts w:eastAsia="Times New Roman"/>
          <w:noProof/>
          <w:szCs w:val="24"/>
        </w:rPr>
      </w:pPr>
      <w:r>
        <w:rPr>
          <w:noProof/>
        </w:rPr>
        <w:t>2.</w:t>
      </w:r>
      <w:r>
        <w:rPr>
          <w:noProof/>
        </w:rPr>
        <w:tab/>
        <w:t xml:space="preserve">По искане на звената за контакт за обмен на информация всяка страна посочва службата или служителя, отговаряща или отговарящ за всеки въпрос, свързан с прилагането на настоящото споразумение, и предоставя необходимото съдействие за улесняване на комуникацията със страната, която е отправила искането. </w:t>
      </w:r>
    </w:p>
    <w:p>
      <w:pPr>
        <w:pStyle w:val="ManualNumPar1"/>
        <w:rPr>
          <w:rFonts w:eastAsia="Times New Roman"/>
          <w:b/>
          <w:noProof/>
          <w:szCs w:val="24"/>
        </w:rPr>
      </w:pPr>
      <w:r>
        <w:rPr>
          <w:noProof/>
        </w:rPr>
        <w:t>3.</w:t>
      </w:r>
      <w:r>
        <w:rPr>
          <w:noProof/>
        </w:rPr>
        <w:tab/>
        <w:t xml:space="preserve">Всяка страна, в зависимост от случая, по искане на другата страна и в законово допустимата степен, предоставя информация и отговаря своевременно на всеки въпрос на другата страна във връзка с действащи или предложени мерки, които биха могли да засегнат търговията между страните. </w:t>
      </w:r>
    </w:p>
    <w:p>
      <w:pPr>
        <w:pStyle w:val="Titrearticle"/>
        <w:rPr>
          <w:rFonts w:eastAsia="Times New Roman"/>
          <w:b/>
          <w:iCs/>
          <w:noProof/>
          <w:szCs w:val="24"/>
        </w:rPr>
      </w:pPr>
      <w:r>
        <w:rPr>
          <w:b/>
          <w:noProof/>
        </w:rPr>
        <w:t>ЧЛЕН 134</w:t>
      </w:r>
    </w:p>
    <w:p>
      <w:pPr>
        <w:jc w:val="center"/>
        <w:rPr>
          <w:rFonts w:eastAsia="Times New Roman"/>
          <w:b/>
          <w:bCs/>
          <w:noProof/>
          <w:szCs w:val="24"/>
        </w:rPr>
      </w:pPr>
      <w:r>
        <w:rPr>
          <w:b/>
          <w:noProof/>
        </w:rPr>
        <w:t>Прозрачност и поверителност</w:t>
      </w:r>
    </w:p>
    <w:p>
      <w:pPr>
        <w:pStyle w:val="ManualNumPar1"/>
        <w:rPr>
          <w:rFonts w:eastAsia="Times New Roman"/>
          <w:noProof/>
          <w:szCs w:val="24"/>
        </w:rPr>
      </w:pPr>
      <w:r>
        <w:rPr>
          <w:noProof/>
        </w:rPr>
        <w:t>1.</w:t>
      </w:r>
      <w:r>
        <w:rPr>
          <w:noProof/>
        </w:rPr>
        <w:tab/>
        <w:t>Всяка страна гарантира, че нейните закони, подзаконови нормативни актове, процедури и административни актове с общо приложение, както и международните ангажименти, свързани с въпроси в сферата на търговията, обхванати от настоящото споразумение, се публикуват в кратки срокове или в кратки срокове стават обществено достъпни и се довеждат до знанието на другата страна.</w:t>
      </w:r>
    </w:p>
    <w:p>
      <w:pPr>
        <w:pStyle w:val="ManualNumPar1"/>
        <w:rPr>
          <w:rFonts w:eastAsia="Times New Roman"/>
          <w:noProof/>
          <w:szCs w:val="24"/>
        </w:rPr>
      </w:pPr>
      <w:r>
        <w:rPr>
          <w:noProof/>
        </w:rPr>
        <w:t>2.</w:t>
      </w:r>
      <w:r>
        <w:rPr>
          <w:noProof/>
        </w:rPr>
        <w:tab/>
        <w:t>Без да се засягат специфичните разпоредби относно прозрачността, предвидени в настоящото споразумение, информацията, посочена в настоящия член, се счита за предоставена, когато е била предоставена на Секретариата на Източноафриканската общност и на Европейската комисия или на СТО или когато е била оповестена на официалния, обществено достъпен и безплатен уебсайт на страните.</w:t>
      </w:r>
    </w:p>
    <w:p>
      <w:pPr>
        <w:pStyle w:val="ManualNumPar1"/>
        <w:rPr>
          <w:rFonts w:eastAsia="Times New Roman"/>
          <w:b/>
          <w:noProof/>
          <w:szCs w:val="24"/>
        </w:rPr>
      </w:pPr>
      <w:r>
        <w:rPr>
          <w:noProof/>
        </w:rPr>
        <w:t>3.</w:t>
      </w:r>
      <w:r>
        <w:rPr>
          <w:noProof/>
        </w:rPr>
        <w:tab/>
        <w:t>Настоящото споразумение по никакъв начин не изисква от която и да било страна да предоставя поверителна информация, чието разкриване би възпрепятствало правоприлагането или по друг начин би противоречало на обществения интерес, или би накърнило законни търговски интереси на конкретни публични или частни предприятия, освен в степен, до която разкриването може да е необходимо в контекста на процедура за уреждане на спор по силата на част VII от настоящото споразумение. Когато подобно разкриване на информация е счетено за необходимо от сформиран по силата на член 113 от част VII комитет, последният гарантира пълната защита на поверителността.</w:t>
      </w:r>
    </w:p>
    <w:p>
      <w:pPr>
        <w:pStyle w:val="Titrearticle"/>
        <w:rPr>
          <w:rFonts w:eastAsia="Times New Roman"/>
          <w:b/>
          <w:iCs/>
          <w:noProof/>
          <w:color w:val="000000"/>
          <w:szCs w:val="24"/>
        </w:rPr>
      </w:pPr>
      <w:r>
        <w:rPr>
          <w:b/>
          <w:noProof/>
        </w:rPr>
        <w:t>ЧЛЕН 135</w:t>
      </w:r>
    </w:p>
    <w:p>
      <w:pPr>
        <w:jc w:val="center"/>
        <w:rPr>
          <w:rFonts w:eastAsia="Times New Roman"/>
          <w:b/>
          <w:bCs/>
          <w:noProof/>
          <w:color w:val="000000"/>
          <w:szCs w:val="24"/>
        </w:rPr>
      </w:pPr>
      <w:r>
        <w:rPr>
          <w:b/>
          <w:noProof/>
        </w:rPr>
        <w:t>Най-отдалечени региони на Европейския съюз</w:t>
      </w:r>
    </w:p>
    <w:p>
      <w:pPr>
        <w:pStyle w:val="ManualNumPar1"/>
        <w:rPr>
          <w:rFonts w:eastAsia="Times New Roman"/>
          <w:noProof/>
          <w:szCs w:val="24"/>
        </w:rPr>
      </w:pPr>
      <w:r>
        <w:rPr>
          <w:noProof/>
        </w:rPr>
        <w:t>1.</w:t>
      </w:r>
      <w:r>
        <w:rPr>
          <w:noProof/>
        </w:rPr>
        <w:tab/>
        <w:t>Като се има предвид географската близост на най-отдалечените региони на Европейския съюз с държавите партньори от ИАО и с цел заздравяване на икономическите и социалните връзки между въпросните региони и държавите партньори от ИАО, страните полагат усилия за улесняване на сътрудничеството във всички области, обхванати от настоящото споразумение, между най-отдалечените региони на ЕС и държавите партньори от ИАО.</w:t>
      </w:r>
    </w:p>
    <w:p>
      <w:pPr>
        <w:pStyle w:val="ManualNumPar1"/>
        <w:rPr>
          <w:rFonts w:eastAsia="Times New Roman"/>
          <w:noProof/>
          <w:szCs w:val="24"/>
        </w:rPr>
      </w:pPr>
      <w:r>
        <w:rPr>
          <w:noProof/>
        </w:rPr>
        <w:t>2.</w:t>
      </w:r>
      <w:r>
        <w:rPr>
          <w:noProof/>
        </w:rPr>
        <w:tab/>
        <w:t xml:space="preserve">Постигането на заявените в параграф 1 цели се осъществява, в рамките на възможното, и чрез насърчаване на съвместното участие на държавите партньори от ИАО и на най-отдалечените региони на ЕС в рамкови и специфични програми на ЕС в обхванатите от настоящото споразумение области. </w:t>
      </w:r>
    </w:p>
    <w:p>
      <w:pPr>
        <w:pStyle w:val="ManualNumPar1"/>
        <w:rPr>
          <w:rFonts w:eastAsia="Times New Roman"/>
          <w:noProof/>
          <w:szCs w:val="24"/>
        </w:rPr>
      </w:pPr>
      <w:r>
        <w:rPr>
          <w:noProof/>
        </w:rPr>
        <w:t>3.</w:t>
      </w:r>
      <w:r>
        <w:rPr>
          <w:noProof/>
        </w:rPr>
        <w:tab/>
        <w:t xml:space="preserve">ЕС се стреми да осигурява координацията между различните финансови инструменти на политиките на ЕС за сближаване и развитие с цел насърчаване на сътрудничеството между държавите партньори от ИАО и най-отдалечените региони на ЕС в обхванатите от настоящото споразумение области. </w:t>
      </w:r>
    </w:p>
    <w:p>
      <w:pPr>
        <w:pStyle w:val="ManualNumPar1"/>
        <w:rPr>
          <w:rFonts w:eastAsia="Times New Roman"/>
          <w:b/>
          <w:noProof/>
          <w:szCs w:val="24"/>
        </w:rPr>
      </w:pPr>
      <w:r>
        <w:rPr>
          <w:noProof/>
        </w:rPr>
        <w:t>4.</w:t>
      </w:r>
      <w:r>
        <w:rPr>
          <w:noProof/>
        </w:rPr>
        <w:tab/>
        <w:t>Никоя от разпоредбите на настоящото споразумение не възпрепятства ЕС да прилага съществуващите мерки, целящи да се коригира структурната социална и икономическа ситуация в неговите най-отдалечени региони съгласно член 349 от Договора за функционирането на Европейския съюз.</w:t>
      </w:r>
    </w:p>
    <w:p>
      <w:pPr>
        <w:pStyle w:val="Titrearticle"/>
        <w:rPr>
          <w:rFonts w:eastAsia="Times New Roman"/>
          <w:b/>
          <w:iCs/>
          <w:noProof/>
          <w:szCs w:val="24"/>
        </w:rPr>
      </w:pPr>
      <w:r>
        <w:rPr>
          <w:b/>
          <w:noProof/>
        </w:rPr>
        <w:t>ЧЛЕН 136</w:t>
      </w:r>
    </w:p>
    <w:p>
      <w:pPr>
        <w:jc w:val="center"/>
        <w:rPr>
          <w:rFonts w:eastAsia="Times New Roman"/>
          <w:b/>
          <w:bCs/>
          <w:noProof/>
          <w:szCs w:val="24"/>
        </w:rPr>
      </w:pPr>
      <w:r>
        <w:rPr>
          <w:b/>
          <w:noProof/>
        </w:rPr>
        <w:t>Обвързаност с други споразумения</w:t>
      </w:r>
    </w:p>
    <w:p>
      <w:pPr>
        <w:pStyle w:val="ManualNumPar1"/>
        <w:rPr>
          <w:rFonts w:eastAsia="Times New Roman"/>
          <w:noProof/>
          <w:szCs w:val="24"/>
        </w:rPr>
      </w:pPr>
      <w:r>
        <w:rPr>
          <w:noProof/>
        </w:rPr>
        <w:t>1.</w:t>
      </w:r>
      <w:r>
        <w:rPr>
          <w:noProof/>
        </w:rPr>
        <w:tab/>
        <w:t>В случай на каквото и да било несъответствие между разпоредбите на настоящото споразумение и разпоредбите от част 3, дял II от Споразумението от Котону, разпоредбите на настоящото споразумение имат превес, с изключение на разпоредбите относно сътрудничеството за развитие, съдържащи се в част 3, дял II от Споразумението от Котону.</w:t>
      </w:r>
    </w:p>
    <w:p>
      <w:pPr>
        <w:pStyle w:val="ManualNumPar1"/>
        <w:rPr>
          <w:rFonts w:eastAsia="Times New Roman"/>
          <w:noProof/>
          <w:szCs w:val="24"/>
        </w:rPr>
      </w:pPr>
      <w:r>
        <w:rPr>
          <w:noProof/>
        </w:rPr>
        <w:t>2.</w:t>
      </w:r>
      <w:r>
        <w:rPr>
          <w:noProof/>
        </w:rPr>
        <w:tab/>
        <w:t xml:space="preserve">Никоя от разпоредбите на настоящото споразумение не може да се тълкува като пречка за приемането от която и да било страна на всички подходящи мерки, които са в съответствие с настоящото споразумение и са предвидени в Споразумението от Котону. </w:t>
      </w:r>
    </w:p>
    <w:p>
      <w:pPr>
        <w:pStyle w:val="Titrearticle"/>
        <w:rPr>
          <w:rFonts w:eastAsia="Times New Roman"/>
          <w:b/>
          <w:iCs/>
          <w:noProof/>
          <w:szCs w:val="24"/>
        </w:rPr>
      </w:pPr>
      <w:r>
        <w:rPr>
          <w:b/>
          <w:noProof/>
        </w:rPr>
        <w:t>ЧЛЕН 137</w:t>
      </w:r>
    </w:p>
    <w:p>
      <w:pPr>
        <w:jc w:val="center"/>
        <w:rPr>
          <w:rFonts w:eastAsia="Times New Roman"/>
          <w:b/>
          <w:bCs/>
          <w:noProof/>
          <w:szCs w:val="24"/>
        </w:rPr>
      </w:pPr>
      <w:r>
        <w:rPr>
          <w:b/>
          <w:noProof/>
        </w:rPr>
        <w:t>Обвързаност със споразуменията в рамките на СТО</w:t>
      </w:r>
    </w:p>
    <w:p>
      <w:pPr>
        <w:rPr>
          <w:noProof/>
        </w:rPr>
      </w:pPr>
      <w:r>
        <w:rPr>
          <w:noProof/>
        </w:rPr>
        <w:t>Страните се споразумяват, че никоя от разпоредбите на настоящото споразумение не ги задължава да действат по начин, несъвместим със задълженията им, поети в рамките на СТО.</w:t>
      </w:r>
    </w:p>
    <w:p>
      <w:pPr>
        <w:pStyle w:val="Titrearticle"/>
        <w:rPr>
          <w:rFonts w:eastAsia="Times New Roman"/>
          <w:b/>
          <w:noProof/>
          <w:szCs w:val="24"/>
        </w:rPr>
      </w:pPr>
      <w:r>
        <w:rPr>
          <w:b/>
          <w:noProof/>
        </w:rPr>
        <w:t>ЧЛЕН 138</w:t>
      </w:r>
    </w:p>
    <w:p>
      <w:pPr>
        <w:jc w:val="center"/>
        <w:rPr>
          <w:rFonts w:eastAsia="Times New Roman"/>
          <w:b/>
          <w:noProof/>
          <w:szCs w:val="24"/>
        </w:rPr>
      </w:pPr>
      <w:r>
        <w:rPr>
          <w:b/>
          <w:noProof/>
        </w:rPr>
        <w:t>Уведомления</w:t>
      </w:r>
    </w:p>
    <w:p>
      <w:pPr>
        <w:rPr>
          <w:rFonts w:eastAsia="Times New Roman"/>
          <w:b/>
          <w:noProof/>
          <w:szCs w:val="24"/>
        </w:rPr>
      </w:pPr>
      <w:r>
        <w:rPr>
          <w:noProof/>
        </w:rPr>
        <w:t xml:space="preserve">Уведомленията, които се изискват съгласно настоящото споразумение, се отправят в писмена форма и се изпращат на Секретариата на Източноафриканската общност или на Европейската комисия, в зависимост от случая. </w:t>
      </w:r>
    </w:p>
    <w:p>
      <w:pPr>
        <w:pStyle w:val="Titrearticle"/>
        <w:rPr>
          <w:rFonts w:eastAsia="Times New Roman"/>
          <w:b/>
          <w:iCs/>
          <w:noProof/>
          <w:szCs w:val="24"/>
        </w:rPr>
      </w:pPr>
      <w:r>
        <w:rPr>
          <w:b/>
          <w:noProof/>
        </w:rPr>
        <w:t>ЧЛЕН 139</w:t>
      </w:r>
    </w:p>
    <w:p>
      <w:pPr>
        <w:jc w:val="center"/>
        <w:rPr>
          <w:rFonts w:eastAsia="Times New Roman"/>
          <w:b/>
          <w:bCs/>
          <w:noProof/>
          <w:szCs w:val="24"/>
        </w:rPr>
      </w:pPr>
      <w:r>
        <w:rPr>
          <w:b/>
          <w:noProof/>
        </w:rPr>
        <w:t>Влизане в сила</w:t>
      </w:r>
    </w:p>
    <w:p>
      <w:pPr>
        <w:pStyle w:val="ManualNumPar1"/>
        <w:rPr>
          <w:rFonts w:eastAsia="Times New Roman"/>
          <w:noProof/>
          <w:szCs w:val="24"/>
        </w:rPr>
      </w:pPr>
      <w:r>
        <w:rPr>
          <w:noProof/>
        </w:rPr>
        <w:t>1.</w:t>
      </w:r>
      <w:r>
        <w:rPr>
          <w:noProof/>
        </w:rPr>
        <w:tab/>
        <w:t>Настоящото споразумение се подписва и ратифицира или одобрява в съответствие с конституционните или вътрешните правила и процедури, приложими за съответните страни.</w:t>
      </w:r>
    </w:p>
    <w:p>
      <w:pPr>
        <w:pStyle w:val="ManualNumPar1"/>
        <w:rPr>
          <w:rFonts w:eastAsia="Times New Roman"/>
          <w:noProof/>
          <w:szCs w:val="24"/>
        </w:rPr>
      </w:pPr>
      <w:r>
        <w:rPr>
          <w:noProof/>
        </w:rPr>
        <w:t>2.</w:t>
      </w:r>
      <w:r>
        <w:rPr>
          <w:noProof/>
        </w:rPr>
        <w:tab/>
        <w:t>Настоящото споразумение влиза в сила на първия ден от втория месец, следващ месеца, през който всяка от страните е нотифицирала другата за завършването на посочените в параграф 1 процедури съгласно вътрешното право.</w:t>
      </w:r>
    </w:p>
    <w:p>
      <w:pPr>
        <w:pStyle w:val="ManualNumPar1"/>
        <w:rPr>
          <w:rFonts w:eastAsia="Times New Roman"/>
          <w:noProof/>
          <w:szCs w:val="24"/>
        </w:rPr>
      </w:pPr>
      <w:r>
        <w:rPr>
          <w:noProof/>
        </w:rPr>
        <w:t>3.</w:t>
      </w:r>
      <w:r>
        <w:rPr>
          <w:noProof/>
        </w:rPr>
        <w:tab/>
        <w:t>Уведомленията за влизане в сила се изпращат, в случая на държавите партньори от ИАО — до Генералния секретариат на Източноафриканската общност, а в случая на ЕС — до Генералния секретар на Съвета на Европейския съюз, които са съвместни депозитари на настоящото споразумение. Всеки депозитар уведомява другия депозитар за получаването на последния инструмент за ратификация, с който приключват вътрешните правни процедури, необходими за влизането в сила.</w:t>
      </w:r>
    </w:p>
    <w:p>
      <w:pPr>
        <w:pStyle w:val="ManualNumPar1"/>
        <w:rPr>
          <w:rFonts w:eastAsia="Times New Roman"/>
          <w:noProof/>
          <w:szCs w:val="24"/>
        </w:rPr>
      </w:pPr>
      <w:r>
        <w:rPr>
          <w:noProof/>
        </w:rPr>
        <w:t>4.</w:t>
      </w:r>
      <w:r>
        <w:rPr>
          <w:noProof/>
        </w:rPr>
        <w:tab/>
        <w:t xml:space="preserve">До влизането в сила на настоящото споразумение държавите партньори от ИАО и ЕС могат временно да прилагат разпоредбите на настоящото споразумение, които са от тяхната съответна компетентност. Това може да се осъществява чрез временно прилагане, когато това е възможно, или чрез ратифициране на споразумението. </w:t>
      </w:r>
    </w:p>
    <w:p>
      <w:pPr>
        <w:pStyle w:val="ManualNumPar1"/>
        <w:rPr>
          <w:rFonts w:eastAsia="Times New Roman"/>
          <w:b/>
          <w:noProof/>
          <w:szCs w:val="24"/>
        </w:rPr>
      </w:pPr>
      <w:r>
        <w:rPr>
          <w:noProof/>
        </w:rPr>
        <w:t>5.</w:t>
      </w:r>
      <w:r>
        <w:rPr>
          <w:noProof/>
        </w:rPr>
        <w:tab/>
        <w:t>Временното прилагане се нотифицира пред депозитарите. Споразумението започва да се прилага временно десет (10) дни след датата, на която страните са се уведомили взаимно за приключването на необходимите за целта вътрешни правни процедури.</w:t>
      </w:r>
    </w:p>
    <w:p>
      <w:pPr>
        <w:pStyle w:val="ManualNumPar1"/>
        <w:rPr>
          <w:rFonts w:eastAsia="Times New Roman"/>
          <w:noProof/>
          <w:szCs w:val="24"/>
        </w:rPr>
      </w:pPr>
      <w:r>
        <w:rPr>
          <w:noProof/>
        </w:rPr>
        <w:t>6.</w:t>
      </w:r>
      <w:r>
        <w:rPr>
          <w:noProof/>
        </w:rPr>
        <w:tab/>
        <w:t>Когато дадена разпоредба от настоящото споразумение се прилага в съответствие с параграф 4, всяко направено в такава разпоредба позоваване на датата на влизане в сила на настоящото споразумение се разбира като позоваване на датата, от която страните се споразумяват да прилагат посочената разпоредба в съответствие с параграф 4.</w:t>
      </w:r>
    </w:p>
    <w:p>
      <w:pPr>
        <w:pStyle w:val="ManualNumPar1"/>
        <w:rPr>
          <w:rFonts w:eastAsia="Times New Roman"/>
          <w:b/>
          <w:noProof/>
          <w:szCs w:val="24"/>
        </w:rPr>
      </w:pPr>
      <w:r>
        <w:rPr>
          <w:noProof/>
        </w:rPr>
        <w:t>7.</w:t>
      </w:r>
      <w:r>
        <w:rPr>
          <w:noProof/>
        </w:rPr>
        <w:tab/>
        <w:t>Независимо от параграф 4, държавите партньори от ИАО и ЕС могат едностранно да предприемат стъпки за прилагането на настоящото споразумение преди началото на временното прилагане, доколкото това е възможно.</w:t>
      </w:r>
    </w:p>
    <w:p>
      <w:pPr>
        <w:pStyle w:val="Titrearticle"/>
        <w:rPr>
          <w:rFonts w:eastAsia="Times New Roman"/>
          <w:b/>
          <w:iCs/>
          <w:noProof/>
          <w:szCs w:val="24"/>
        </w:rPr>
      </w:pPr>
      <w:r>
        <w:rPr>
          <w:b/>
          <w:noProof/>
        </w:rPr>
        <w:t>ЧЛЕН 140</w:t>
      </w:r>
    </w:p>
    <w:p>
      <w:pPr>
        <w:jc w:val="center"/>
        <w:rPr>
          <w:rFonts w:eastAsia="Times New Roman"/>
          <w:bCs/>
          <w:noProof/>
          <w:szCs w:val="24"/>
        </w:rPr>
      </w:pPr>
      <w:r>
        <w:rPr>
          <w:b/>
          <w:noProof/>
        </w:rPr>
        <w:t>Денонсиране</w:t>
      </w:r>
    </w:p>
    <w:p>
      <w:pPr>
        <w:pStyle w:val="ManualNumPar1"/>
        <w:rPr>
          <w:rFonts w:eastAsia="Times New Roman"/>
          <w:noProof/>
          <w:szCs w:val="24"/>
        </w:rPr>
      </w:pPr>
      <w:r>
        <w:rPr>
          <w:noProof/>
        </w:rPr>
        <w:t>1.</w:t>
      </w:r>
      <w:r>
        <w:rPr>
          <w:noProof/>
        </w:rPr>
        <w:tab/>
        <w:t xml:space="preserve">Всяка страна по настоящото споразумение може да изпрати на другата страна писмено уведомление за намерението си да денонсира споразумението. </w:t>
      </w:r>
    </w:p>
    <w:p>
      <w:pPr>
        <w:pStyle w:val="ManualNumPar1"/>
        <w:rPr>
          <w:rFonts w:eastAsia="Times New Roman"/>
          <w:b/>
          <w:noProof/>
          <w:szCs w:val="24"/>
        </w:rPr>
      </w:pPr>
      <w:r>
        <w:rPr>
          <w:noProof/>
        </w:rPr>
        <w:t>2.</w:t>
      </w:r>
      <w:r>
        <w:rPr>
          <w:noProof/>
        </w:rPr>
        <w:tab/>
        <w:t>Денонсирането поражда действие една година след уведомлението.</w:t>
      </w:r>
    </w:p>
    <w:p>
      <w:pPr>
        <w:pStyle w:val="Titrearticle"/>
        <w:rPr>
          <w:rFonts w:eastAsia="Times New Roman"/>
          <w:b/>
          <w:iCs/>
          <w:noProof/>
          <w:szCs w:val="24"/>
        </w:rPr>
      </w:pPr>
      <w:r>
        <w:rPr>
          <w:b/>
          <w:noProof/>
        </w:rPr>
        <w:t>ЧЛЕН 141</w:t>
      </w:r>
    </w:p>
    <w:p>
      <w:pPr>
        <w:jc w:val="center"/>
        <w:rPr>
          <w:rFonts w:eastAsia="Times New Roman"/>
          <w:b/>
          <w:bCs/>
          <w:noProof/>
          <w:szCs w:val="24"/>
        </w:rPr>
      </w:pPr>
      <w:r>
        <w:rPr>
          <w:b/>
          <w:noProof/>
        </w:rPr>
        <w:t>Териториално приложение</w:t>
      </w:r>
    </w:p>
    <w:p>
      <w:pPr>
        <w:rPr>
          <w:rFonts w:eastAsia="Times New Roman"/>
          <w:b/>
          <w:noProof/>
          <w:szCs w:val="24"/>
        </w:rPr>
      </w:pPr>
      <w:r>
        <w:rPr>
          <w:noProof/>
        </w:rPr>
        <w:t>Настоящото споразумение се прилага, от една страна, на териториите, на които се прилага Договорът за Европейския съюз и Договорът за функционирането на Европейския съюз, и, от друга страна, на териториите на държавите партньори от ИАО. Използването на понятието „територия“ в настоящото споразумение се разбира в този смисъл.</w:t>
      </w:r>
    </w:p>
    <w:p>
      <w:pPr>
        <w:pStyle w:val="Titrearticle"/>
        <w:rPr>
          <w:rFonts w:eastAsia="Times New Roman"/>
          <w:b/>
          <w:iCs/>
          <w:noProof/>
          <w:szCs w:val="24"/>
        </w:rPr>
      </w:pPr>
      <w:r>
        <w:rPr>
          <w:b/>
          <w:noProof/>
        </w:rPr>
        <w:t>ЧЛЕН 142</w:t>
      </w:r>
    </w:p>
    <w:p>
      <w:pPr>
        <w:jc w:val="center"/>
        <w:rPr>
          <w:rFonts w:eastAsia="Times New Roman"/>
          <w:bCs/>
          <w:noProof/>
          <w:szCs w:val="24"/>
        </w:rPr>
      </w:pPr>
      <w:r>
        <w:rPr>
          <w:b/>
          <w:noProof/>
        </w:rPr>
        <w:t>Клауза за преразглеждане</w:t>
      </w:r>
    </w:p>
    <w:p>
      <w:pPr>
        <w:pStyle w:val="ManualNumPar1"/>
        <w:rPr>
          <w:rFonts w:eastAsia="Times New Roman"/>
          <w:noProof/>
          <w:szCs w:val="24"/>
        </w:rPr>
      </w:pPr>
      <w:r>
        <w:rPr>
          <w:noProof/>
        </w:rPr>
        <w:t>1.</w:t>
      </w:r>
      <w:r>
        <w:rPr>
          <w:noProof/>
        </w:rPr>
        <w:tab/>
        <w:t>Настоящото споразумение се преразглежда на всеки пет (5) години от датата на влизането му в сила.</w:t>
      </w:r>
    </w:p>
    <w:p>
      <w:pPr>
        <w:pStyle w:val="ManualNumPar1"/>
        <w:rPr>
          <w:rFonts w:eastAsia="Times New Roman"/>
          <w:noProof/>
          <w:szCs w:val="24"/>
        </w:rPr>
      </w:pPr>
      <w:r>
        <w:rPr>
          <w:noProof/>
        </w:rPr>
        <w:t>2.</w:t>
      </w:r>
      <w:r>
        <w:rPr>
          <w:noProof/>
        </w:rPr>
        <w:tab/>
        <w:t>Във връзка с прилагането на настоящото споразумение всяка страна може да прави предложения, целящи адаптирането на сътрудничеството в областта на търговията въз основа на придобития по време на прилагането на настоящото споразумение опит.</w:t>
      </w:r>
    </w:p>
    <w:p>
      <w:pPr>
        <w:pStyle w:val="ManualNumPar1"/>
        <w:rPr>
          <w:rFonts w:eastAsia="Times New Roman"/>
          <w:b/>
          <w:noProof/>
          <w:szCs w:val="24"/>
        </w:rPr>
      </w:pPr>
      <w:r>
        <w:rPr>
          <w:noProof/>
        </w:rPr>
        <w:t>3.</w:t>
      </w:r>
      <w:r>
        <w:rPr>
          <w:noProof/>
        </w:rPr>
        <w:tab/>
        <w:t>Независимо от разпоредбите на параграф 1, страните се споразумяват, че настоящото споразумение може да бъде преразгледано с оглед на изтичането на срока на действие на Споразумението от Котону.</w:t>
      </w:r>
    </w:p>
    <w:p>
      <w:pPr>
        <w:pStyle w:val="Titrearticle"/>
        <w:rPr>
          <w:rFonts w:eastAsia="Times New Roman"/>
          <w:b/>
          <w:noProof/>
          <w:szCs w:val="24"/>
        </w:rPr>
      </w:pPr>
      <w:r>
        <w:rPr>
          <w:b/>
          <w:noProof/>
        </w:rPr>
        <w:t>ЧЛЕН 143</w:t>
      </w:r>
    </w:p>
    <w:p>
      <w:pPr>
        <w:jc w:val="center"/>
        <w:rPr>
          <w:rFonts w:eastAsia="Times New Roman"/>
          <w:b/>
          <w:noProof/>
          <w:szCs w:val="24"/>
        </w:rPr>
      </w:pPr>
      <w:r>
        <w:rPr>
          <w:b/>
          <w:noProof/>
        </w:rPr>
        <w:t>Клауза за изменяне</w:t>
      </w:r>
    </w:p>
    <w:p>
      <w:pPr>
        <w:pStyle w:val="ManualNumPar1"/>
        <w:rPr>
          <w:rFonts w:eastAsia="Times New Roman"/>
          <w:noProof/>
          <w:szCs w:val="24"/>
        </w:rPr>
      </w:pPr>
      <w:r>
        <w:rPr>
          <w:noProof/>
        </w:rPr>
        <w:t>1.</w:t>
      </w:r>
      <w:r>
        <w:rPr>
          <w:noProof/>
        </w:rPr>
        <w:tab/>
        <w:t>Страните могат да се споразумеят в писмен вид да изменят настоящото споразумение. Всяка от страните може да предостави за разглеждане пред Съвета по СИП предложения за изменение на настоящото споразумение. Другата страна може да представи становище по предложенията за изменение в срок от деветдесет (90) дни от датата на получаване на предложението.</w:t>
      </w:r>
    </w:p>
    <w:p>
      <w:pPr>
        <w:pStyle w:val="ManualNumPar1"/>
        <w:rPr>
          <w:rFonts w:eastAsia="Times New Roman"/>
          <w:noProof/>
          <w:szCs w:val="24"/>
        </w:rPr>
      </w:pPr>
      <w:r>
        <w:rPr>
          <w:noProof/>
        </w:rPr>
        <w:t>2.</w:t>
      </w:r>
      <w:r>
        <w:rPr>
          <w:noProof/>
        </w:rPr>
        <w:tab/>
        <w:t>Ако Съветът по СИП приеме изменения на настоящото споразумение, тези изменения се предоставят на страните за ратификация, приемане или одобряване в съответствие с техните съответни конституционни или вътрешни правни изисквания.</w:t>
      </w:r>
    </w:p>
    <w:p>
      <w:pPr>
        <w:pStyle w:val="ManualNumPar1"/>
        <w:rPr>
          <w:rFonts w:eastAsia="Times New Roman"/>
          <w:b/>
          <w:noProof/>
          <w:szCs w:val="24"/>
        </w:rPr>
      </w:pPr>
      <w:r>
        <w:rPr>
          <w:noProof/>
        </w:rPr>
        <w:t>3.</w:t>
      </w:r>
      <w:r>
        <w:rPr>
          <w:noProof/>
        </w:rPr>
        <w:tab/>
        <w:t xml:space="preserve">Измененията влизат в сила след като страните разменят помежду си писмени уведомления, които удостоверяват, че те са изпълнили своите съответни приложими законови изисквания и процедури, на договорена между тях дата. </w:t>
      </w:r>
    </w:p>
    <w:p>
      <w:pPr>
        <w:pStyle w:val="Titrearticle"/>
        <w:rPr>
          <w:rFonts w:eastAsia="Times New Roman"/>
          <w:b/>
          <w:noProof/>
          <w:szCs w:val="24"/>
        </w:rPr>
      </w:pPr>
      <w:r>
        <w:rPr>
          <w:b/>
          <w:noProof/>
        </w:rPr>
        <w:t>ЧЛЕН 144</w:t>
      </w:r>
    </w:p>
    <w:p>
      <w:pPr>
        <w:jc w:val="center"/>
        <w:rPr>
          <w:rFonts w:eastAsia="Times New Roman"/>
          <w:b/>
          <w:noProof/>
          <w:szCs w:val="24"/>
        </w:rPr>
      </w:pPr>
      <w:r>
        <w:rPr>
          <w:b/>
          <w:noProof/>
        </w:rPr>
        <w:t>Присъединяване на нови членове към Източноафриканската общност</w:t>
      </w:r>
    </w:p>
    <w:p>
      <w:pPr>
        <w:pStyle w:val="ManualNumPar1"/>
        <w:rPr>
          <w:rFonts w:eastAsia="Times New Roman"/>
          <w:noProof/>
          <w:szCs w:val="24"/>
        </w:rPr>
      </w:pPr>
      <w:r>
        <w:rPr>
          <w:noProof/>
        </w:rPr>
        <w:t>1.</w:t>
      </w:r>
      <w:r>
        <w:rPr>
          <w:noProof/>
        </w:rPr>
        <w:tab/>
        <w:t>Всяка нова държава партньор от ИАО се присъединява към настоящото споразумение, считано от датата на присъединяването си към ИАО, чрез нарочна клауза в акта за присъединяване. Ако в акта за присъединяване към ИАО не се предвижда такова автоматично присъединяване на държавата партньор от ИАО към настоящото споразумение, въпросната държава партньор от ИАО се присъединява чрез депозиране на акт за присъединяване при Генералния секретариат на Източноафриканската общност, който изпраща заверени копия на ЕС.</w:t>
      </w:r>
    </w:p>
    <w:p>
      <w:pPr>
        <w:pStyle w:val="ManualNumPar1"/>
        <w:rPr>
          <w:rFonts w:eastAsia="Times New Roman"/>
          <w:b/>
          <w:noProof/>
          <w:szCs w:val="24"/>
        </w:rPr>
      </w:pPr>
      <w:r>
        <w:rPr>
          <w:noProof/>
        </w:rPr>
        <w:t>2.</w:t>
      </w:r>
      <w:r>
        <w:rPr>
          <w:noProof/>
        </w:rPr>
        <w:tab/>
        <w:t>Страните разглеждат въздействието на присъединяването на нови държави партньори от ИАО върху настоящото споразумение. Съветът по СИП може да реши приемането на всякакви преходни мерки или мерки за изменение, които могат да се окажат необходими.</w:t>
      </w:r>
    </w:p>
    <w:p>
      <w:pPr>
        <w:pStyle w:val="Titrearticle"/>
        <w:rPr>
          <w:rFonts w:eastAsia="Times New Roman"/>
          <w:b/>
          <w:noProof/>
          <w:szCs w:val="24"/>
        </w:rPr>
      </w:pPr>
      <w:r>
        <w:rPr>
          <w:b/>
          <w:noProof/>
        </w:rPr>
        <w:t>ЧЛЕН 145</w:t>
      </w:r>
    </w:p>
    <w:p>
      <w:pPr>
        <w:jc w:val="center"/>
        <w:rPr>
          <w:rFonts w:eastAsia="Times New Roman"/>
          <w:b/>
          <w:noProof/>
          <w:szCs w:val="24"/>
        </w:rPr>
      </w:pPr>
      <w:r>
        <w:rPr>
          <w:b/>
          <w:noProof/>
        </w:rPr>
        <w:t>Присъединяване на нови членове към Европейския съюз</w:t>
      </w:r>
    </w:p>
    <w:p>
      <w:pPr>
        <w:pStyle w:val="ManualNumPar1"/>
        <w:rPr>
          <w:rFonts w:eastAsia="Times New Roman"/>
          <w:noProof/>
          <w:szCs w:val="24"/>
        </w:rPr>
      </w:pPr>
      <w:r>
        <w:rPr>
          <w:noProof/>
        </w:rPr>
        <w:t>1.</w:t>
      </w:r>
      <w:r>
        <w:rPr>
          <w:noProof/>
        </w:rPr>
        <w:tab/>
        <w:t>Всяка нова държава — членка на ЕС, се присъединява към настоящото споразумение, считано от датата на присъединяването си към ЕС, чрез нарочна клауза в акта за присъединяване. Ако актът за присъединяване към ЕС не предвижда такова автоматично присъединяване на държавата — членка на ЕС, към настоящото споразумение, въпросната държава — членка на ЕС, се присъединява чрез депозиране на акт за присъединяване при Генералния секретариат на Съвета на Европейския съюз, който изпраща заверени копия на държавите партньори от ИАО.</w:t>
      </w:r>
    </w:p>
    <w:p>
      <w:pPr>
        <w:pStyle w:val="ManualNumPar1"/>
        <w:rPr>
          <w:rFonts w:eastAsia="Times New Roman"/>
          <w:b/>
          <w:noProof/>
          <w:szCs w:val="24"/>
        </w:rPr>
      </w:pPr>
      <w:r>
        <w:rPr>
          <w:noProof/>
        </w:rPr>
        <w:t>2.</w:t>
      </w:r>
      <w:r>
        <w:rPr>
          <w:noProof/>
        </w:rPr>
        <w:tab/>
        <w:t>Страните разглеждат въздействието на присъединяването на нови държави — членки на ЕС, върху настоящото споразумение.</w:t>
      </w:r>
      <w:r>
        <w:rPr>
          <w:rFonts w:ascii="TimesNewRoman" w:hAnsi="TimesNewRoman"/>
          <w:noProof/>
        </w:rPr>
        <w:t xml:space="preserve"> </w:t>
      </w:r>
      <w:r>
        <w:rPr>
          <w:noProof/>
        </w:rPr>
        <w:t>Съветът по СИП може да реши приемането на всякакви преходни мерки или мерки за изменение, които могат да се окажат необходими.</w:t>
      </w:r>
    </w:p>
    <w:p>
      <w:pPr>
        <w:pStyle w:val="Titrearticle"/>
        <w:rPr>
          <w:rFonts w:eastAsia="Times New Roman"/>
          <w:b/>
          <w:iCs/>
          <w:noProof/>
          <w:szCs w:val="24"/>
        </w:rPr>
      </w:pPr>
      <w:r>
        <w:rPr>
          <w:b/>
          <w:noProof/>
        </w:rPr>
        <w:t>ЧЛЕН 146</w:t>
      </w:r>
    </w:p>
    <w:p>
      <w:pPr>
        <w:jc w:val="center"/>
        <w:rPr>
          <w:rFonts w:eastAsia="Times New Roman"/>
          <w:b/>
          <w:bCs/>
          <w:noProof/>
          <w:szCs w:val="24"/>
        </w:rPr>
      </w:pPr>
      <w:r>
        <w:rPr>
          <w:b/>
          <w:noProof/>
        </w:rPr>
        <w:t>Автентични текстове</w:t>
      </w:r>
    </w:p>
    <w:p>
      <w:pPr>
        <w:rPr>
          <w:rFonts w:eastAsia="Times New Roman"/>
          <w:b/>
          <w:noProof/>
          <w:szCs w:val="24"/>
        </w:rPr>
      </w:pPr>
      <w:r>
        <w:rPr>
          <w:noProof/>
        </w:rPr>
        <w:t>Настоящото споразумение е съставено на следните езици на страните —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суахили, като текстовете на всеки от тези езици са еднакво автентични.</w:t>
      </w:r>
    </w:p>
    <w:p>
      <w:pPr>
        <w:pStyle w:val="Titrearticle"/>
        <w:rPr>
          <w:rFonts w:eastAsia="Times New Roman"/>
          <w:b/>
          <w:iCs/>
          <w:noProof/>
          <w:szCs w:val="24"/>
        </w:rPr>
      </w:pPr>
      <w:r>
        <w:rPr>
          <w:b/>
          <w:noProof/>
        </w:rPr>
        <w:t>ЧЛЕН 147</w:t>
      </w:r>
    </w:p>
    <w:p>
      <w:pPr>
        <w:jc w:val="center"/>
        <w:rPr>
          <w:rFonts w:eastAsia="Times New Roman"/>
          <w:b/>
          <w:bCs/>
          <w:noProof/>
          <w:szCs w:val="24"/>
        </w:rPr>
      </w:pPr>
      <w:r>
        <w:rPr>
          <w:b/>
          <w:noProof/>
        </w:rPr>
        <w:t>Приложения</w:t>
      </w:r>
    </w:p>
    <w:p>
      <w:pPr>
        <w:rPr>
          <w:rFonts w:eastAsia="Times New Roman"/>
          <w:b/>
          <w:noProof/>
          <w:szCs w:val="24"/>
        </w:rPr>
      </w:pPr>
      <w:r>
        <w:rPr>
          <w:noProof/>
        </w:rPr>
        <w:t>Приложенията и протоколите към настоящото споразумение са неразделна част от настоящото споразумение.</w:t>
      </w:r>
    </w:p>
    <w:p>
      <w:pPr>
        <w:spacing w:before="0" w:after="0"/>
        <w:jc w:val="center"/>
        <w:rPr>
          <w:rFonts w:eastAsia="Times New Roman"/>
          <w:noProof/>
          <w:szCs w:val="24"/>
        </w:rPr>
        <w:sectPr>
          <w:footerReference w:type="default" r:id="rId16"/>
          <w:footerReference w:type="first" r:id="rId17"/>
          <w:pgSz w:w="11907" w:h="16839"/>
          <w:pgMar w:top="1134" w:right="1417" w:bottom="1134" w:left="1417" w:header="709" w:footer="709" w:gutter="0"/>
          <w:cols w:space="720"/>
          <w:docGrid w:linePitch="360"/>
        </w:sectPr>
      </w:pPr>
    </w:p>
    <w:p>
      <w:pPr>
        <w:tabs>
          <w:tab w:val="left" w:pos="1440"/>
        </w:tabs>
        <w:spacing w:before="0" w:after="0"/>
        <w:jc w:val="center"/>
        <w:rPr>
          <w:rFonts w:eastAsia="Times New Roman"/>
          <w:b/>
          <w:noProof/>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6000"/>
      </w:tblGrid>
      <w:tr>
        <w:tc>
          <w:tcPr>
            <w:tcW w:w="2500" w:type="dxa"/>
          </w:tcPr>
          <w:p>
            <w:pPr>
              <w:tabs>
                <w:tab w:val="left" w:pos="1440"/>
              </w:tabs>
              <w:spacing w:before="0" w:after="0"/>
              <w:jc w:val="left"/>
              <w:rPr>
                <w:b/>
                <w:noProof/>
                <w:szCs w:val="24"/>
              </w:rPr>
            </w:pPr>
            <w:r>
              <w:rPr>
                <w:noProof/>
              </w:rPr>
              <w:t>Приложение I</w:t>
            </w:r>
          </w:p>
        </w:tc>
        <w:tc>
          <w:tcPr>
            <w:tcW w:w="6000" w:type="dxa"/>
          </w:tcPr>
          <w:p>
            <w:pPr>
              <w:tabs>
                <w:tab w:val="left" w:pos="1440"/>
              </w:tabs>
              <w:spacing w:before="0" w:after="0"/>
              <w:jc w:val="left"/>
              <w:rPr>
                <w:noProof/>
                <w:szCs w:val="24"/>
              </w:rPr>
            </w:pPr>
            <w:r>
              <w:rPr>
                <w:noProof/>
              </w:rPr>
              <w:t>Мита за продукти с произход от държавите партньори от ИАО</w:t>
            </w:r>
          </w:p>
          <w:p>
            <w:pPr>
              <w:tabs>
                <w:tab w:val="left" w:pos="1440"/>
              </w:tabs>
              <w:spacing w:before="0" w:after="0"/>
              <w:jc w:val="left"/>
              <w:rPr>
                <w:b/>
                <w:noProof/>
                <w:szCs w:val="24"/>
              </w:rPr>
            </w:pPr>
          </w:p>
        </w:tc>
      </w:tr>
      <w:tr>
        <w:tc>
          <w:tcPr>
            <w:tcW w:w="2500" w:type="dxa"/>
          </w:tcPr>
          <w:p>
            <w:pPr>
              <w:tabs>
                <w:tab w:val="left" w:pos="1440"/>
              </w:tabs>
              <w:spacing w:before="0" w:after="0"/>
              <w:jc w:val="left"/>
              <w:rPr>
                <w:b/>
                <w:noProof/>
                <w:szCs w:val="24"/>
              </w:rPr>
            </w:pPr>
            <w:r>
              <w:rPr>
                <w:noProof/>
              </w:rPr>
              <w:t>Приложение II</w:t>
            </w:r>
          </w:p>
        </w:tc>
        <w:tc>
          <w:tcPr>
            <w:tcW w:w="6000" w:type="dxa"/>
          </w:tcPr>
          <w:p>
            <w:pPr>
              <w:tabs>
                <w:tab w:val="left" w:pos="1440"/>
              </w:tabs>
              <w:spacing w:before="0" w:after="0"/>
              <w:jc w:val="left"/>
              <w:rPr>
                <w:noProof/>
                <w:szCs w:val="24"/>
              </w:rPr>
            </w:pPr>
            <w:r>
              <w:rPr>
                <w:noProof/>
              </w:rPr>
              <w:t>Мита за продукти с произход от ЕС</w:t>
            </w:r>
          </w:p>
          <w:p>
            <w:pPr>
              <w:tabs>
                <w:tab w:val="left" w:pos="1440"/>
              </w:tabs>
              <w:spacing w:before="0" w:after="0"/>
              <w:jc w:val="left"/>
              <w:rPr>
                <w:b/>
                <w:noProof/>
                <w:szCs w:val="24"/>
              </w:rPr>
            </w:pPr>
          </w:p>
        </w:tc>
      </w:tr>
      <w:tr>
        <w:tc>
          <w:tcPr>
            <w:tcW w:w="2500" w:type="dxa"/>
          </w:tcPr>
          <w:p>
            <w:pPr>
              <w:tabs>
                <w:tab w:val="left" w:pos="1440"/>
              </w:tabs>
              <w:spacing w:before="0" w:after="0"/>
              <w:jc w:val="left"/>
              <w:rPr>
                <w:noProof/>
                <w:szCs w:val="24"/>
              </w:rPr>
            </w:pPr>
            <w:r>
              <w:rPr>
                <w:noProof/>
              </w:rPr>
              <w:t>Приложение IIIа</w:t>
            </w:r>
          </w:p>
        </w:tc>
        <w:tc>
          <w:tcPr>
            <w:tcW w:w="6000" w:type="dxa"/>
          </w:tcPr>
          <w:p>
            <w:pPr>
              <w:tabs>
                <w:tab w:val="left" w:pos="1440"/>
              </w:tabs>
              <w:spacing w:before="0" w:after="0"/>
              <w:jc w:val="left"/>
              <w:rPr>
                <w:noProof/>
                <w:szCs w:val="24"/>
              </w:rPr>
            </w:pPr>
            <w:r>
              <w:rPr>
                <w:noProof/>
              </w:rPr>
              <w:t>Модел за развитие на ИАО по СИП</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Приложение ІІIб</w:t>
            </w:r>
          </w:p>
        </w:tc>
        <w:tc>
          <w:tcPr>
            <w:tcW w:w="6000" w:type="dxa"/>
          </w:tcPr>
          <w:p>
            <w:pPr>
              <w:tabs>
                <w:tab w:val="left" w:pos="1440"/>
              </w:tabs>
              <w:spacing w:before="0" w:after="0"/>
              <w:jc w:val="left"/>
              <w:rPr>
                <w:noProof/>
                <w:szCs w:val="24"/>
              </w:rPr>
            </w:pPr>
            <w:r>
              <w:rPr>
                <w:noProof/>
              </w:rPr>
              <w:t>Критерии, цели и показатели за развитие</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Приложение IV</w:t>
            </w:r>
          </w:p>
        </w:tc>
        <w:tc>
          <w:tcPr>
            <w:tcW w:w="6000" w:type="dxa"/>
          </w:tcPr>
          <w:p>
            <w:pPr>
              <w:tabs>
                <w:tab w:val="left" w:pos="1440"/>
              </w:tabs>
              <w:spacing w:before="0" w:after="0"/>
              <w:jc w:val="left"/>
              <w:rPr>
                <w:noProof/>
                <w:szCs w:val="24"/>
              </w:rPr>
            </w:pPr>
            <w:r>
              <w:rPr>
                <w:noProof/>
              </w:rPr>
              <w:t>Съвместна декларация относно държавите, установили митнически съюз с Европейския съюз</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Протокол 1</w:t>
            </w:r>
          </w:p>
        </w:tc>
        <w:tc>
          <w:tcPr>
            <w:tcW w:w="6000" w:type="dxa"/>
          </w:tcPr>
          <w:p>
            <w:pPr>
              <w:tabs>
                <w:tab w:val="left" w:pos="1440"/>
              </w:tabs>
              <w:spacing w:before="0" w:after="0"/>
              <w:jc w:val="left"/>
              <w:rPr>
                <w:noProof/>
                <w:szCs w:val="24"/>
              </w:rPr>
            </w:pPr>
            <w:r>
              <w:rPr>
                <w:noProof/>
              </w:rPr>
              <w:t>Относно определение на понятието „продукти с произход“ и методите на административно сътрудничество</w:t>
            </w:r>
          </w:p>
          <w:p>
            <w:pPr>
              <w:tabs>
                <w:tab w:val="left" w:pos="1440"/>
              </w:tabs>
              <w:spacing w:before="0" w:after="0"/>
              <w:jc w:val="left"/>
              <w:rPr>
                <w:noProof/>
                <w:szCs w:val="24"/>
              </w:rPr>
            </w:pPr>
          </w:p>
        </w:tc>
      </w:tr>
      <w:tr>
        <w:tc>
          <w:tcPr>
            <w:tcW w:w="2500" w:type="dxa"/>
          </w:tcPr>
          <w:p>
            <w:pPr>
              <w:tabs>
                <w:tab w:val="left" w:pos="1440"/>
              </w:tabs>
              <w:spacing w:before="0" w:after="0"/>
              <w:jc w:val="left"/>
              <w:rPr>
                <w:noProof/>
                <w:szCs w:val="24"/>
              </w:rPr>
            </w:pPr>
            <w:r>
              <w:rPr>
                <w:noProof/>
              </w:rPr>
              <w:t>Протокол 2</w:t>
            </w:r>
          </w:p>
        </w:tc>
        <w:tc>
          <w:tcPr>
            <w:tcW w:w="6000" w:type="dxa"/>
          </w:tcPr>
          <w:p>
            <w:pPr>
              <w:tabs>
                <w:tab w:val="left" w:pos="1440"/>
              </w:tabs>
              <w:spacing w:before="0" w:after="0"/>
              <w:jc w:val="left"/>
              <w:rPr>
                <w:noProof/>
                <w:szCs w:val="24"/>
              </w:rPr>
            </w:pPr>
            <w:r>
              <w:rPr>
                <w:noProof/>
              </w:rPr>
              <w:t>Относно административната взаимопомощ по митнически въпроси</w:t>
            </w:r>
          </w:p>
          <w:p>
            <w:pPr>
              <w:tabs>
                <w:tab w:val="left" w:pos="1440"/>
              </w:tabs>
              <w:spacing w:before="0" w:after="0"/>
              <w:jc w:val="left"/>
              <w:rPr>
                <w:noProof/>
                <w:szCs w:val="24"/>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Това изчисление следва да се основава на официални данни на СТО за водещите износители в световната търговия със стоки (като се изключва търговията в рамките на ЕС).</w:t>
      </w:r>
    </w:p>
  </w:footnote>
  <w:footnote w:id="2">
    <w:p>
      <w:pPr>
        <w:pStyle w:val="FootnoteText"/>
      </w:pPr>
      <w:r>
        <w:rPr>
          <w:rStyle w:val="FootnoteReference"/>
        </w:rPr>
        <w:footnoteRef/>
      </w:r>
      <w:r>
        <w:tab/>
        <w:t>За целите на настоящия член „селскостопански продукти“ са продуктите, попадащи в обхвата на приложение I към Споразумението на СТО за селското стопанство.</w:t>
      </w:r>
    </w:p>
  </w:footnote>
  <w:footnote w:id="3">
    <w:p>
      <w:pPr>
        <w:pStyle w:val="FootnoteText"/>
      </w:pPr>
      <w:r>
        <w:rPr>
          <w:rStyle w:val="FootnoteReference"/>
        </w:rPr>
        <w:footnoteRef/>
      </w:r>
      <w:r>
        <w:tab/>
        <w:t>За целите на настоящия член официалните езици са тези, посочени в член 146.</w:t>
      </w:r>
    </w:p>
  </w:footnote>
  <w:footnote w:id="4">
    <w:p>
      <w:pPr>
        <w:pStyle w:val="FootnoteText"/>
        <w:rPr>
          <w:b/>
        </w:rPr>
      </w:pPr>
      <w:r>
        <w:rPr>
          <w:rStyle w:val="FootnoteReference"/>
        </w:rPr>
        <w:footnoteRef/>
      </w:r>
      <w:r>
        <w:tab/>
        <w:t>Изключението, предвидено в настоящата буква, обхваща всяко споразумение относно стоки, което отговаря на принципите, одобрени от Икономическия и социалния съвет в неговата резолюция 30 (IV) от 28 март 1947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8: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256142DAFFAC46F0A285CEC77BD9EAD0"/>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7?\u1086?\u1076?\u1087?\u1080?\u1089?\u1074?\u1072?\u1085?\u1077? \u1080? \u1079?\u1072? \u1074?\u1088?\u1077?\u1084?\u1077?\u1085?\u1085?\u1086? \u1087?\u1088?\u1080?\u1083?\u1072?\u1075?\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uiPriority w:val="99"/>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uiPriority w:val="99"/>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uiPriority w:val="99"/>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uiPriority w:val="99"/>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8791-B194-4702-9808-041B2DDF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89</Pages>
  <Words>27879</Words>
  <Characters>166723</Characters>
  <Application>Microsoft Office Word</Application>
  <DocSecurity>0</DocSecurity>
  <Lines>3547</Lines>
  <Paragraphs>1569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2016-01-29T11:16:00Z</dcterms:created>
  <dcterms:modified xsi:type="dcterms:W3CDTF">2016-02-11T10:28:00Z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