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C488CD8236541888E768EF02D90868B" style="width:450.8pt;height:397.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Toc401595126"/>
      <w:bookmarkStart w:id="1" w:name="_GoBack"/>
      <w:bookmarkEnd w:id="1"/>
      <w:r>
        <w:rPr>
          <w:noProof/>
        </w:rPr>
        <w:lastRenderedPageBreak/>
        <w:t>ANNEX II</w:t>
      </w:r>
      <w:bookmarkEnd w:id="0"/>
      <w:r>
        <w:rPr>
          <w:noProof/>
        </w:rPr>
        <w:t>I and IV to the Agreement</w:t>
      </w:r>
    </w:p>
    <w:p>
      <w:pPr>
        <w:spacing w:before="0" w:after="240"/>
        <w:jc w:val="center"/>
        <w:rPr>
          <w:rFonts w:eastAsia="Times New Roman"/>
          <w:b/>
          <w:noProof/>
          <w:szCs w:val="24"/>
          <w:lang w:eastAsia="en-GB"/>
        </w:rPr>
      </w:pPr>
      <w:r>
        <w:rPr>
          <w:rFonts w:eastAsia="Times New Roman"/>
          <w:b/>
          <w:noProof/>
          <w:szCs w:val="24"/>
          <w:lang w:eastAsia="en-GB"/>
        </w:rPr>
        <w:t>ANNEX III(a)</w:t>
      </w:r>
    </w:p>
    <w:tbl>
      <w:tblPr>
        <w:tblW w:w="154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05"/>
        <w:gridCol w:w="1225"/>
        <w:gridCol w:w="900"/>
        <w:gridCol w:w="1052"/>
        <w:gridCol w:w="1701"/>
        <w:gridCol w:w="850"/>
        <w:gridCol w:w="851"/>
        <w:gridCol w:w="850"/>
        <w:gridCol w:w="709"/>
        <w:gridCol w:w="955"/>
        <w:gridCol w:w="1030"/>
        <w:gridCol w:w="992"/>
        <w:gridCol w:w="1134"/>
        <w:gridCol w:w="2116"/>
      </w:tblGrid>
      <w:tr>
        <w:trPr>
          <w:trHeight w:val="435"/>
        </w:trPr>
        <w:tc>
          <w:tcPr>
            <w:tcW w:w="15470" w:type="dxa"/>
            <w:gridSpan w:val="14"/>
            <w:shd w:val="clear" w:color="auto" w:fill="auto"/>
            <w:tcMar>
              <w:left w:w="29" w:type="dxa"/>
              <w:right w:w="29" w:type="dxa"/>
            </w:tcMar>
            <w:vAlign w:val="center"/>
          </w:tcPr>
          <w:p>
            <w:pPr>
              <w:spacing w:before="0" w:after="0"/>
              <w:jc w:val="center"/>
              <w:rPr>
                <w:rFonts w:eastAsia="Times New Roman"/>
                <w:b/>
                <w:bCs/>
                <w:noProof/>
                <w:sz w:val="20"/>
                <w:szCs w:val="20"/>
                <w:lang w:eastAsia="en-GB"/>
              </w:rPr>
            </w:pPr>
            <w:r>
              <w:rPr>
                <w:rFonts w:eastAsia="Times New Roman"/>
                <w:b/>
                <w:bCs/>
                <w:noProof/>
                <w:sz w:val="20"/>
                <w:szCs w:val="20"/>
                <w:lang w:eastAsia="en-GB"/>
              </w:rPr>
              <w:t>EPA DEVELOPMENT MATRIX 11 SEPTEMBER 2015</w:t>
            </w:r>
          </w:p>
        </w:tc>
      </w:tr>
      <w:tr>
        <w:trPr>
          <w:trHeight w:val="435"/>
        </w:trPr>
        <w:tc>
          <w:tcPr>
            <w:tcW w:w="1105" w:type="dxa"/>
            <w:vMerge w:val="restart"/>
            <w:shd w:val="clear" w:color="auto" w:fill="auto"/>
            <w:tcMar>
              <w:left w:w="29" w:type="dxa"/>
              <w:right w:w="29" w:type="dxa"/>
            </w:tcMar>
            <w:hideMark/>
          </w:tcPr>
          <w:p>
            <w:pPr>
              <w:spacing w:before="0" w:after="0"/>
              <w:jc w:val="center"/>
              <w:rPr>
                <w:rFonts w:eastAsia="Times New Roman"/>
                <w:noProof/>
                <w:sz w:val="20"/>
                <w:szCs w:val="20"/>
                <w:lang w:eastAsia="en-GB"/>
              </w:rPr>
            </w:pPr>
          </w:p>
        </w:tc>
        <w:tc>
          <w:tcPr>
            <w:tcW w:w="1225"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Project Sub-component</w:t>
            </w:r>
          </w:p>
        </w:tc>
        <w:tc>
          <w:tcPr>
            <w:tcW w:w="900"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Location</w:t>
            </w:r>
          </w:p>
        </w:tc>
        <w:tc>
          <w:tcPr>
            <w:tcW w:w="1052"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Geographical Coverage</w:t>
            </w:r>
          </w:p>
        </w:tc>
        <w:tc>
          <w:tcPr>
            <w:tcW w:w="1701"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Current Status</w:t>
            </w:r>
          </w:p>
        </w:tc>
        <w:tc>
          <w:tcPr>
            <w:tcW w:w="850"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Total Estimated Cost ($ million)</w:t>
            </w:r>
          </w:p>
        </w:tc>
        <w:tc>
          <w:tcPr>
            <w:tcW w:w="851"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EU</w:t>
            </w:r>
          </w:p>
        </w:tc>
        <w:tc>
          <w:tcPr>
            <w:tcW w:w="850"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EU Member States</w:t>
            </w:r>
          </w:p>
        </w:tc>
        <w:tc>
          <w:tcPr>
            <w:tcW w:w="709"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Other Donors</w:t>
            </w:r>
          </w:p>
        </w:tc>
        <w:tc>
          <w:tcPr>
            <w:tcW w:w="955"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EAC PS</w:t>
            </w:r>
          </w:p>
        </w:tc>
        <w:tc>
          <w:tcPr>
            <w:tcW w:w="1030"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Gap to be financed ($ millions)</w:t>
            </w:r>
          </w:p>
        </w:tc>
        <w:tc>
          <w:tcPr>
            <w:tcW w:w="992"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Equivalent in Euros (1 $ = 0.78 Euro)</w:t>
            </w:r>
          </w:p>
        </w:tc>
        <w:tc>
          <w:tcPr>
            <w:tcW w:w="1134"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Implementation Period</w:t>
            </w:r>
          </w:p>
        </w:tc>
        <w:tc>
          <w:tcPr>
            <w:tcW w:w="2116" w:type="dxa"/>
            <w:vMerge w:val="restart"/>
            <w:shd w:val="clear" w:color="auto" w:fill="auto"/>
            <w:tcMar>
              <w:left w:w="29" w:type="dxa"/>
              <w:right w:w="29" w:type="dxa"/>
            </w:tcMar>
            <w:hideMark/>
          </w:tcPr>
          <w:p>
            <w:pPr>
              <w:spacing w:before="0" w:after="0"/>
              <w:jc w:val="center"/>
              <w:rPr>
                <w:rFonts w:eastAsia="Times New Roman"/>
                <w:b/>
                <w:bCs/>
                <w:noProof/>
                <w:sz w:val="20"/>
                <w:szCs w:val="20"/>
                <w:lang w:eastAsia="en-GB"/>
              </w:rPr>
            </w:pPr>
            <w:r>
              <w:rPr>
                <w:rFonts w:eastAsia="Times New Roman"/>
                <w:b/>
                <w:bCs/>
                <w:noProof/>
                <w:sz w:val="20"/>
                <w:szCs w:val="20"/>
                <w:lang w:eastAsia="en-GB"/>
              </w:rPr>
              <w:t>Comments</w:t>
            </w:r>
          </w:p>
        </w:tc>
      </w:tr>
      <w:tr>
        <w:trPr>
          <w:trHeight w:val="435"/>
        </w:trPr>
        <w:tc>
          <w:tcPr>
            <w:tcW w:w="1105" w:type="dxa"/>
            <w:vMerge/>
            <w:shd w:val="clear" w:color="auto" w:fill="auto"/>
            <w:tcMar>
              <w:left w:w="29" w:type="dxa"/>
              <w:right w:w="29" w:type="dxa"/>
            </w:tcMar>
          </w:tcPr>
          <w:p>
            <w:pPr>
              <w:spacing w:before="0" w:after="0"/>
              <w:jc w:val="left"/>
              <w:rPr>
                <w:rFonts w:eastAsia="Times New Roman"/>
                <w:noProof/>
                <w:sz w:val="20"/>
                <w:szCs w:val="20"/>
                <w:lang w:eastAsia="en-GB"/>
              </w:rPr>
            </w:pPr>
          </w:p>
        </w:tc>
        <w:tc>
          <w:tcPr>
            <w:tcW w:w="1225" w:type="dxa"/>
            <w:vMerge/>
            <w:shd w:val="clear" w:color="auto" w:fill="auto"/>
            <w:tcMar>
              <w:left w:w="29" w:type="dxa"/>
              <w:right w:w="29" w:type="dxa"/>
            </w:tcMar>
          </w:tcPr>
          <w:p>
            <w:pPr>
              <w:spacing w:before="0" w:after="0"/>
              <w:jc w:val="left"/>
              <w:rPr>
                <w:rFonts w:eastAsia="Times New Roman"/>
                <w:b/>
                <w:bCs/>
                <w:noProof/>
                <w:sz w:val="20"/>
                <w:szCs w:val="20"/>
                <w:lang w:eastAsia="en-GB"/>
              </w:rPr>
            </w:pPr>
          </w:p>
        </w:tc>
        <w:tc>
          <w:tcPr>
            <w:tcW w:w="900" w:type="dxa"/>
            <w:vMerge/>
            <w:shd w:val="clear" w:color="auto" w:fill="auto"/>
            <w:tcMar>
              <w:left w:w="29" w:type="dxa"/>
              <w:right w:w="29" w:type="dxa"/>
            </w:tcMar>
          </w:tcPr>
          <w:p>
            <w:pPr>
              <w:spacing w:before="0" w:after="0"/>
              <w:jc w:val="left"/>
              <w:rPr>
                <w:rFonts w:eastAsia="Times New Roman"/>
                <w:b/>
                <w:bCs/>
                <w:noProof/>
                <w:sz w:val="20"/>
                <w:szCs w:val="20"/>
                <w:lang w:eastAsia="en-GB"/>
              </w:rPr>
            </w:pPr>
          </w:p>
        </w:tc>
        <w:tc>
          <w:tcPr>
            <w:tcW w:w="1052" w:type="dxa"/>
            <w:vMerge/>
            <w:shd w:val="clear" w:color="auto" w:fill="auto"/>
            <w:tcMar>
              <w:left w:w="29" w:type="dxa"/>
              <w:right w:w="29" w:type="dxa"/>
            </w:tcMar>
          </w:tcPr>
          <w:p>
            <w:pPr>
              <w:spacing w:before="0" w:after="0"/>
              <w:jc w:val="left"/>
              <w:rPr>
                <w:rFonts w:eastAsia="Times New Roman"/>
                <w:b/>
                <w:bCs/>
                <w:noProof/>
                <w:sz w:val="20"/>
                <w:szCs w:val="20"/>
                <w:lang w:eastAsia="en-GB"/>
              </w:rPr>
            </w:pPr>
          </w:p>
        </w:tc>
        <w:tc>
          <w:tcPr>
            <w:tcW w:w="1701" w:type="dxa"/>
            <w:vMerge/>
            <w:shd w:val="clear" w:color="auto" w:fill="auto"/>
            <w:tcMar>
              <w:left w:w="29" w:type="dxa"/>
              <w:right w:w="29" w:type="dxa"/>
            </w:tcMar>
          </w:tcPr>
          <w:p>
            <w:pPr>
              <w:spacing w:before="0" w:after="0"/>
              <w:jc w:val="left"/>
              <w:rPr>
                <w:rFonts w:eastAsia="Times New Roman"/>
                <w:b/>
                <w:bCs/>
                <w:noProof/>
                <w:sz w:val="20"/>
                <w:szCs w:val="20"/>
                <w:lang w:eastAsia="en-GB"/>
              </w:rPr>
            </w:pPr>
          </w:p>
        </w:tc>
        <w:tc>
          <w:tcPr>
            <w:tcW w:w="850" w:type="dxa"/>
            <w:vMerge/>
            <w:shd w:val="clear" w:color="auto" w:fill="auto"/>
            <w:tcMar>
              <w:left w:w="29" w:type="dxa"/>
              <w:right w:w="29" w:type="dxa"/>
            </w:tcMar>
          </w:tcPr>
          <w:p>
            <w:pPr>
              <w:spacing w:before="0" w:after="0"/>
              <w:jc w:val="right"/>
              <w:rPr>
                <w:rFonts w:eastAsia="Times New Roman"/>
                <w:b/>
                <w:bCs/>
                <w:noProof/>
                <w:sz w:val="20"/>
                <w:szCs w:val="20"/>
                <w:lang w:eastAsia="en-GB"/>
              </w:rPr>
            </w:pPr>
          </w:p>
        </w:tc>
        <w:tc>
          <w:tcPr>
            <w:tcW w:w="851" w:type="dxa"/>
            <w:vMerge/>
            <w:shd w:val="clear" w:color="auto" w:fill="auto"/>
            <w:tcMar>
              <w:left w:w="29" w:type="dxa"/>
              <w:right w:w="29" w:type="dxa"/>
            </w:tcMar>
          </w:tcPr>
          <w:p>
            <w:pPr>
              <w:spacing w:before="0" w:after="0"/>
              <w:jc w:val="left"/>
              <w:rPr>
                <w:rFonts w:eastAsia="Times New Roman"/>
                <w:b/>
                <w:bCs/>
                <w:noProof/>
                <w:sz w:val="20"/>
                <w:szCs w:val="20"/>
                <w:lang w:eastAsia="en-GB"/>
              </w:rPr>
            </w:pPr>
          </w:p>
        </w:tc>
        <w:tc>
          <w:tcPr>
            <w:tcW w:w="850" w:type="dxa"/>
            <w:vMerge/>
            <w:shd w:val="clear" w:color="auto" w:fill="auto"/>
            <w:tcMar>
              <w:left w:w="29" w:type="dxa"/>
              <w:right w:w="29" w:type="dxa"/>
            </w:tcMar>
          </w:tcPr>
          <w:p>
            <w:pPr>
              <w:spacing w:before="0" w:after="0"/>
              <w:jc w:val="center"/>
              <w:rPr>
                <w:rFonts w:eastAsia="Times New Roman"/>
                <w:b/>
                <w:bCs/>
                <w:noProof/>
                <w:sz w:val="20"/>
                <w:szCs w:val="20"/>
                <w:lang w:eastAsia="en-GB"/>
              </w:rPr>
            </w:pPr>
          </w:p>
        </w:tc>
        <w:tc>
          <w:tcPr>
            <w:tcW w:w="709" w:type="dxa"/>
            <w:vMerge/>
            <w:shd w:val="clear" w:color="auto" w:fill="auto"/>
            <w:tcMar>
              <w:left w:w="29" w:type="dxa"/>
              <w:right w:w="29" w:type="dxa"/>
            </w:tcMar>
          </w:tcPr>
          <w:p>
            <w:pPr>
              <w:spacing w:before="0" w:after="0"/>
              <w:jc w:val="center"/>
              <w:rPr>
                <w:rFonts w:eastAsia="Times New Roman"/>
                <w:b/>
                <w:bCs/>
                <w:noProof/>
                <w:sz w:val="20"/>
                <w:szCs w:val="20"/>
                <w:lang w:eastAsia="en-GB"/>
              </w:rPr>
            </w:pPr>
          </w:p>
        </w:tc>
        <w:tc>
          <w:tcPr>
            <w:tcW w:w="955" w:type="dxa"/>
            <w:vMerge/>
            <w:shd w:val="clear" w:color="auto" w:fill="auto"/>
            <w:tcMar>
              <w:left w:w="29" w:type="dxa"/>
              <w:right w:w="29" w:type="dxa"/>
            </w:tcMar>
          </w:tcPr>
          <w:p>
            <w:pPr>
              <w:spacing w:before="0" w:after="0"/>
              <w:jc w:val="left"/>
              <w:rPr>
                <w:rFonts w:eastAsia="Times New Roman"/>
                <w:b/>
                <w:bCs/>
                <w:noProof/>
                <w:sz w:val="20"/>
                <w:szCs w:val="20"/>
                <w:lang w:eastAsia="en-GB"/>
              </w:rPr>
            </w:pPr>
          </w:p>
        </w:tc>
        <w:tc>
          <w:tcPr>
            <w:tcW w:w="1030" w:type="dxa"/>
            <w:vMerge/>
            <w:shd w:val="clear" w:color="auto" w:fill="auto"/>
            <w:tcMar>
              <w:left w:w="29" w:type="dxa"/>
              <w:right w:w="29" w:type="dxa"/>
            </w:tcMar>
          </w:tcPr>
          <w:p>
            <w:pPr>
              <w:spacing w:before="0" w:after="0"/>
              <w:jc w:val="left"/>
              <w:rPr>
                <w:rFonts w:eastAsia="Times New Roman"/>
                <w:b/>
                <w:bCs/>
                <w:noProof/>
                <w:sz w:val="20"/>
                <w:szCs w:val="20"/>
                <w:lang w:eastAsia="en-GB"/>
              </w:rPr>
            </w:pPr>
          </w:p>
        </w:tc>
        <w:tc>
          <w:tcPr>
            <w:tcW w:w="992" w:type="dxa"/>
            <w:vMerge/>
            <w:shd w:val="clear" w:color="auto" w:fill="auto"/>
            <w:tcMar>
              <w:left w:w="29" w:type="dxa"/>
              <w:right w:w="29" w:type="dxa"/>
            </w:tcMar>
          </w:tcPr>
          <w:p>
            <w:pPr>
              <w:spacing w:before="0" w:after="0"/>
              <w:jc w:val="left"/>
              <w:rPr>
                <w:rFonts w:eastAsia="Times New Roman"/>
                <w:b/>
                <w:bCs/>
                <w:noProof/>
                <w:sz w:val="20"/>
                <w:szCs w:val="20"/>
                <w:lang w:eastAsia="en-GB"/>
              </w:rPr>
            </w:pPr>
          </w:p>
        </w:tc>
        <w:tc>
          <w:tcPr>
            <w:tcW w:w="1134" w:type="dxa"/>
            <w:vMerge/>
            <w:shd w:val="clear" w:color="auto" w:fill="auto"/>
            <w:tcMar>
              <w:left w:w="29" w:type="dxa"/>
              <w:right w:w="29" w:type="dxa"/>
            </w:tcMar>
          </w:tcPr>
          <w:p>
            <w:pPr>
              <w:spacing w:before="0" w:after="0"/>
              <w:jc w:val="left"/>
              <w:rPr>
                <w:rFonts w:eastAsia="Times New Roman"/>
                <w:b/>
                <w:bCs/>
                <w:noProof/>
                <w:sz w:val="20"/>
                <w:szCs w:val="20"/>
                <w:lang w:eastAsia="en-GB"/>
              </w:rPr>
            </w:pPr>
          </w:p>
        </w:tc>
        <w:tc>
          <w:tcPr>
            <w:tcW w:w="2116" w:type="dxa"/>
            <w:vMerge/>
            <w:shd w:val="clear" w:color="auto" w:fill="auto"/>
            <w:tcMar>
              <w:left w:w="29" w:type="dxa"/>
              <w:right w:w="29" w:type="dxa"/>
            </w:tcMar>
          </w:tcPr>
          <w:p>
            <w:pPr>
              <w:spacing w:before="0" w:after="0"/>
              <w:jc w:val="left"/>
              <w:rPr>
                <w:rFonts w:eastAsia="Times New Roman"/>
                <w:b/>
                <w:bCs/>
                <w:noProof/>
                <w:sz w:val="20"/>
                <w:szCs w:val="20"/>
                <w:lang w:eastAsia="en-GB"/>
              </w:rPr>
            </w:pPr>
          </w:p>
        </w:tc>
      </w:tr>
      <w:tr>
        <w:trPr>
          <w:trHeight w:val="264"/>
        </w:trPr>
        <w:tc>
          <w:tcPr>
            <w:tcW w:w="1105" w:type="dxa"/>
            <w:vMerge/>
            <w:shd w:val="clear" w:color="auto" w:fill="auto"/>
            <w:tcMar>
              <w:left w:w="29" w:type="dxa"/>
              <w:right w:w="29" w:type="dxa"/>
            </w:tcMar>
            <w:vAlign w:val="center"/>
            <w:hideMark/>
          </w:tcPr>
          <w:p>
            <w:pPr>
              <w:spacing w:before="0" w:after="0"/>
              <w:jc w:val="left"/>
              <w:rPr>
                <w:rFonts w:eastAsia="Times New Roman"/>
                <w:noProof/>
                <w:sz w:val="20"/>
                <w:szCs w:val="20"/>
                <w:lang w:eastAsia="en-GB"/>
              </w:rPr>
            </w:pPr>
          </w:p>
        </w:tc>
        <w:tc>
          <w:tcPr>
            <w:tcW w:w="1225"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900"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1052"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1701"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850"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851"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850"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709"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955"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1030"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992"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1134"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2116"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r>
      <w:tr>
        <w:trPr>
          <w:trHeight w:val="264"/>
        </w:trPr>
        <w:tc>
          <w:tcPr>
            <w:tcW w:w="1105" w:type="dxa"/>
            <w:vMerge/>
            <w:shd w:val="clear" w:color="auto" w:fill="auto"/>
            <w:tcMar>
              <w:left w:w="29" w:type="dxa"/>
              <w:right w:w="29" w:type="dxa"/>
            </w:tcMar>
            <w:vAlign w:val="center"/>
            <w:hideMark/>
          </w:tcPr>
          <w:p>
            <w:pPr>
              <w:spacing w:before="0" w:after="0"/>
              <w:jc w:val="left"/>
              <w:rPr>
                <w:rFonts w:eastAsia="Times New Roman"/>
                <w:noProof/>
                <w:sz w:val="20"/>
                <w:szCs w:val="20"/>
                <w:lang w:eastAsia="en-GB"/>
              </w:rPr>
            </w:pPr>
          </w:p>
        </w:tc>
        <w:tc>
          <w:tcPr>
            <w:tcW w:w="1225"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900"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1052"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1701"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850"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851"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850"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709"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955"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1030"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992"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1134"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c>
          <w:tcPr>
            <w:tcW w:w="2116" w:type="dxa"/>
            <w:vMerge/>
            <w:shd w:val="clear" w:color="auto" w:fill="auto"/>
            <w:tcMar>
              <w:left w:w="29" w:type="dxa"/>
              <w:right w:w="29" w:type="dxa"/>
            </w:tcMar>
            <w:vAlign w:val="center"/>
            <w:hideMark/>
          </w:tcPr>
          <w:p>
            <w:pPr>
              <w:spacing w:before="0" w:after="0"/>
              <w:jc w:val="left"/>
              <w:rPr>
                <w:rFonts w:eastAsia="Times New Roman"/>
                <w:b/>
                <w:bCs/>
                <w:noProof/>
                <w:sz w:val="20"/>
                <w:szCs w:val="20"/>
                <w:lang w:eastAsia="en-GB"/>
              </w:rPr>
            </w:pPr>
          </w:p>
        </w:tc>
      </w:tr>
      <w:tr>
        <w:trPr>
          <w:trHeight w:val="1380"/>
        </w:trPr>
        <w:tc>
          <w:tcPr>
            <w:tcW w:w="1105" w:type="dxa"/>
            <w:shd w:val="clear" w:color="auto" w:fill="auto"/>
            <w:tcMar>
              <w:left w:w="29" w:type="dxa"/>
              <w:right w:w="29" w:type="dxa"/>
            </w:tcMar>
            <w:hideMark/>
          </w:tcPr>
          <w:p>
            <w:pPr>
              <w:spacing w:before="0" w:after="0"/>
              <w:jc w:val="left"/>
              <w:rPr>
                <w:rFonts w:eastAsia="Times New Roman"/>
                <w:noProof/>
                <w:sz w:val="20"/>
                <w:szCs w:val="20"/>
                <w:lang w:val="es-ES" w:eastAsia="en-GB"/>
              </w:rPr>
            </w:pPr>
            <w:r>
              <w:rPr>
                <w:rFonts w:eastAsia="Times New Roman"/>
                <w:noProof/>
                <w:sz w:val="20"/>
                <w:szCs w:val="20"/>
                <w:lang w:val="es-ES" w:eastAsia="en-GB"/>
              </w:rPr>
              <w:t>Northern Corridor No. 1 (Mombasa-Malaba-Katuna)</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Mombasa Port Development (MPDP)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val="it-IT" w:eastAsia="en-GB"/>
              </w:rPr>
            </w:pPr>
            <w:r>
              <w:rPr>
                <w:rFonts w:eastAsia="Times New Roman"/>
                <w:noProof/>
                <w:sz w:val="20"/>
                <w:szCs w:val="20"/>
                <w:lang w:val="it-IT" w:eastAsia="en-GB"/>
              </w:rPr>
              <w:t>Burundi, Uganda, Rwanda and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Studies and detailed designs completed and phase 1ongoing &amp; phase 2 funding is available</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1,375.00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885.00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690.00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Modernize infrastructure at the port to allow larger vessels to call at the port and enhance trade - It includes development of new container terminal berth No. 23 at a cost of $ 300 million. The conversion of conventional cargo berths 11 to 14 into container berths at a cost of $ 73 million. Relocation of Kipevu Oil terminal at $ 152 million. Development of Dongo Kundu Free Port at a cost of $300 Million. Dredging of the Channel $ 60 Million</w:t>
            </w:r>
          </w:p>
        </w:tc>
      </w:tr>
      <w:tr>
        <w:trPr>
          <w:trHeight w:val="1056"/>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lastRenderedPageBreak/>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Voi Dry port</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val="it-IT" w:eastAsia="en-GB"/>
              </w:rPr>
            </w:pPr>
            <w:r>
              <w:rPr>
                <w:rFonts w:eastAsia="Times New Roman"/>
                <w:noProof/>
                <w:sz w:val="20"/>
                <w:szCs w:val="20"/>
                <w:lang w:val="it-IT" w:eastAsia="en-GB"/>
              </w:rPr>
              <w:t>Burundi, Uganda, Rwanda and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done</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104.00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81.12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 years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To decongest Mombasa Port and regional transit point. 97 acres of land available.</w:t>
            </w:r>
          </w:p>
        </w:tc>
      </w:tr>
      <w:tr>
        <w:trPr>
          <w:trHeight w:val="54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Container Ship Hub development</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Tanzania/Zanzibar</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Uganda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Project study is already completed</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212.00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Enabling easier transhipment and good link along EAC coast wise and in land container ports destination</w:t>
            </w:r>
          </w:p>
        </w:tc>
      </w:tr>
      <w:tr>
        <w:trPr>
          <w:trHeight w:val="115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Development of Kisumu Port and other Lake Victoria Ports</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27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Development of new transport corridor from Lamu to Ethiopia and South Sudan</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Rwanda, Uganda, Tanzania and Burundi</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Initiated</w:t>
            </w:r>
          </w:p>
        </w:tc>
        <w:tc>
          <w:tcPr>
            <w:tcW w:w="850" w:type="dxa"/>
            <w:shd w:val="clear" w:color="auto" w:fill="auto"/>
            <w:tcMar>
              <w:left w:w="29" w:type="dxa"/>
              <w:right w:w="29" w:type="dxa"/>
            </w:tcMar>
            <w:hideMark/>
          </w:tcPr>
          <w:p>
            <w:pPr>
              <w:spacing w:before="0" w:after="0"/>
              <w:jc w:val="right"/>
              <w:rPr>
                <w:rFonts w:eastAsia="Times New Roman"/>
                <w:noProof/>
                <w:sz w:val="18"/>
                <w:szCs w:val="18"/>
                <w:lang w:eastAsia="en-GB"/>
              </w:rPr>
            </w:pPr>
            <w:r>
              <w:rPr>
                <w:rFonts w:eastAsia="Times New Roman"/>
                <w:noProof/>
                <w:sz w:val="18"/>
                <w:szCs w:val="18"/>
                <w:lang w:eastAsia="en-GB"/>
              </w:rPr>
              <w:t xml:space="preserve">22,000.00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30.00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21,170.00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Development of the Port of Lamu, Road Network, 3 International Airports, Oil Refinery, Pipeline and 3 Resort Cities for an efficient rail transport linking Lamu Port to South Sudan and Ethiopia </w:t>
            </w:r>
          </w:p>
        </w:tc>
      </w:tr>
      <w:tr>
        <w:trPr>
          <w:trHeight w:val="123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Widening of the port basin and Construction of a container terminal in Bujumbura Port</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 Tanzania &amp; Rwanda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studies completed</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19.00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19.00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14.82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This project will allow Bujumbura Port Construction of Breakwater at Port Entrance and Rehabilitation of Oil Terminal</w:t>
            </w:r>
          </w:p>
        </w:tc>
      </w:tr>
      <w:tr>
        <w:trPr>
          <w:trHeight w:val="99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lastRenderedPageBreak/>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Shipyard construction at Bujumbura port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Tanzania, Uganda, Rwanda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Ongoing Feasibility studies available (within Ports Master Plan)</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7.00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7.00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5.46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Improvement of equipment handling, construction of a warehouse, enlargement of docks, construction of a new port authorities building. Cost to be determined. Renovation of the fleet, construction of new vessels, improving navigation safety. </w:t>
            </w:r>
          </w:p>
        </w:tc>
      </w:tr>
      <w:tr>
        <w:trPr>
          <w:trHeight w:val="135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Construction of Bukasa Port and associated ships to connect with Mwanza Port in Tanzania</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Uganda </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Uganda &amp;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to be undertaken</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300.00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300.00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234.00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Will enable the easy access and connection to Tanzania</w:t>
            </w:r>
          </w:p>
        </w:tc>
      </w:tr>
      <w:tr>
        <w:trPr>
          <w:trHeight w:val="216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Establish Off Dock Container Depots in Mombasa and Dar Es Salaam</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Rwanda </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 Rwanda, Burundi, Kenya, Uganda and Tanzania </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 Feasibility studies completed for both Mombasa and Dar. Land acquisition in Mombasa is in the final stage while the process has not started in Dar es Salaam.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34.00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WB and TMEA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34.00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26.52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7years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 GoR is implementing this project as part of the integrated logistics facilities project seeking to transform the Logistics chain from the ports to the hinterland; reduce costs and improve operations. </w:t>
            </w:r>
          </w:p>
        </w:tc>
      </w:tr>
      <w:tr>
        <w:trPr>
          <w:trHeight w:val="240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lastRenderedPageBreak/>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Development of a New Port at Mwambani Bay Tanga and the Musoma Railway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Uganda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The feasibility study was completed in November, 2012. Following unsuccessful international competitive tender procurement Under Design build Finance (DBF) on 27 January 2015 it has been decided that the project will be undertaken in two phases starting with detailed designs independent of construction works. ToR for design is expected to be advertised in August 2015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500.00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500.00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390.00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3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 The railway project is part of the </w:t>
            </w:r>
            <w:r>
              <w:rPr>
                <w:rFonts w:eastAsia="Times New Roman"/>
                <w:b/>
                <w:bCs/>
                <w:i/>
                <w:iCs/>
                <w:noProof/>
                <w:sz w:val="20"/>
                <w:szCs w:val="20"/>
                <w:lang w:eastAsia="en-GB"/>
              </w:rPr>
              <w:t>Tanga (Mwambani) – Arusha - Musoma - New Kampala Railway and Maritime project</w:t>
            </w:r>
            <w:r>
              <w:rPr>
                <w:rFonts w:eastAsia="Times New Roman"/>
                <w:noProof/>
                <w:sz w:val="20"/>
                <w:szCs w:val="20"/>
                <w:lang w:eastAsia="en-GB"/>
              </w:rPr>
              <w:t>, which also has a maritime component of developing high capacity new ports at Mwambani - Tanga, Musoma and Kampala. The line will open Tanga Development Corridor to the International gateway and promote cross border trade with neighbouring countries. The railway line will be used to transport agriculture and forest products, soda ash, phosphates and other mineral products to the market centres. The project will also stimulate evacuation of a huge nickel deposit which has been discovered at Dutwa, some 100 km east of Mwanza and a huge soda ash deposit at /near Lake Natron.</w:t>
            </w:r>
          </w:p>
        </w:tc>
      </w:tr>
      <w:tr>
        <w:trPr>
          <w:trHeight w:val="90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Construct oil pipeline from Kigali to Bujumbura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 &amp; Burundi</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Not initiated</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studies and construction not yet initiated. Costs to be determined by the study. BAD accepted (579,368$) the financial support in the framework of the EAC</w:t>
            </w:r>
          </w:p>
        </w:tc>
      </w:tr>
      <w:tr>
        <w:trPr>
          <w:trHeight w:val="168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Construction of parallel pipeline from Nairobi to Eldoret to increase the pumping capacity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Uganda, Rwanda and Burundi</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Feasibility study completed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194.74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194.74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151.90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Installation of a 14-inch diameter oil pipeline from Nairobi to Eldoret </w:t>
            </w:r>
          </w:p>
        </w:tc>
      </w:tr>
      <w:tr>
        <w:trPr>
          <w:trHeight w:val="132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Extension of the Kenya-Uganda Petroleum Pipeline (KUPPE)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Kenya &amp; Uganda </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Design /procurement initiated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144.94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144.94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113.05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Construction of Eldoret - Malaba - Kampala oil pipeline to ensure safety and supply of oil products to Uganda, install a 10 inch diameter oil pipeline in the reverse implemented by both countries. </w:t>
            </w:r>
          </w:p>
        </w:tc>
      </w:tr>
      <w:tr>
        <w:trPr>
          <w:trHeight w:val="3696"/>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Central Corridor No. 2 (Dar es Salaam-Dodoma-Isaka-Mutukula-Masaka)</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Development of Kisarawe Freight Station (KFS).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auto" w:fill="auto"/>
            <w:tcMar>
              <w:left w:w="29" w:type="dxa"/>
              <w:right w:w="29" w:type="dxa"/>
            </w:tcMar>
            <w:hideMark/>
          </w:tcPr>
          <w:p>
            <w:pPr>
              <w:spacing w:before="0" w:after="0"/>
              <w:jc w:val="left"/>
              <w:rPr>
                <w:rFonts w:eastAsia="Times New Roman"/>
                <w:noProof/>
                <w:sz w:val="20"/>
                <w:szCs w:val="20"/>
                <w:lang w:val="it-IT" w:eastAsia="en-GB"/>
              </w:rPr>
            </w:pPr>
            <w:r>
              <w:rPr>
                <w:rFonts w:eastAsia="Times New Roman"/>
                <w:noProof/>
                <w:sz w:val="20"/>
                <w:szCs w:val="20"/>
                <w:lang w:val="it-IT" w:eastAsia="en-GB"/>
              </w:rPr>
              <w:t>Tanzania, Uganda, Rwanda and Burundi</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TPA is in the process of acquiring 1,760 acres for project development. The Contract for carrying out Feasibility Study was signed on 17th September 2014 and the Consultant now is at Interim stage of the study and expected to complete the study by end of September, 2015.</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120.00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120.00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93.60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The project will increase capacity of the port of Dar es Salaam to handle traffic for Tanzania and neighbouring countries of Burundi, Rwanda and Uganda.</w:t>
            </w:r>
          </w:p>
        </w:tc>
      </w:tr>
      <w:tr>
        <w:trPr>
          <w:trHeight w:val="8192"/>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Construction of a standard gauge railway line from Dar es Salaam - Isaka - Kigali /Keza - Gitega - Musongati (km 1,670).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Burundi and 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Burundi and Rwanda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Feasibility Study on construction of a standard gauge railway from Isaka - Kigali /Keza - Gitega -Musongati was completed under AfDB financing ($2.80ml). Feasibility study for upgrading to standard gauge of Dar-Isaka line was completed by BNSF under USTDA &amp; BNSF joint financing ($ 0.9 ml). Detailed Engineering study for the whole railway line (Dar es Salaam-Isaka- Kigali/Keza-Gitega-Musongati) was finalised in November 2014 under AfDB financing ($8.9ml) Project coordinated by a Secretariat chaired by Tanzania and Rwanda hosting the project secretariat. </w:t>
            </w:r>
            <w:r>
              <w:rPr>
                <w:rFonts w:eastAsia="Times New Roman"/>
                <w:noProof/>
                <w:sz w:val="20"/>
                <w:szCs w:val="20"/>
                <w:lang w:eastAsia="en-GB"/>
              </w:rPr>
              <w:br/>
            </w:r>
            <w:r>
              <w:rPr>
                <w:rFonts w:eastAsia="Times New Roman"/>
                <w:noProof/>
                <w:sz w:val="20"/>
                <w:szCs w:val="20"/>
                <w:lang w:eastAsia="en-GB"/>
              </w:rPr>
              <w:br/>
              <w:t xml:space="preserve">A Transaction Advisor (CPSC) was recruited to package the project into PPPs and assist in finance negotiations. An EoI was requested in July 2015.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5,580.00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5,580.00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4,352.40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8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95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Upgrading to bitumen standard of Mutukula- Kyaka- Bugene – Kasulo (277 km). </w:t>
            </w:r>
          </w:p>
        </w:tc>
        <w:tc>
          <w:tcPr>
            <w:tcW w:w="900"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000000" w:fill="FFFFFF"/>
            <w:tcMar>
              <w:left w:w="29" w:type="dxa"/>
              <w:right w:w="29" w:type="dxa"/>
            </w:tcMar>
            <w:hideMark/>
          </w:tcPr>
          <w:p>
            <w:pPr>
              <w:spacing w:before="0" w:after="0"/>
              <w:jc w:val="left"/>
              <w:rPr>
                <w:rFonts w:eastAsia="Times New Roman"/>
                <w:noProof/>
                <w:sz w:val="20"/>
                <w:szCs w:val="20"/>
                <w:lang w:val="it-IT" w:eastAsia="en-GB"/>
              </w:rPr>
            </w:pPr>
            <w:r>
              <w:rPr>
                <w:rFonts w:eastAsia="Times New Roman"/>
                <w:noProof/>
                <w:sz w:val="20"/>
                <w:szCs w:val="20"/>
                <w:lang w:val="it-IT" w:eastAsia="en-GB"/>
              </w:rPr>
              <w:t>Tanzania, Burundi, Rwanda and Uganda</w:t>
            </w:r>
          </w:p>
        </w:tc>
        <w:tc>
          <w:tcPr>
            <w:tcW w:w="1701" w:type="dxa"/>
            <w:shd w:val="clear" w:color="000000" w:fill="FFFFFF"/>
            <w:tcMar>
              <w:left w:w="29" w:type="dxa"/>
              <w:right w:w="29" w:type="dxa"/>
            </w:tcMar>
            <w:hideMark/>
          </w:tcPr>
          <w:p>
            <w:pPr>
              <w:spacing w:before="0" w:after="0"/>
              <w:jc w:val="left"/>
              <w:rPr>
                <w:rFonts w:eastAsia="Times New Roman"/>
                <w:noProof/>
                <w:sz w:val="20"/>
                <w:szCs w:val="20"/>
                <w:lang w:val="it-IT" w:eastAsia="en-GB"/>
              </w:rPr>
            </w:pPr>
            <w:r>
              <w:rPr>
                <w:rFonts w:eastAsia="Times New Roman"/>
                <w:noProof/>
                <w:sz w:val="20"/>
                <w:szCs w:val="20"/>
                <w:lang w:val="it-IT" w:eastAsia="en-GB"/>
              </w:rPr>
              <w:t> </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124.00 </w:t>
            </w:r>
          </w:p>
        </w:tc>
        <w:tc>
          <w:tcPr>
            <w:tcW w:w="851"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124.00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96.72 </w:t>
            </w:r>
          </w:p>
        </w:tc>
        <w:tc>
          <w:tcPr>
            <w:tcW w:w="1134"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Funding is sought for 124 km only</w:t>
            </w:r>
          </w:p>
        </w:tc>
      </w:tr>
      <w:tr>
        <w:trPr>
          <w:trHeight w:val="196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240"/>
              <w:jc w:val="left"/>
              <w:rPr>
                <w:rFonts w:eastAsia="Times New Roman"/>
                <w:noProof/>
                <w:sz w:val="20"/>
                <w:szCs w:val="20"/>
                <w:lang w:eastAsia="en-GB"/>
              </w:rPr>
            </w:pPr>
            <w:r>
              <w:rPr>
                <w:rFonts w:eastAsia="Times New Roman"/>
                <w:noProof/>
                <w:sz w:val="20"/>
                <w:szCs w:val="20"/>
                <w:lang w:eastAsia="en-GB"/>
              </w:rPr>
              <w:t>Development of berths 13 &amp; 14 at Dar es Salaam Port</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 Rwanda and Uganda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A Transaction Advisor (CPSC) was recruited to package the project into PPPs and assist in finance negotiations. An EoI was requested in July 2015.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400.00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400.00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312.00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3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Estimate cost is for construction and equipment procurement</w:t>
            </w:r>
          </w:p>
        </w:tc>
      </w:tr>
      <w:tr>
        <w:trPr>
          <w:trHeight w:val="264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Improvements to Mwanza South, Kigoma and Kasanga ports.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Kenya, Uganda, Rwanda and Burundi</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for Mwanza Port Modernization started in August, 2014 by Consultant Royal Haskoning and will be completed in March, 2015. Modernization works to start after completion of studies</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400.00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400.00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312.00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3308"/>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Upgrading of Mpanda – Uvinza – Kanyani (252 km) </w:t>
            </w:r>
            <w:r>
              <w:rPr>
                <w:rFonts w:eastAsia="Times New Roman"/>
                <w:noProof/>
                <w:sz w:val="20"/>
                <w:szCs w:val="20"/>
                <w:lang w:eastAsia="en-GB"/>
              </w:rPr>
              <w:br/>
              <w:t>The road section is part of the Western Corridor namely: Tunduma – Sumbawanga – Mpanda – Kigoma - Nyakanazi (1286 km). Economic activities along this corridor include agriculture, tourism, mining, timberworks, fishing and gold smiting. Section of Tz's major western corridor, opening up central-western Tanzania and connecting with EAC and COMESA regions. It is an important linkage to the TANZAM, at Tunduma and Central Corridors, at Nyakanazi.</w:t>
            </w:r>
          </w:p>
        </w:tc>
        <w:tc>
          <w:tcPr>
            <w:tcW w:w="900"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EAC-SADC-COMESA</w:t>
            </w:r>
          </w:p>
        </w:tc>
        <w:tc>
          <w:tcPr>
            <w:tcW w:w="1701"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A total of 50km from Mpanda-Mishamo (Mpanda-Usiumbili section (35 km)) is under procurement for works under GOT funding. The missing link which requires financing is the Usimbili-Mishamo-Uvinza-Kanyani 267km. Feasibility Study and Designs completed by the GoT.</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203.46</w:t>
            </w:r>
          </w:p>
        </w:tc>
        <w:tc>
          <w:tcPr>
            <w:tcW w:w="851"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0</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0</w:t>
            </w:r>
          </w:p>
        </w:tc>
        <w:tc>
          <w:tcPr>
            <w:tcW w:w="709"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0</w:t>
            </w:r>
          </w:p>
        </w:tc>
        <w:tc>
          <w:tcPr>
            <w:tcW w:w="955"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1.46</w:t>
            </w:r>
          </w:p>
        </w:tc>
        <w:tc>
          <w:tcPr>
            <w:tcW w:w="103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202</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1134"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80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Dar es Salaam Southern Bypass Expressway (85.5 km) - Link Dar Port with proposed Kisarawe Dry Port and Mlandizi. </w:t>
            </w:r>
          </w:p>
        </w:tc>
        <w:tc>
          <w:tcPr>
            <w:tcW w:w="900"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EAC, COMESA</w:t>
            </w:r>
          </w:p>
        </w:tc>
        <w:tc>
          <w:tcPr>
            <w:tcW w:w="1701"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Feasibility study and design are ongoing under GOT financing </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200</w:t>
            </w:r>
          </w:p>
        </w:tc>
        <w:tc>
          <w:tcPr>
            <w:tcW w:w="851"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0</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0</w:t>
            </w:r>
          </w:p>
        </w:tc>
        <w:tc>
          <w:tcPr>
            <w:tcW w:w="709"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0</w:t>
            </w:r>
          </w:p>
        </w:tc>
        <w:tc>
          <w:tcPr>
            <w:tcW w:w="955"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0</w:t>
            </w:r>
          </w:p>
        </w:tc>
        <w:tc>
          <w:tcPr>
            <w:tcW w:w="103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200</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1134"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Expressway will decongest the central transport corridor and increase efficiency of traffic throughput into and out of Dar city.</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44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Upgrading to bitumen standard of Handeni - Kiberashi - Singida Road (460 km). </w:t>
            </w:r>
          </w:p>
        </w:tc>
        <w:tc>
          <w:tcPr>
            <w:tcW w:w="900"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Rwanda and Burundi</w:t>
            </w:r>
          </w:p>
        </w:tc>
        <w:tc>
          <w:tcPr>
            <w:tcW w:w="1701"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Feasibility study and design are on-going under the Government of Tanzania financing </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460.00 </w:t>
            </w:r>
          </w:p>
        </w:tc>
        <w:tc>
          <w:tcPr>
            <w:tcW w:w="851"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460.00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358.80 </w:t>
            </w:r>
          </w:p>
        </w:tc>
        <w:tc>
          <w:tcPr>
            <w:tcW w:w="1134"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056"/>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Dar es Salaam Southern Bypass Expressway (85.5 km)</w:t>
            </w:r>
          </w:p>
        </w:tc>
        <w:tc>
          <w:tcPr>
            <w:tcW w:w="900"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Burundi and Rwanda</w:t>
            </w:r>
          </w:p>
        </w:tc>
        <w:tc>
          <w:tcPr>
            <w:tcW w:w="1701"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and design are on-going under the Government of Tanzania financing</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200.00 </w:t>
            </w:r>
          </w:p>
        </w:tc>
        <w:tc>
          <w:tcPr>
            <w:tcW w:w="851"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200.00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156.00 </w:t>
            </w:r>
          </w:p>
        </w:tc>
        <w:tc>
          <w:tcPr>
            <w:tcW w:w="1134"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Expressway will decongest the central transport corridor and increase efficiency of traffic throughput into and out of Dar city.</w:t>
            </w:r>
          </w:p>
        </w:tc>
      </w:tr>
      <w:tr>
        <w:trPr>
          <w:trHeight w:val="111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Construction of Rumonge port (Feasibility studies and construction)</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Burundi Tanzania </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Not initiated Feasibility studies available</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6.00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6.00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4.68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2011/12 -2014/16</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056"/>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Rehabilitation of Kayonza- Rusumo road (92 km)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 and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The Government of Rwanda is mobilizing funds from JICA and AfDB.</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75.45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0.45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75.00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58.50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3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The project appraisal by JICA was completed in July 2015</w:t>
            </w:r>
          </w:p>
        </w:tc>
      </w:tr>
      <w:tr>
        <w:trPr>
          <w:trHeight w:val="105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Rehabilitation of Musanze - Cyanika Road (24 km)</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 and Uganda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Detailed study was initiated in March 2015. It is due to be completed in November 2015</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26.20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0.20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26.00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20.28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3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No funding for works yet available</w:t>
            </w:r>
          </w:p>
        </w:tc>
      </w:tr>
      <w:tr>
        <w:trPr>
          <w:trHeight w:val="114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Upgrading of Ngoma - Ramiro - Nyanza (130 km in 2 lots) . Link to Central Corridor</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 and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The detailed study was completed in January 2015</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170.00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0.50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169.50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132.21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4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No funding for works yet available</w:t>
            </w:r>
          </w:p>
        </w:tc>
      </w:tr>
      <w:tr>
        <w:trPr>
          <w:trHeight w:val="93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Construction of a ferry boat on Lake Tanganika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 &amp;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Not initiated</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12.00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12.00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9.36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2012 - 2016</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No funding for works yet available</w:t>
            </w:r>
          </w:p>
        </w:tc>
      </w:tr>
      <w:tr>
        <w:trPr>
          <w:trHeight w:val="84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Rehabilitation of the National road 6, Muyinga -Kobero</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104.00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104.00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81.12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29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Rehabilitation and extension of the National road 12 Gitega- Karuzi- Muyinga -Tanzanie</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Detailed design done</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89.60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89.60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69.89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96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Rehabilitation of the National road 18, Nyakararo - Mwaro -</w:t>
            </w:r>
            <w:r>
              <w:rPr>
                <w:rFonts w:eastAsia="Times New Roman"/>
                <w:noProof/>
                <w:sz w:val="20"/>
                <w:szCs w:val="20"/>
                <w:lang w:eastAsia="en-GB"/>
              </w:rPr>
              <w:br/>
              <w:t xml:space="preserve">Gitega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Detailed design done</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44.80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44.80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34.94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No funding for works yet available for Mwaro-Gitega</w:t>
            </w:r>
          </w:p>
        </w:tc>
      </w:tr>
      <w:tr>
        <w:trPr>
          <w:trHeight w:val="103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Rehabilitation of the National road 7, Bujumbura –Nyakararo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Detailed design done</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60.00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60.00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46.80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29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Rehabilitation and extension of the National road 1, Bujumbura- Kayanza,- Kanyaru Haut</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 Rwanda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Detailed design done</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138.00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138.00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107.64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90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Construction works for the Provincial road 101</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49.20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49.20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38.38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90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Extension of the National road 6 to Kayanza</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Burundi-Rwanda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Detailed design done on the section from Kobero to Muyinga</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156.00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156.00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121.68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73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Rehabilitation for the National road 2, Bujumbura- Gitega</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52.00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52.00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40.56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35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Rehabilitation and construction works for the National roads 16 &amp; 17 Gitega-Bururi-Makamba – 127 km)</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145.20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145.20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113.26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32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and Construction of Ruyigi-Gisuru-Gahumo(Burundi - Tanzania) 80 km</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Burundi &amp;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Not initiated</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70.00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70.00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54.60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Costs to be determined by the study</w:t>
            </w:r>
          </w:p>
        </w:tc>
      </w:tr>
      <w:tr>
        <w:trPr>
          <w:trHeight w:val="8192"/>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Construction of a standard gauge railway line from Dar es Salaam - Isaka - Kigali /Keza - Gitega - Musongati (1,670 km).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Burundi and 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Burundi and Rwanda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Feasibility Study on construction of a standard gauge railway from Isaka - Kigali /Keza - Gitega -Musongati was completed under AfDB financing ($ 2.80 ml). Feasibility study for upgrading to standard gauge of Dar-Isaka line was completed by BNSF under USTDA &amp; BNSF joint financing ($ 0.9 ml). Detailed Engineering study for the whole railway line (Dar es Salaam - Isaka - Kigali/Keza-Gitega-Musongati) will be finalised in February 2013 under AfDB financing ($ 8.9 ml) Project coordinated by a Secretariat chaired by Tanzania and Rwanda hosting the project secretariat. </w:t>
            </w:r>
            <w:r>
              <w:rPr>
                <w:rFonts w:eastAsia="Times New Roman"/>
                <w:noProof/>
                <w:sz w:val="20"/>
                <w:szCs w:val="20"/>
                <w:lang w:eastAsia="en-GB"/>
              </w:rPr>
              <w:br/>
            </w:r>
            <w:r>
              <w:rPr>
                <w:rFonts w:eastAsia="Times New Roman"/>
                <w:noProof/>
                <w:sz w:val="20"/>
                <w:szCs w:val="20"/>
                <w:lang w:eastAsia="en-GB"/>
              </w:rPr>
              <w:br/>
              <w:t>Feasibility studies by DBI of Germany and BNSF of USA were finalized.</w:t>
            </w:r>
            <w:r>
              <w:rPr>
                <w:rFonts w:eastAsia="Times New Roman"/>
                <w:noProof/>
                <w:sz w:val="20"/>
                <w:szCs w:val="20"/>
                <w:lang w:eastAsia="en-GB"/>
              </w:rPr>
              <w:br/>
            </w:r>
            <w:r>
              <w:rPr>
                <w:rFonts w:eastAsia="Times New Roman"/>
                <w:noProof/>
                <w:sz w:val="20"/>
                <w:szCs w:val="20"/>
                <w:lang w:eastAsia="en-GB"/>
              </w:rPr>
              <w:br/>
              <w:t xml:space="preserve">Currently a detailed engineering study financed by the AfDB to the tune of US$ 8.9 million is underway to package the project into PPPs and undertake pre-investment/feasibility study on the priority interventions. </w:t>
            </w:r>
            <w:r>
              <w:rPr>
                <w:rFonts w:eastAsia="Times New Roman"/>
                <w:noProof/>
                <w:sz w:val="20"/>
                <w:szCs w:val="20"/>
                <w:lang w:eastAsia="en-GB"/>
              </w:rPr>
              <w:br/>
            </w:r>
            <w:r>
              <w:rPr>
                <w:rFonts w:eastAsia="Times New Roman"/>
                <w:noProof/>
                <w:sz w:val="20"/>
                <w:szCs w:val="20"/>
                <w:lang w:eastAsia="en-GB"/>
              </w:rPr>
              <w:br/>
              <w:t>Draft report expected in December , 2012 and final report in February , 2013</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5,580.00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5,580.00 </w:t>
            </w:r>
          </w:p>
        </w:tc>
        <w:tc>
          <w:tcPr>
            <w:tcW w:w="992"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4,352.40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8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600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Railway project Mombasa-Kampala-Kigali Standard gauge railway</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 Uganda, Kenya and Burundi</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The construction of Mombasa-Nairobi section has started in November 2013. This section is mainly financed by the Exim Bank of China and the construction is implemented by China Road and Bridge Corporation (CRBC);</w:t>
            </w:r>
            <w:r>
              <w:rPr>
                <w:rFonts w:eastAsia="Times New Roman"/>
                <w:noProof/>
                <w:sz w:val="20"/>
                <w:szCs w:val="20"/>
                <w:lang w:eastAsia="en-GB"/>
              </w:rPr>
              <w:br/>
              <w:t>-The feasibility study for the Nairobi-Malaba section is been carried out by China Communications Construction Company (CCCC), to be completed in September 2015; The Preliminary Engineering Design for Malaba-Kampala section has been completed in August 2014. In March 2015, the Government of Uganda and China Harbour Engineering Company (CHEC) has signed an agreement for the construction of that section, including the northern route to Gulu and Nimule;</w:t>
            </w:r>
            <w:r>
              <w:rPr>
                <w:rFonts w:eastAsia="Times New Roman"/>
                <w:noProof/>
                <w:sz w:val="20"/>
                <w:szCs w:val="20"/>
                <w:lang w:eastAsia="en-GB"/>
              </w:rPr>
              <w:br/>
              <w:t>- Uganda and South Sudan have started implementing jointly the Preliminary Engineering Design for the Tororo-Nimule-Juba section.</w:t>
            </w:r>
            <w:r>
              <w:rPr>
                <w:rFonts w:eastAsia="Times New Roman"/>
                <w:noProof/>
                <w:sz w:val="20"/>
                <w:szCs w:val="20"/>
                <w:lang w:eastAsia="en-GB"/>
              </w:rPr>
              <w:br/>
              <w:t>- Uganda and Rwanda have started implementing jointly the Preliminary Engineering Design for the Kampala-Kigali section and spurs, to be completed in October 2015.</w:t>
            </w:r>
            <w:r>
              <w:rPr>
                <w:rFonts w:eastAsia="Times New Roman"/>
                <w:noProof/>
                <w:sz w:val="20"/>
                <w:szCs w:val="20"/>
                <w:lang w:eastAsia="en-GB"/>
              </w:rPr>
              <w:br/>
              <w:t>Process for finance mobilisation has been initiated in the 3 countries.</w:t>
            </w:r>
          </w:p>
        </w:tc>
        <w:tc>
          <w:tcPr>
            <w:tcW w:w="850" w:type="dxa"/>
            <w:shd w:val="clear" w:color="auto" w:fill="auto"/>
            <w:tcMar>
              <w:left w:w="29" w:type="dxa"/>
              <w:right w:w="29" w:type="dxa"/>
            </w:tcMar>
            <w:hideMark/>
          </w:tcPr>
          <w:p>
            <w:pPr>
              <w:spacing w:before="0" w:after="0"/>
              <w:jc w:val="right"/>
              <w:rPr>
                <w:rFonts w:eastAsia="Times New Roman"/>
                <w:noProof/>
                <w:sz w:val="18"/>
                <w:szCs w:val="18"/>
                <w:lang w:eastAsia="en-GB"/>
              </w:rPr>
            </w:pPr>
            <w:r>
              <w:rPr>
                <w:rFonts w:eastAsia="Times New Roman"/>
                <w:noProof/>
                <w:sz w:val="18"/>
                <w:szCs w:val="18"/>
                <w:lang w:eastAsia="en-GB"/>
              </w:rPr>
              <w:t xml:space="preserve">13,800.00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7,300.00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5,694.00 </w:t>
            </w:r>
          </w:p>
        </w:tc>
        <w:tc>
          <w:tcPr>
            <w:tcW w:w="1134"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2014-2019 (Institutional framework, financing and design: 2 years; Construction: 3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321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Rehabilitation of Nyanguge-Magu-Musoma road (184.2 km)</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&amp; Kenya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Rehabilitation has been completed for the Simiyu/Mara Boarder to Musoma section of 85.5 km. The missing link which needs financing is Nyanguge Simiyu/Mara border section (80 km). Feasibility Study was completed in June 2008 and detailed engineering design was completed in 2009 under EU financing</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115.00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0.67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114.33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89.18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The project could be financed from the 10th EDF resources (RIP).</w:t>
            </w:r>
          </w:p>
        </w:tc>
      </w:tr>
      <w:tr>
        <w:trPr>
          <w:trHeight w:val="660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Kidahwe – Kibondo – Nyakanazi Road (310 km)</w:t>
            </w:r>
          </w:p>
        </w:tc>
        <w:tc>
          <w:tcPr>
            <w:tcW w:w="900"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Burundi and Rwanda</w:t>
            </w:r>
          </w:p>
        </w:tc>
        <w:tc>
          <w:tcPr>
            <w:tcW w:w="1701"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A total of 100 km (50 km from Nyakanazi towards Kasulu and 50km from Kidahwe towards Kasulu) are under construction to bitumen standard through GOT funding. The missing length which has no financing commitment for construction is 250 km. Procurement of consultant to undertake update of the feasibility study and detailed design of Kasulu to Nyakanazi section (210 km) and Feasibility study of Kasulu Mugina (45 km) (Tanzania-Burundi border) is on going under NEPAD- IPPF Financing </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255.00 </w:t>
            </w:r>
          </w:p>
        </w:tc>
        <w:tc>
          <w:tcPr>
            <w:tcW w:w="851"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255.00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198.90 </w:t>
            </w:r>
          </w:p>
        </w:tc>
        <w:tc>
          <w:tcPr>
            <w:tcW w:w="1134"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21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Construction of Malindi Lungalunga Bagamoyo Road. (503 km)</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5%</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and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studies and detailed engineering designs completed.</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571.00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571.00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445.38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studies and detailed engineering designs fully funded by AfDB. As a priority it links to corridor No. 1 and LAPSSET.</w:t>
            </w:r>
          </w:p>
        </w:tc>
      </w:tr>
      <w:tr>
        <w:trPr>
          <w:trHeight w:val="85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Tanga - Moshi- Arusha - Musoma Railway Line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Uganda and Kenya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on going (Cost 2 billion</w:t>
            </w:r>
            <w:r>
              <w:rPr>
                <w:noProof/>
              </w:rPr>
              <w:t xml:space="preserve"> </w:t>
            </w:r>
            <w:r>
              <w:rPr>
                <w:rFonts w:eastAsia="Times New Roman"/>
                <w:noProof/>
                <w:sz w:val="20"/>
                <w:szCs w:val="20"/>
                <w:lang w:eastAsia="en-GB"/>
              </w:rPr>
              <w:t>Tanzania Shillings)</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1,903.00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1,903.00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1,484.34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2012-2017</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The project entails strengthening, upgrading and construction of railway line from Tanga to Musoma with spur to Lake Natron at Mto wa Mbu. The rail will establish a link between Uganda and port of Tanga. </w:t>
            </w:r>
          </w:p>
        </w:tc>
      </w:tr>
      <w:tr>
        <w:trPr>
          <w:trHeight w:val="85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Rehabilitation of the existing Voi-Taveta Railway 110 km</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done</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18.00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94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Upgrading of airport facilities at Karume Airport, Pemba</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Tanzania/Zanzibar</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Tanzania, Uganda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ready</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12.12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960"/>
        </w:trPr>
        <w:tc>
          <w:tcPr>
            <w:tcW w:w="1105" w:type="dxa"/>
            <w:shd w:val="clear" w:color="auto" w:fill="auto"/>
            <w:tcMar>
              <w:left w:w="29" w:type="dxa"/>
              <w:right w:w="29" w:type="dxa"/>
            </w:tcMar>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Power Generation (Energy)</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Rusizi IV hydro power plant study and construction (285 MW)</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 and Burundi</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Prefeasibility study completed. </w:t>
            </w:r>
            <w:r>
              <w:rPr>
                <w:rFonts w:eastAsia="Times New Roman"/>
                <w:noProof/>
                <w:sz w:val="20"/>
                <w:szCs w:val="20"/>
                <w:lang w:eastAsia="en-GB"/>
              </w:rPr>
              <w:br/>
              <w:t xml:space="preserve">Feasibility studies to be undertaken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500.00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500.00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390.00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Negotiations with developers of Rusizi III are ongoing. </w:t>
            </w:r>
          </w:p>
        </w:tc>
      </w:tr>
      <w:tr>
        <w:trPr>
          <w:trHeight w:val="111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Construction of Rusizi III power plant 145 MW</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 &amp; Burundi</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All studies already completed. Negotiations with the private developer on-going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405.00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2.82 </w:t>
            </w:r>
          </w:p>
        </w:tc>
        <w:tc>
          <w:tcPr>
            <w:tcW w:w="850" w:type="dxa"/>
            <w:shd w:val="clear" w:color="auto" w:fill="auto"/>
            <w:tcMar>
              <w:left w:w="29" w:type="dxa"/>
              <w:right w:w="29" w:type="dxa"/>
            </w:tcMar>
            <w:hideMark/>
          </w:tcPr>
          <w:p>
            <w:pPr>
              <w:spacing w:before="0" w:after="0"/>
              <w:jc w:val="right"/>
              <w:rPr>
                <w:rFonts w:eastAsia="Times New Roman"/>
                <w:b/>
                <w:bCs/>
                <w:noProof/>
                <w:sz w:val="20"/>
                <w:szCs w:val="20"/>
                <w:lang w:eastAsia="en-GB"/>
              </w:rPr>
            </w:pPr>
            <w:r>
              <w:rPr>
                <w:rFonts w:eastAsia="Times New Roman"/>
                <w:b/>
                <w:bCs/>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b/>
                <w:bCs/>
                <w:noProof/>
                <w:sz w:val="20"/>
                <w:szCs w:val="20"/>
                <w:lang w:eastAsia="en-GB"/>
              </w:rPr>
            </w:pPr>
            <w:r>
              <w:rPr>
                <w:rFonts w:eastAsia="Times New Roman"/>
                <w:b/>
                <w:bCs/>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402.18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313.70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2015-2019</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To be developed under the PPP. </w:t>
            </w:r>
          </w:p>
        </w:tc>
      </w:tr>
      <w:tr>
        <w:trPr>
          <w:trHeight w:val="322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Liquified Natural Gas Joint Plant (100 MW)</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Rwanda </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 and Kenya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b/>
                <w:bCs/>
                <w:noProof/>
                <w:sz w:val="20"/>
                <w:szCs w:val="20"/>
                <w:lang w:eastAsia="en-GB"/>
              </w:rPr>
              <w:t>Kenya floated a tender for 700 MW power plant including a Floating Storage and re-gasification unit to be located in Mombasa county</w:t>
            </w:r>
            <w:r>
              <w:rPr>
                <w:rFonts w:eastAsia="Times New Roman"/>
                <w:noProof/>
                <w:sz w:val="20"/>
                <w:szCs w:val="20"/>
                <w:lang w:eastAsia="en-GB"/>
              </w:rPr>
              <w:t>.(</w:t>
            </w:r>
            <w:r>
              <w:rPr>
                <w:rFonts w:eastAsia="Times New Roman"/>
                <w:b/>
                <w:bCs/>
                <w:noProof/>
                <w:sz w:val="20"/>
                <w:szCs w:val="20"/>
                <w:lang w:eastAsia="en-GB"/>
              </w:rPr>
              <w:t>to consult with Rwanda)</w:t>
            </w:r>
            <w:r>
              <w:rPr>
                <w:rFonts w:eastAsia="Times New Roman"/>
                <w:noProof/>
                <w:sz w:val="20"/>
                <w:szCs w:val="20"/>
                <w:lang w:eastAsia="en-GB"/>
              </w:rPr>
              <w:t xml:space="preserve"> GoR through Mininfra developed a concept paper for a 1000 MW project, and had follow-up discussions with Kenya.</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bookmarkStart w:id="2" w:name="RANGE!F53"/>
            <w:r>
              <w:rPr>
                <w:rFonts w:eastAsia="Times New Roman"/>
                <w:noProof/>
                <w:sz w:val="20"/>
                <w:szCs w:val="20"/>
                <w:lang w:eastAsia="en-GB"/>
              </w:rPr>
              <w:t xml:space="preserve">900.00 </w:t>
            </w:r>
            <w:bookmarkEnd w:id="2"/>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900.00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702.00 </w:t>
            </w:r>
          </w:p>
        </w:tc>
        <w:tc>
          <w:tcPr>
            <w:tcW w:w="1134"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Given the complexity of the project, especially the LNG floating, storage and gasification facility construction time is of 2-3 years (excluding finance mobilisation and procurement)</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A full assessment of the technical feasibility of all aspects of the project from the port to the power station to the transmission network. A full assessment of the financial feasibility of the project based on capital costs and projections of demand and prices of LNG. An assessment as to whether this project should be undertaken publicly with each of the countries committing funding or privately with each country guaranteeing a portion of the payment required by the private operator.</w:t>
            </w:r>
          </w:p>
        </w:tc>
      </w:tr>
      <w:tr>
        <w:trPr>
          <w:trHeight w:val="213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Construction of transmission line from Uganda to Kenya to increase power supply to the Kenya national grid (127 km, 220 kv) Lessos- Tororo interconnector</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Uganda - Kenya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completed, Preparatory work, design and bidding documents prepared.</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56.00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56.00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43.68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The project is regional in nature and it will enhance supply of power within the region. Estimated capacity 200 MW.</w:t>
            </w:r>
          </w:p>
        </w:tc>
      </w:tr>
      <w:tr>
        <w:trPr>
          <w:trHeight w:val="268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Construction of transmission line from Tanzania to Kenya to increase power supply to the Kenya national grid (100 km, 400 kv) double circuit line between Isinya &amp; Namanga)</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completed. Preparatory work, design and bidding documents prepared.</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55.00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55.00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42.90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Estimated capacity 1300 MW</w:t>
            </w:r>
          </w:p>
        </w:tc>
      </w:tr>
      <w:tr>
        <w:trPr>
          <w:trHeight w:val="4488"/>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Power Interconnection Tanzania - Zambia - Kenya (TZK) Project. Extension of 292 km section from Iringa - Mbeya, 670 km section from Iringa - Shinyanga and 414.4 km from Singida - Arusha of 400 kv transmission line from Zambia to Tanzania and Kenya.</w:t>
            </w:r>
          </w:p>
        </w:tc>
        <w:tc>
          <w:tcPr>
            <w:tcW w:w="900"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&amp; Kenya</w:t>
            </w:r>
          </w:p>
        </w:tc>
        <w:tc>
          <w:tcPr>
            <w:tcW w:w="1701"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studies completed (Mbeya - Iringa, Iringa - Shinyanga and Singida - Arusha); Implementation ongoing for Iringa - Shinyanga</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911.23 </w:t>
            </w:r>
          </w:p>
        </w:tc>
        <w:tc>
          <w:tcPr>
            <w:tcW w:w="851"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470.00 </w:t>
            </w:r>
          </w:p>
        </w:tc>
        <w:tc>
          <w:tcPr>
            <w:tcW w:w="955"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441.29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344.21 </w:t>
            </w:r>
          </w:p>
        </w:tc>
        <w:tc>
          <w:tcPr>
            <w:tcW w:w="1134" w:type="dxa"/>
            <w:shd w:val="clear" w:color="000000" w:fill="FFFFFF"/>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4 years</w:t>
            </w:r>
          </w:p>
        </w:tc>
        <w:tc>
          <w:tcPr>
            <w:tcW w:w="2116" w:type="dxa"/>
            <w:shd w:val="clear" w:color="000000" w:fill="FFFFFF"/>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Development Partners World Bank, JICA, EIB, EDCF are ready to financed Iringa - Shinyanga ($ 470 m); Consortium of Lenders (WB/IDA, AfDB, JICA and French Development Agency (AFD) have shown interest to finance Singida - Arusha ($ 242.09 m) and Mbeya - Iringa ($ 199.2 m) finance is being sought.</w:t>
            </w:r>
          </w:p>
        </w:tc>
      </w:tr>
      <w:tr>
        <w:trPr>
          <w:trHeight w:val="104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Transmission Lines;</w:t>
            </w:r>
            <w:r>
              <w:rPr>
                <w:rFonts w:eastAsia="Times New Roman"/>
                <w:noProof/>
                <w:sz w:val="20"/>
                <w:szCs w:val="20"/>
                <w:lang w:eastAsia="en-GB"/>
              </w:rPr>
              <w:br/>
              <w:t xml:space="preserve">1) Olwiyo-Nimule –Juba 400 Kv Live (190 km) </w:t>
            </w:r>
            <w:r>
              <w:rPr>
                <w:rFonts w:eastAsia="Times New Roman"/>
                <w:noProof/>
                <w:sz w:val="20"/>
                <w:szCs w:val="20"/>
                <w:lang w:eastAsia="en-GB"/>
              </w:rPr>
              <w:br/>
              <w:t xml:space="preserve">2) Nkenda- Mpondwe- Beni 200 Kv line (70 km) </w:t>
            </w:r>
            <w:r>
              <w:rPr>
                <w:rFonts w:eastAsia="Times New Roman"/>
                <w:noProof/>
                <w:sz w:val="20"/>
                <w:szCs w:val="20"/>
                <w:lang w:eastAsia="en-GB"/>
              </w:rPr>
              <w:br/>
              <w:t xml:space="preserve">3) Masaka – Mwanza 200 kv line (85 km)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Uganda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Uganda and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to be undertaken</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162.00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162.00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126.36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4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800"/>
        </w:trPr>
        <w:tc>
          <w:tcPr>
            <w:tcW w:w="1105" w:type="dxa"/>
            <w:shd w:val="clear" w:color="auto" w:fill="auto"/>
            <w:tcMar>
              <w:left w:w="29" w:type="dxa"/>
              <w:right w:w="29" w:type="dxa"/>
            </w:tcMar>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ICT AND TELECOMMUNICATION</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Cross border connectivity(line to the eastern Africa sub marine Cable) (Feasibility studies and construction)</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Uganda, Rwanda, Burundi and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b/>
                <w:bCs/>
                <w:noProof/>
                <w:sz w:val="20"/>
                <w:szCs w:val="20"/>
                <w:u w:val="single"/>
                <w:lang w:eastAsia="en-GB"/>
              </w:rPr>
              <w:t>Updated status Sept 2014</w:t>
            </w:r>
            <w:r>
              <w:rPr>
                <w:rFonts w:eastAsia="Times New Roman"/>
                <w:noProof/>
                <w:sz w:val="20"/>
                <w:szCs w:val="20"/>
                <w:lang w:eastAsia="en-GB"/>
              </w:rPr>
              <w:t xml:space="preserve"> 1. Long term lease for 2.4 gbps to be supplied to Rwanda was signed. This capacity is insufficient given Rwanda’s needs.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32.00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32.00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24.96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3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There is an urgent need to establish a dedicated dark fibre ring linking all 5 capitals in the EAC region, this will reduce the costs of traffic as well as increase capacity flowing across the countries</w:t>
            </w:r>
          </w:p>
        </w:tc>
      </w:tr>
      <w:tr>
        <w:trPr>
          <w:trHeight w:val="5016"/>
        </w:trPr>
        <w:tc>
          <w:tcPr>
            <w:tcW w:w="1105" w:type="dxa"/>
            <w:vMerge w:val="restart"/>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vMerge w:val="restart"/>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Establishment of ICT Parks in Kenya and Rwanda (Rwanda Technopol)</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&amp; Rwanda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5000 acres of Land acquired and fenced for the construction of the ICT Park, Konza Technology City Master Plan approved, Master Delivery Partner I procured,, Power connected to the site office, Thwake dam construction on-going, 10 boreholes drilled, construction of sales pavilion on going, a 10 km radius buffer zone created, construction of access road ongoing and ground-breaking done.</w:t>
            </w:r>
          </w:p>
        </w:tc>
        <w:tc>
          <w:tcPr>
            <w:tcW w:w="850" w:type="dxa"/>
            <w:shd w:val="clear" w:color="auto" w:fill="auto"/>
            <w:tcMar>
              <w:left w:w="29" w:type="dxa"/>
              <w:right w:w="29" w:type="dxa"/>
            </w:tcMar>
            <w:hideMark/>
          </w:tcPr>
          <w:p>
            <w:pPr>
              <w:spacing w:before="0" w:after="0"/>
              <w:jc w:val="right"/>
              <w:rPr>
                <w:rFonts w:eastAsia="Times New Roman"/>
                <w:noProof/>
                <w:sz w:val="18"/>
                <w:szCs w:val="18"/>
                <w:lang w:eastAsia="en-GB"/>
              </w:rPr>
            </w:pPr>
            <w:r>
              <w:rPr>
                <w:rFonts w:eastAsia="Times New Roman"/>
                <w:noProof/>
                <w:sz w:val="18"/>
                <w:szCs w:val="18"/>
                <w:lang w:eastAsia="en-GB"/>
              </w:rPr>
              <w:t xml:space="preserve">11,765.00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11,765.00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9,176.70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12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International investor Conference held, ground breaking ceremony conducted with 14 international ICT related companies beginning construction such as IBM, Microsoft, Google, Safaricom and Local Banks, the Government plans to implement the project through a PPP arrangement</w:t>
            </w:r>
          </w:p>
        </w:tc>
      </w:tr>
      <w:tr>
        <w:trPr>
          <w:trHeight w:val="5280"/>
        </w:trPr>
        <w:tc>
          <w:tcPr>
            <w:tcW w:w="1105" w:type="dxa"/>
            <w:vMerge/>
            <w:tcMar>
              <w:left w:w="29" w:type="dxa"/>
              <w:right w:w="29" w:type="dxa"/>
            </w:tcMar>
            <w:hideMark/>
          </w:tcPr>
          <w:p>
            <w:pPr>
              <w:spacing w:before="0" w:after="0"/>
              <w:jc w:val="left"/>
              <w:rPr>
                <w:rFonts w:eastAsia="Times New Roman"/>
                <w:noProof/>
                <w:sz w:val="20"/>
                <w:szCs w:val="20"/>
                <w:lang w:eastAsia="en-GB"/>
              </w:rPr>
            </w:pPr>
          </w:p>
        </w:tc>
        <w:tc>
          <w:tcPr>
            <w:tcW w:w="1225" w:type="dxa"/>
            <w:vMerge/>
            <w:tcMar>
              <w:left w:w="29" w:type="dxa"/>
              <w:right w:w="29" w:type="dxa"/>
            </w:tcMar>
            <w:hideMark/>
          </w:tcPr>
          <w:p>
            <w:pPr>
              <w:spacing w:before="0" w:after="0"/>
              <w:jc w:val="left"/>
              <w:rPr>
                <w:rFonts w:eastAsia="Times New Roman"/>
                <w:noProof/>
                <w:sz w:val="20"/>
                <w:szCs w:val="20"/>
                <w:lang w:eastAsia="en-GB"/>
              </w:rPr>
            </w:pP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&amp; 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EAC </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b/>
                <w:bCs/>
                <w:noProof/>
                <w:sz w:val="20"/>
                <w:szCs w:val="20"/>
                <w:u w:val="single"/>
                <w:lang w:eastAsia="en-GB"/>
              </w:rPr>
              <w:t>Updated status Sept 2014</w:t>
            </w:r>
            <w:r>
              <w:rPr>
                <w:rFonts w:eastAsia="Times New Roman"/>
                <w:noProof/>
                <w:sz w:val="20"/>
                <w:szCs w:val="20"/>
                <w:lang w:eastAsia="en-GB"/>
              </w:rPr>
              <w:t xml:space="preserve"> A Masterplan, business plan and high-level architectural design has been completed for a 61.3Ha Technology park </w:t>
            </w:r>
            <w:r>
              <w:rPr>
                <w:rFonts w:eastAsia="Times New Roman"/>
                <w:b/>
                <w:bCs/>
                <w:noProof/>
                <w:sz w:val="20"/>
                <w:szCs w:val="20"/>
                <w:lang w:eastAsia="en-GB"/>
              </w:rPr>
              <w:t>Next phase</w:t>
            </w:r>
            <w:r>
              <w:rPr>
                <w:rFonts w:eastAsia="Times New Roman"/>
                <w:noProof/>
                <w:sz w:val="20"/>
                <w:szCs w:val="20"/>
                <w:lang w:eastAsia="en-GB"/>
              </w:rPr>
              <w:t xml:space="preserve"> 1. development detailed architectural designs 2. Development of physical infrastructure for the technology park 3. The construction of the regional centre of excellence is set to begin before end of this year (for 22 months).</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230.00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230.00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179.40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20014-2019</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Due to the high cost of the Technology park to GOR, we have been compelled to consider a phased approach which will take more than 10 years to complete. Should funds be available, we will be in position to deliver a Technology park in half the time (reflected in the implementation timelines)</w:t>
            </w:r>
          </w:p>
        </w:tc>
      </w:tr>
      <w:tr>
        <w:trPr>
          <w:trHeight w:val="1320"/>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Setting up Regional Internet Exchange Point (RIXP)</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 Burundi, Kenya, Uganda and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Preliminary (Initiation) phase</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15.00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15.00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11.70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2013-2015</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NEW. It will create the enabling infrastructure &amp; services to break the regional dependencies on international operators keeping regional traffic in the region.</w:t>
            </w:r>
          </w:p>
        </w:tc>
      </w:tr>
      <w:tr>
        <w:trPr>
          <w:trHeight w:val="855"/>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Regional Education and Research Network project (REduNet)</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Rwanda </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 and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Pilot project initiated in Rwanda and Tanzania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15.60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2013- 2015 </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In the region, there is limited R&amp;D and lack of Institution capacity to innovate. The project will create a dedicated cost-effective and high performance data network connecting Research and HLI to reach others and to Global research and education resources via Ubuntunet and Internet.</w:t>
            </w:r>
          </w:p>
        </w:tc>
      </w:tr>
      <w:tr>
        <w:trPr>
          <w:trHeight w:val="105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Construction of combined fertilizer plant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Rwanda, Burundi, Kenya, Uganda and Tanzania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Feasibility study undertaken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3.20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Facilitate access to affordable and quality fertilizer</w:t>
            </w:r>
          </w:p>
        </w:tc>
      </w:tr>
      <w:tr>
        <w:trPr>
          <w:trHeight w:val="2100"/>
        </w:trPr>
        <w:tc>
          <w:tcPr>
            <w:tcW w:w="1105" w:type="dxa"/>
            <w:shd w:val="clear" w:color="auto" w:fill="auto"/>
            <w:tcMar>
              <w:left w:w="29" w:type="dxa"/>
              <w:right w:w="29" w:type="dxa"/>
            </w:tcMar>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CAPACITY BULDING AND INSTUTIONAL FRAMEWORK</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Strengthening the Capacity and Technology Transfer In Sanitary and Phytosanitary Issues in the EAC Partner States to conform with International Standards</w:t>
            </w:r>
            <w:r>
              <w:rPr>
                <w:rFonts w:eastAsia="Times New Roman"/>
                <w:noProof/>
                <w:sz w:val="20"/>
                <w:szCs w:val="20"/>
                <w:lang w:eastAsia="en-GB"/>
              </w:rPr>
              <w:br/>
            </w:r>
            <w:r>
              <w:rPr>
                <w:rFonts w:eastAsia="Times New Roman"/>
                <w:noProof/>
                <w:sz w:val="20"/>
                <w:szCs w:val="20"/>
                <w:lang w:eastAsia="en-GB"/>
              </w:rPr>
              <w:br/>
              <w:t xml:space="preserve"> The funds will be used for training standards and quality assurance officers, participation in the work of Codex, OIE and IPPC (”the three sisters”); and implementation of both regional and international SPS standards including establishment of accredited laboratories, disease free zone.</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EAC</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EAC</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Preliminary Study completed</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60.25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0.25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60.00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46.80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FAO Biosecurity project under UN Joint Program which contributed USD 247,256.</w:t>
            </w:r>
          </w:p>
        </w:tc>
      </w:tr>
      <w:tr>
        <w:trPr>
          <w:trHeight w:val="1584"/>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Construction of fish feeder roads around Lake Victoria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Kenya, Uganda and Tanzania </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On going</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7.10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7.10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5.54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3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r>
      <w:tr>
        <w:trPr>
          <w:trHeight w:val="1359"/>
        </w:trPr>
        <w:tc>
          <w:tcPr>
            <w:tcW w:w="110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1225" w:type="dxa"/>
            <w:shd w:val="clear" w:color="auto" w:fill="auto"/>
            <w:tcMar>
              <w:left w:w="29" w:type="dxa"/>
              <w:right w:w="29" w:type="dxa"/>
            </w:tcMar>
            <w:hideMark/>
          </w:tcPr>
          <w:p>
            <w:pPr>
              <w:spacing w:before="0" w:after="240"/>
              <w:jc w:val="left"/>
              <w:rPr>
                <w:rFonts w:eastAsia="Times New Roman"/>
                <w:noProof/>
                <w:sz w:val="20"/>
                <w:szCs w:val="20"/>
                <w:lang w:eastAsia="en-GB"/>
              </w:rPr>
            </w:pPr>
            <w:r>
              <w:rPr>
                <w:rFonts w:eastAsia="Times New Roman"/>
                <w:noProof/>
                <w:sz w:val="20"/>
                <w:szCs w:val="20"/>
                <w:lang w:eastAsia="en-GB"/>
              </w:rPr>
              <w:t>Establishment of Standards and Quality inspection border posts (Namanga, Sirari, Holili and Tunduma).</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Tanzania and Kenya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Ongoing</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13.00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13.00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10.14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4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Implementation of this project will help to eliminate or reduce to a great extent incidences of illegal fishing practices, and improve biodiversity, fish catches and fish supply thus increasing government revenue from fishing activities. </w:t>
            </w:r>
          </w:p>
        </w:tc>
      </w:tr>
      <w:tr>
        <w:trPr>
          <w:trHeight w:val="1584"/>
        </w:trPr>
        <w:tc>
          <w:tcPr>
            <w:tcW w:w="1105" w:type="dxa"/>
            <w:shd w:val="clear" w:color="auto" w:fill="auto"/>
            <w:tcMar>
              <w:left w:w="29" w:type="dxa"/>
              <w:right w:w="29" w:type="dxa"/>
            </w:tcMar>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Lake victoria projects</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Rehabilitation and expansion of Port Bell with associated ferries to Kisumu and Mwanza </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Uganda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Uganda, Tanzania and Kenya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yet to be undertaken</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157.89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157.89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123.15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4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Amounts contributed by other donors to be ascertained. AfDB has shown interest </w:t>
            </w:r>
          </w:p>
        </w:tc>
      </w:tr>
      <w:tr>
        <w:trPr>
          <w:trHeight w:val="819"/>
        </w:trPr>
        <w:tc>
          <w:tcPr>
            <w:tcW w:w="1105" w:type="dxa"/>
            <w:shd w:val="clear" w:color="auto" w:fill="auto"/>
            <w:tcMar>
              <w:left w:w="29" w:type="dxa"/>
              <w:right w:w="29" w:type="dxa"/>
            </w:tcMar>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Development of fisheries marketing infrastructure</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Rwanda, Uganda, Tanzania and Burundi</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on-going</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46.60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To increase exports; reduce post harvest losses; and increase fish from capture and culture</w:t>
            </w:r>
          </w:p>
        </w:tc>
      </w:tr>
      <w:tr>
        <w:trPr>
          <w:trHeight w:val="1200"/>
        </w:trPr>
        <w:tc>
          <w:tcPr>
            <w:tcW w:w="1105" w:type="dxa"/>
            <w:shd w:val="clear" w:color="auto" w:fill="auto"/>
            <w:tcMar>
              <w:left w:w="29" w:type="dxa"/>
              <w:right w:w="29" w:type="dxa"/>
            </w:tcMar>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Combating illegal and unregulated fishing</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Rwanda, Uganda, Tanzania and Burundi</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on-going</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46.60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Strengthening the monitoring control and surveillance systems</w:t>
            </w:r>
          </w:p>
        </w:tc>
      </w:tr>
      <w:tr>
        <w:trPr>
          <w:trHeight w:val="1200"/>
        </w:trPr>
        <w:tc>
          <w:tcPr>
            <w:tcW w:w="1105" w:type="dxa"/>
            <w:shd w:val="clear" w:color="auto" w:fill="auto"/>
            <w:tcMar>
              <w:left w:w="29" w:type="dxa"/>
              <w:right w:w="29" w:type="dxa"/>
            </w:tcMar>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 </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Improve water transport on L. Victoria</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xml:space="preserve">Uganda </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Uganda, Tanzania and Kenya</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Feasibility study is on-going</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100.00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100.00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78.00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The project involves procurement of Navigation Aids to replace dilapidated ones.</w:t>
            </w:r>
          </w:p>
        </w:tc>
      </w:tr>
      <w:tr>
        <w:trPr>
          <w:trHeight w:val="1320"/>
        </w:trPr>
        <w:tc>
          <w:tcPr>
            <w:tcW w:w="1105" w:type="dxa"/>
            <w:shd w:val="clear" w:color="auto" w:fill="auto"/>
            <w:tcMar>
              <w:left w:w="29" w:type="dxa"/>
              <w:right w:w="29" w:type="dxa"/>
            </w:tcMar>
            <w:hideMark/>
          </w:tcPr>
          <w:p>
            <w:pPr>
              <w:spacing w:before="0" w:after="0"/>
              <w:jc w:val="left"/>
              <w:rPr>
                <w:rFonts w:eastAsia="Times New Roman"/>
                <w:b/>
                <w:noProof/>
                <w:sz w:val="20"/>
                <w:szCs w:val="20"/>
                <w:lang w:eastAsia="en-GB"/>
              </w:rPr>
            </w:pPr>
            <w:r>
              <w:rPr>
                <w:rFonts w:eastAsia="Times New Roman"/>
                <w:b/>
                <w:noProof/>
                <w:sz w:val="20"/>
                <w:szCs w:val="20"/>
                <w:lang w:eastAsia="en-GB"/>
              </w:rPr>
              <w:t>AGRICULTURE AND LIVESTOCK</w:t>
            </w:r>
          </w:p>
        </w:tc>
        <w:tc>
          <w:tcPr>
            <w:tcW w:w="1225"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Establishment of disease free zones</w:t>
            </w:r>
          </w:p>
        </w:tc>
        <w:tc>
          <w:tcPr>
            <w:tcW w:w="900"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Kenya, Rwanda, Uganda, Tanzania and Burundi</w:t>
            </w:r>
          </w:p>
        </w:tc>
        <w:tc>
          <w:tcPr>
            <w:tcW w:w="1701"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xml:space="preserve">4.10 </w:t>
            </w:r>
          </w:p>
        </w:tc>
        <w:tc>
          <w:tcPr>
            <w:tcW w:w="851"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85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709"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55"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992"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lang w:eastAsia="en-GB"/>
              </w:rPr>
            </w:pPr>
            <w:r>
              <w:rPr>
                <w:rFonts w:eastAsia="Times New Roman"/>
                <w:noProof/>
                <w:sz w:val="20"/>
                <w:szCs w:val="20"/>
                <w:lang w:eastAsia="en-GB"/>
              </w:rPr>
              <w:t>5 years</w:t>
            </w:r>
          </w:p>
        </w:tc>
        <w:tc>
          <w:tcPr>
            <w:tcW w:w="2116" w:type="dxa"/>
            <w:shd w:val="clear" w:color="auto" w:fill="auto"/>
            <w:tcMar>
              <w:left w:w="29" w:type="dxa"/>
              <w:right w:w="29" w:type="dxa"/>
            </w:tcMar>
            <w:hideMark/>
          </w:tcPr>
          <w:p>
            <w:pPr>
              <w:spacing w:before="0" w:after="0"/>
              <w:jc w:val="left"/>
              <w:rPr>
                <w:rFonts w:eastAsia="Times New Roman"/>
                <w:noProof/>
                <w:sz w:val="20"/>
                <w:szCs w:val="20"/>
                <w:lang w:eastAsia="en-GB"/>
              </w:rPr>
            </w:pPr>
            <w:r>
              <w:rPr>
                <w:rFonts w:eastAsia="Times New Roman"/>
                <w:noProof/>
                <w:sz w:val="20"/>
                <w:szCs w:val="20"/>
                <w:lang w:eastAsia="en-GB"/>
              </w:rPr>
              <w:t>to facilitate access of animal products to local, regional and external markets within international standards</w:t>
            </w:r>
          </w:p>
        </w:tc>
      </w:tr>
      <w:tr>
        <w:trPr>
          <w:trHeight w:val="300"/>
        </w:trPr>
        <w:tc>
          <w:tcPr>
            <w:tcW w:w="1105" w:type="dxa"/>
            <w:shd w:val="clear" w:color="auto" w:fill="auto"/>
            <w:tcMar>
              <w:left w:w="29" w:type="dxa"/>
              <w:right w:w="29" w:type="dxa"/>
            </w:tcMar>
            <w:hideMark/>
          </w:tcPr>
          <w:p>
            <w:pPr>
              <w:spacing w:before="0" w:after="0"/>
              <w:jc w:val="left"/>
              <w:rPr>
                <w:rFonts w:eastAsia="Times New Roman"/>
                <w:b/>
                <w:noProof/>
                <w:sz w:val="20"/>
                <w:szCs w:val="20"/>
                <w:lang w:eastAsia="en-GB"/>
              </w:rPr>
            </w:pPr>
          </w:p>
        </w:tc>
        <w:tc>
          <w:tcPr>
            <w:tcW w:w="1225" w:type="dxa"/>
            <w:shd w:val="clear" w:color="auto" w:fill="auto"/>
            <w:tcMar>
              <w:left w:w="29" w:type="dxa"/>
              <w:right w:w="29" w:type="dxa"/>
            </w:tcMar>
            <w:hideMark/>
          </w:tcPr>
          <w:p>
            <w:pPr>
              <w:spacing w:before="0" w:after="0"/>
              <w:jc w:val="left"/>
              <w:rPr>
                <w:rFonts w:eastAsia="Times New Roman"/>
                <w:b/>
                <w:noProof/>
                <w:sz w:val="20"/>
                <w:szCs w:val="20"/>
                <w:lang w:eastAsia="en-GB"/>
              </w:rPr>
            </w:pPr>
          </w:p>
        </w:tc>
        <w:tc>
          <w:tcPr>
            <w:tcW w:w="900" w:type="dxa"/>
            <w:shd w:val="clear" w:color="auto" w:fill="auto"/>
            <w:tcMar>
              <w:left w:w="29" w:type="dxa"/>
              <w:right w:w="29" w:type="dxa"/>
            </w:tcMar>
            <w:hideMark/>
          </w:tcPr>
          <w:p>
            <w:pPr>
              <w:spacing w:before="0" w:after="0"/>
              <w:jc w:val="left"/>
              <w:rPr>
                <w:rFonts w:eastAsia="Times New Roman"/>
                <w:b/>
                <w:noProof/>
                <w:sz w:val="20"/>
                <w:szCs w:val="20"/>
                <w:lang w:eastAsia="en-GB"/>
              </w:rPr>
            </w:pPr>
          </w:p>
        </w:tc>
        <w:tc>
          <w:tcPr>
            <w:tcW w:w="1052" w:type="dxa"/>
            <w:shd w:val="clear" w:color="auto" w:fill="auto"/>
            <w:tcMar>
              <w:left w:w="29" w:type="dxa"/>
              <w:right w:w="29" w:type="dxa"/>
            </w:tcMar>
            <w:hideMark/>
          </w:tcPr>
          <w:p>
            <w:pPr>
              <w:spacing w:before="0" w:after="0"/>
              <w:jc w:val="left"/>
              <w:rPr>
                <w:rFonts w:eastAsia="Times New Roman"/>
                <w:b/>
                <w:noProof/>
                <w:sz w:val="20"/>
                <w:szCs w:val="20"/>
                <w:lang w:eastAsia="en-GB"/>
              </w:rPr>
            </w:pPr>
          </w:p>
        </w:tc>
        <w:tc>
          <w:tcPr>
            <w:tcW w:w="1701" w:type="dxa"/>
            <w:shd w:val="clear" w:color="auto" w:fill="auto"/>
            <w:tcMar>
              <w:left w:w="29" w:type="dxa"/>
              <w:right w:w="29" w:type="dxa"/>
            </w:tcMar>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Total</w:t>
            </w:r>
          </w:p>
        </w:tc>
        <w:tc>
          <w:tcPr>
            <w:tcW w:w="850" w:type="dxa"/>
            <w:shd w:val="clear" w:color="auto" w:fill="auto"/>
            <w:tcMar>
              <w:left w:w="29" w:type="dxa"/>
              <w:right w:w="29" w:type="dxa"/>
            </w:tcMar>
            <w:hideMark/>
          </w:tcPr>
          <w:p>
            <w:pPr>
              <w:spacing w:before="0" w:after="0"/>
              <w:jc w:val="right"/>
              <w:rPr>
                <w:rFonts w:eastAsia="Times New Roman"/>
                <w:b/>
                <w:bCs/>
                <w:noProof/>
                <w:sz w:val="18"/>
                <w:szCs w:val="18"/>
                <w:lang w:eastAsia="en-GB"/>
              </w:rPr>
            </w:pPr>
            <w:r>
              <w:rPr>
                <w:rFonts w:eastAsia="Times New Roman"/>
                <w:b/>
                <w:bCs/>
                <w:noProof/>
                <w:sz w:val="18"/>
                <w:szCs w:val="18"/>
                <w:lang w:eastAsia="en-GB"/>
              </w:rPr>
              <w:t>71,520.68</w:t>
            </w:r>
          </w:p>
        </w:tc>
        <w:tc>
          <w:tcPr>
            <w:tcW w:w="851" w:type="dxa"/>
            <w:shd w:val="clear" w:color="auto" w:fill="auto"/>
            <w:tcMar>
              <w:left w:w="29" w:type="dxa"/>
              <w:right w:w="29" w:type="dxa"/>
            </w:tcMar>
            <w:hideMark/>
          </w:tcPr>
          <w:p>
            <w:pPr>
              <w:spacing w:before="0" w:after="0"/>
              <w:jc w:val="right"/>
              <w:rPr>
                <w:rFonts w:eastAsia="Times New Roman"/>
                <w:b/>
                <w:bCs/>
                <w:noProof/>
                <w:sz w:val="20"/>
                <w:szCs w:val="20"/>
                <w:lang w:eastAsia="en-GB"/>
              </w:rPr>
            </w:pPr>
            <w:r>
              <w:rPr>
                <w:rFonts w:eastAsia="Times New Roman"/>
                <w:b/>
                <w:bCs/>
                <w:noProof/>
                <w:sz w:val="20"/>
                <w:szCs w:val="20"/>
                <w:lang w:eastAsia="en-GB"/>
              </w:rPr>
              <w:t>3.49</w:t>
            </w:r>
          </w:p>
        </w:tc>
        <w:tc>
          <w:tcPr>
            <w:tcW w:w="850" w:type="dxa"/>
            <w:shd w:val="clear" w:color="auto" w:fill="auto"/>
            <w:tcMar>
              <w:left w:w="29" w:type="dxa"/>
              <w:right w:w="29" w:type="dxa"/>
            </w:tcMar>
            <w:hideMark/>
          </w:tcPr>
          <w:p>
            <w:pPr>
              <w:spacing w:before="0" w:after="0"/>
              <w:jc w:val="right"/>
              <w:rPr>
                <w:rFonts w:eastAsia="Times New Roman"/>
                <w:b/>
                <w:bCs/>
                <w:noProof/>
                <w:sz w:val="20"/>
                <w:szCs w:val="20"/>
                <w:lang w:eastAsia="en-GB"/>
              </w:rPr>
            </w:pPr>
            <w:r>
              <w:rPr>
                <w:rFonts w:eastAsia="Times New Roman"/>
                <w:b/>
                <w:bCs/>
                <w:noProof/>
                <w:sz w:val="20"/>
                <w:szCs w:val="20"/>
                <w:lang w:eastAsia="en-GB"/>
              </w:rPr>
              <w:t>-</w:t>
            </w:r>
          </w:p>
        </w:tc>
        <w:tc>
          <w:tcPr>
            <w:tcW w:w="709" w:type="dxa"/>
            <w:shd w:val="clear" w:color="auto" w:fill="auto"/>
            <w:tcMar>
              <w:left w:w="29" w:type="dxa"/>
              <w:right w:w="29" w:type="dxa"/>
            </w:tcMar>
            <w:hideMark/>
          </w:tcPr>
          <w:p>
            <w:pPr>
              <w:spacing w:before="0" w:after="0"/>
              <w:jc w:val="right"/>
              <w:rPr>
                <w:rFonts w:eastAsia="Times New Roman"/>
                <w:b/>
                <w:bCs/>
                <w:noProof/>
                <w:sz w:val="20"/>
                <w:szCs w:val="20"/>
                <w:lang w:eastAsia="en-GB"/>
              </w:rPr>
            </w:pPr>
            <w:r>
              <w:rPr>
                <w:rFonts w:eastAsia="Times New Roman"/>
                <w:b/>
                <w:bCs/>
                <w:noProof/>
                <w:sz w:val="20"/>
                <w:szCs w:val="20"/>
                <w:lang w:eastAsia="en-GB"/>
              </w:rPr>
              <w:t>471.40</w:t>
            </w:r>
          </w:p>
        </w:tc>
        <w:tc>
          <w:tcPr>
            <w:tcW w:w="955" w:type="dxa"/>
            <w:shd w:val="clear" w:color="auto" w:fill="auto"/>
            <w:tcMar>
              <w:left w:w="29" w:type="dxa"/>
              <w:right w:w="29" w:type="dxa"/>
            </w:tcMar>
            <w:hideMark/>
          </w:tcPr>
          <w:p>
            <w:pPr>
              <w:spacing w:before="0" w:after="0"/>
              <w:jc w:val="right"/>
              <w:rPr>
                <w:rFonts w:eastAsia="Times New Roman"/>
                <w:b/>
                <w:bCs/>
                <w:noProof/>
                <w:sz w:val="20"/>
                <w:szCs w:val="20"/>
                <w:lang w:eastAsia="en-GB"/>
              </w:rPr>
            </w:pPr>
            <w:r>
              <w:rPr>
                <w:rFonts w:eastAsia="Times New Roman"/>
                <w:b/>
                <w:bCs/>
                <w:noProof/>
                <w:sz w:val="20"/>
                <w:szCs w:val="20"/>
                <w:lang w:eastAsia="en-GB"/>
              </w:rPr>
              <w:t>6,531.46</w:t>
            </w:r>
          </w:p>
        </w:tc>
        <w:tc>
          <w:tcPr>
            <w:tcW w:w="1030" w:type="dxa"/>
            <w:shd w:val="clear" w:color="auto" w:fill="auto"/>
            <w:tcMar>
              <w:left w:w="29" w:type="dxa"/>
              <w:right w:w="29" w:type="dxa"/>
            </w:tcMar>
            <w:hideMark/>
          </w:tcPr>
          <w:p>
            <w:pPr>
              <w:spacing w:before="0" w:after="0"/>
              <w:jc w:val="right"/>
              <w:rPr>
                <w:rFonts w:eastAsia="Times New Roman"/>
                <w:b/>
                <w:bCs/>
                <w:noProof/>
                <w:sz w:val="20"/>
                <w:szCs w:val="20"/>
                <w:lang w:eastAsia="en-GB"/>
              </w:rPr>
            </w:pPr>
            <w:r>
              <w:rPr>
                <w:rFonts w:eastAsia="Times New Roman"/>
                <w:b/>
                <w:bCs/>
                <w:noProof/>
                <w:sz w:val="20"/>
                <w:szCs w:val="20"/>
                <w:lang w:eastAsia="en-GB"/>
              </w:rPr>
              <w:t>62,777.77</w:t>
            </w:r>
          </w:p>
        </w:tc>
        <w:tc>
          <w:tcPr>
            <w:tcW w:w="992" w:type="dxa"/>
            <w:shd w:val="clear" w:color="auto" w:fill="auto"/>
            <w:tcMar>
              <w:left w:w="29" w:type="dxa"/>
              <w:right w:w="29" w:type="dxa"/>
            </w:tcMar>
            <w:hideMark/>
          </w:tcPr>
          <w:p>
            <w:pPr>
              <w:spacing w:before="0" w:after="0"/>
              <w:jc w:val="right"/>
              <w:rPr>
                <w:rFonts w:eastAsia="Times New Roman"/>
                <w:b/>
                <w:bCs/>
                <w:noProof/>
                <w:sz w:val="20"/>
                <w:szCs w:val="20"/>
                <w:lang w:eastAsia="en-GB"/>
              </w:rPr>
            </w:pPr>
            <w:r>
              <w:rPr>
                <w:rFonts w:eastAsia="Times New Roman"/>
                <w:b/>
                <w:bCs/>
                <w:noProof/>
                <w:sz w:val="20"/>
                <w:szCs w:val="20"/>
                <w:lang w:eastAsia="en-GB"/>
              </w:rPr>
              <w:t>32,221.32</w:t>
            </w:r>
          </w:p>
        </w:tc>
        <w:tc>
          <w:tcPr>
            <w:tcW w:w="1134" w:type="dxa"/>
            <w:shd w:val="clear" w:color="auto" w:fill="auto"/>
            <w:tcMar>
              <w:left w:w="29" w:type="dxa"/>
              <w:right w:w="29" w:type="dxa"/>
            </w:tcMar>
            <w:hideMark/>
          </w:tcPr>
          <w:p>
            <w:pPr>
              <w:spacing w:before="0" w:after="0"/>
              <w:jc w:val="right"/>
              <w:rPr>
                <w:rFonts w:eastAsia="Times New Roman"/>
                <w:b/>
                <w:bCs/>
                <w:noProof/>
                <w:sz w:val="20"/>
                <w:szCs w:val="20"/>
                <w:lang w:eastAsia="en-GB"/>
              </w:rPr>
            </w:pPr>
          </w:p>
        </w:tc>
        <w:tc>
          <w:tcPr>
            <w:tcW w:w="2116" w:type="dxa"/>
            <w:shd w:val="clear" w:color="auto" w:fill="auto"/>
            <w:tcMar>
              <w:left w:w="29" w:type="dxa"/>
              <w:right w:w="29" w:type="dxa"/>
            </w:tcMar>
            <w:hideMark/>
          </w:tcPr>
          <w:p>
            <w:pPr>
              <w:spacing w:before="0" w:after="0"/>
              <w:jc w:val="left"/>
              <w:rPr>
                <w:rFonts w:eastAsia="Times New Roman"/>
                <w:b/>
                <w:bCs/>
                <w:noProof/>
                <w:sz w:val="20"/>
                <w:szCs w:val="20"/>
                <w:lang w:eastAsia="en-GB"/>
              </w:rPr>
            </w:pPr>
          </w:p>
        </w:tc>
      </w:tr>
    </w:tbl>
    <w:p>
      <w:pPr>
        <w:spacing w:before="0" w:after="0"/>
        <w:jc w:val="left"/>
        <w:rPr>
          <w:rFonts w:eastAsia="Times New Roman"/>
          <w:noProof/>
          <w:szCs w:val="24"/>
          <w:u w:val="single"/>
          <w:lang w:eastAsia="en-GB"/>
        </w:rPr>
        <w:sectPr>
          <w:headerReference w:type="default" r:id="rId16"/>
          <w:footerReference w:type="default" r:id="rId17"/>
          <w:headerReference w:type="first" r:id="rId18"/>
          <w:footerReference w:type="first" r:id="rId19"/>
          <w:footnotePr>
            <w:numRestart w:val="eachPage"/>
          </w:footnotePr>
          <w:endnotePr>
            <w:numFmt w:val="decimal"/>
          </w:endnotePr>
          <w:pgSz w:w="16840" w:h="11907" w:orient="landscape" w:code="9"/>
          <w:pgMar w:top="1134" w:right="1134" w:bottom="1134" w:left="1134" w:header="1134" w:footer="1134" w:gutter="0"/>
          <w:cols w:space="720"/>
          <w:docGrid w:linePitch="326"/>
        </w:sectPr>
      </w:pPr>
    </w:p>
    <w:p>
      <w:pPr>
        <w:spacing w:before="0" w:after="0"/>
        <w:jc w:val="left"/>
        <w:rPr>
          <w:rFonts w:eastAsia="Times New Roman"/>
          <w:noProof/>
          <w:szCs w:val="24"/>
          <w:u w:val="single"/>
          <w:lang w:eastAsia="en-GB"/>
        </w:rPr>
      </w:pPr>
    </w:p>
    <w:p>
      <w:pPr>
        <w:spacing w:before="0" w:after="240"/>
        <w:jc w:val="center"/>
        <w:rPr>
          <w:rFonts w:eastAsia="Times New Roman"/>
          <w:b/>
          <w:noProof/>
          <w:szCs w:val="24"/>
          <w:lang w:eastAsia="en-GB"/>
        </w:rPr>
      </w:pPr>
      <w:r>
        <w:rPr>
          <w:rFonts w:eastAsia="Times New Roman"/>
          <w:b/>
          <w:noProof/>
          <w:szCs w:val="24"/>
          <w:lang w:eastAsia="en-GB"/>
        </w:rPr>
        <w:t>ANNEX III(b)</w:t>
      </w:r>
    </w:p>
    <w:p>
      <w:pPr>
        <w:spacing w:before="0" w:after="240"/>
        <w:jc w:val="center"/>
        <w:rPr>
          <w:rFonts w:eastAsia="Times New Roman"/>
          <w:b/>
          <w:noProof/>
          <w:szCs w:val="24"/>
          <w:lang w:eastAsia="en-GB"/>
        </w:rPr>
      </w:pPr>
      <w:r>
        <w:rPr>
          <w:rFonts w:eastAsia="Times New Roman"/>
          <w:b/>
          <w:noProof/>
          <w:szCs w:val="24"/>
          <w:lang w:eastAsia="en-GB"/>
        </w:rPr>
        <w:t>DEVELOPMENT BENCHMARKS, TARGETS AND INDICATORS</w:t>
      </w:r>
    </w:p>
    <w:tbl>
      <w:tblPr>
        <w:tblW w:w="1570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126"/>
        <w:gridCol w:w="2268"/>
        <w:gridCol w:w="2126"/>
        <w:gridCol w:w="2182"/>
        <w:gridCol w:w="2183"/>
        <w:gridCol w:w="2551"/>
      </w:tblGrid>
      <w:tr>
        <w:trPr>
          <w:tblHeader/>
        </w:trPr>
        <w:tc>
          <w:tcPr>
            <w:tcW w:w="2269" w:type="dxa"/>
            <w:vMerge w:val="restart"/>
            <w:tcBorders>
              <w:top w:val="single" w:sz="24" w:space="0" w:color="000000"/>
              <w:left w:val="single" w:sz="24" w:space="0" w:color="000000"/>
            </w:tcBorders>
            <w:shd w:val="clear" w:color="auto" w:fill="auto"/>
            <w:vAlign w:val="center"/>
          </w:tcPr>
          <w:p>
            <w:pPr>
              <w:jc w:val="center"/>
              <w:rPr>
                <w:rFonts w:eastAsia="MS Mincho"/>
                <w:b/>
                <w:noProof/>
                <w:sz w:val="20"/>
                <w:szCs w:val="20"/>
                <w:lang w:eastAsia="en-GB"/>
              </w:rPr>
            </w:pPr>
            <w:r>
              <w:rPr>
                <w:rFonts w:eastAsia="MS Mincho"/>
                <w:b/>
                <w:noProof/>
                <w:sz w:val="20"/>
                <w:szCs w:val="20"/>
                <w:lang w:eastAsia="en-GB"/>
              </w:rPr>
              <w:t>Area of Cooperation</w:t>
            </w:r>
          </w:p>
        </w:tc>
        <w:tc>
          <w:tcPr>
            <w:tcW w:w="2126" w:type="dxa"/>
            <w:vMerge w:val="restart"/>
            <w:tcBorders>
              <w:top w:val="single" w:sz="24" w:space="0" w:color="000000"/>
            </w:tcBorders>
            <w:shd w:val="clear" w:color="auto" w:fill="auto"/>
            <w:vAlign w:val="center"/>
          </w:tcPr>
          <w:p>
            <w:pPr>
              <w:jc w:val="center"/>
              <w:rPr>
                <w:rFonts w:eastAsia="MS Mincho"/>
                <w:b/>
                <w:noProof/>
                <w:sz w:val="20"/>
                <w:szCs w:val="20"/>
                <w:lang w:eastAsia="en-GB"/>
              </w:rPr>
            </w:pPr>
            <w:r>
              <w:rPr>
                <w:rFonts w:eastAsia="MS Mincho"/>
                <w:b/>
                <w:noProof/>
                <w:sz w:val="20"/>
                <w:szCs w:val="20"/>
                <w:lang w:eastAsia="en-GB"/>
              </w:rPr>
              <w:t>Goals</w:t>
            </w:r>
          </w:p>
        </w:tc>
        <w:tc>
          <w:tcPr>
            <w:tcW w:w="2268" w:type="dxa"/>
            <w:vMerge w:val="restart"/>
            <w:tcBorders>
              <w:top w:val="single" w:sz="24" w:space="0" w:color="000000"/>
            </w:tcBorders>
            <w:shd w:val="clear" w:color="auto" w:fill="auto"/>
            <w:vAlign w:val="center"/>
          </w:tcPr>
          <w:p>
            <w:pPr>
              <w:jc w:val="center"/>
              <w:rPr>
                <w:rFonts w:eastAsia="MS Mincho"/>
                <w:b/>
                <w:noProof/>
                <w:sz w:val="20"/>
                <w:szCs w:val="20"/>
                <w:lang w:eastAsia="en-GB"/>
              </w:rPr>
            </w:pPr>
            <w:r>
              <w:rPr>
                <w:rFonts w:eastAsia="MS Mincho"/>
                <w:b/>
                <w:noProof/>
                <w:sz w:val="20"/>
                <w:szCs w:val="20"/>
                <w:lang w:eastAsia="en-GB"/>
              </w:rPr>
              <w:t>Baseline (2013)</w:t>
            </w:r>
          </w:p>
        </w:tc>
        <w:tc>
          <w:tcPr>
            <w:tcW w:w="6491" w:type="dxa"/>
            <w:gridSpan w:val="3"/>
            <w:tcBorders>
              <w:top w:val="single" w:sz="24" w:space="0" w:color="000000"/>
            </w:tcBorders>
            <w:shd w:val="clear" w:color="auto" w:fill="auto"/>
            <w:vAlign w:val="center"/>
          </w:tcPr>
          <w:p>
            <w:pPr>
              <w:jc w:val="center"/>
              <w:rPr>
                <w:rFonts w:eastAsia="MS Mincho"/>
                <w:b/>
                <w:noProof/>
                <w:sz w:val="20"/>
                <w:szCs w:val="20"/>
                <w:lang w:eastAsia="en-GB"/>
              </w:rPr>
            </w:pPr>
            <w:r>
              <w:rPr>
                <w:rFonts w:eastAsia="MS Mincho"/>
                <w:b/>
                <w:noProof/>
                <w:sz w:val="20"/>
                <w:szCs w:val="20"/>
                <w:lang w:eastAsia="en-GB"/>
              </w:rPr>
              <w:t>Targets</w:t>
            </w:r>
          </w:p>
        </w:tc>
        <w:tc>
          <w:tcPr>
            <w:tcW w:w="2551" w:type="dxa"/>
            <w:vMerge w:val="restart"/>
            <w:tcBorders>
              <w:top w:val="single" w:sz="24" w:space="0" w:color="000000"/>
              <w:right w:val="single" w:sz="24" w:space="0" w:color="000000"/>
            </w:tcBorders>
            <w:shd w:val="clear" w:color="auto" w:fill="auto"/>
            <w:vAlign w:val="center"/>
          </w:tcPr>
          <w:p>
            <w:pPr>
              <w:spacing w:before="40" w:after="40"/>
              <w:jc w:val="center"/>
              <w:rPr>
                <w:rFonts w:eastAsia="MS Mincho"/>
                <w:b/>
                <w:noProof/>
                <w:sz w:val="20"/>
                <w:szCs w:val="20"/>
                <w:lang w:eastAsia="en-GB"/>
              </w:rPr>
            </w:pPr>
            <w:r>
              <w:rPr>
                <w:rFonts w:eastAsia="MS Mincho"/>
                <w:b/>
                <w:noProof/>
                <w:sz w:val="20"/>
                <w:szCs w:val="20"/>
                <w:lang w:eastAsia="en-GB"/>
              </w:rPr>
              <w:t>Performance indicators</w:t>
            </w:r>
          </w:p>
        </w:tc>
      </w:tr>
      <w:tr>
        <w:trPr>
          <w:trHeight w:val="592"/>
          <w:tblHeader/>
        </w:trPr>
        <w:tc>
          <w:tcPr>
            <w:tcW w:w="2269" w:type="dxa"/>
            <w:vMerge/>
            <w:tcBorders>
              <w:left w:val="single" w:sz="24" w:space="0" w:color="000000"/>
              <w:bottom w:val="single" w:sz="24" w:space="0" w:color="000000"/>
            </w:tcBorders>
          </w:tcPr>
          <w:p>
            <w:pPr>
              <w:jc w:val="left"/>
              <w:rPr>
                <w:rFonts w:eastAsia="Times New Roman"/>
                <w:noProof/>
                <w:sz w:val="20"/>
                <w:szCs w:val="20"/>
                <w:lang w:eastAsia="en-GB"/>
              </w:rPr>
            </w:pPr>
          </w:p>
        </w:tc>
        <w:tc>
          <w:tcPr>
            <w:tcW w:w="2126" w:type="dxa"/>
            <w:vMerge/>
            <w:tcBorders>
              <w:bottom w:val="single" w:sz="24" w:space="0" w:color="000000"/>
            </w:tcBorders>
          </w:tcPr>
          <w:p>
            <w:pPr>
              <w:jc w:val="left"/>
              <w:rPr>
                <w:rFonts w:eastAsia="Times New Roman"/>
                <w:noProof/>
                <w:sz w:val="20"/>
                <w:szCs w:val="20"/>
                <w:lang w:eastAsia="en-GB"/>
              </w:rPr>
            </w:pPr>
          </w:p>
        </w:tc>
        <w:tc>
          <w:tcPr>
            <w:tcW w:w="2268" w:type="dxa"/>
            <w:vMerge/>
            <w:tcBorders>
              <w:bottom w:val="single" w:sz="24" w:space="0" w:color="000000"/>
            </w:tcBorders>
          </w:tcPr>
          <w:p>
            <w:pPr>
              <w:jc w:val="left"/>
              <w:rPr>
                <w:rFonts w:eastAsia="Times New Roman"/>
                <w:noProof/>
                <w:sz w:val="20"/>
                <w:szCs w:val="20"/>
                <w:lang w:eastAsia="en-GB"/>
              </w:rPr>
            </w:pPr>
          </w:p>
        </w:tc>
        <w:tc>
          <w:tcPr>
            <w:tcW w:w="2126" w:type="dxa"/>
            <w:tcBorders>
              <w:bottom w:val="single" w:sz="24" w:space="0" w:color="000000"/>
            </w:tcBorders>
            <w:shd w:val="clear" w:color="auto" w:fill="auto"/>
          </w:tcPr>
          <w:p>
            <w:pPr>
              <w:jc w:val="center"/>
              <w:rPr>
                <w:rFonts w:eastAsia="Times New Roman"/>
                <w:b/>
                <w:noProof/>
                <w:sz w:val="18"/>
                <w:szCs w:val="18"/>
                <w:lang w:eastAsia="en-GB"/>
              </w:rPr>
            </w:pPr>
            <w:r>
              <w:rPr>
                <w:rFonts w:eastAsia="Times New Roman"/>
                <w:b/>
                <w:noProof/>
                <w:sz w:val="18"/>
                <w:szCs w:val="18"/>
                <w:lang w:eastAsia="en-GB"/>
              </w:rPr>
              <w:t>Short Term (3 years) )</w:t>
            </w:r>
          </w:p>
        </w:tc>
        <w:tc>
          <w:tcPr>
            <w:tcW w:w="2182" w:type="dxa"/>
            <w:tcBorders>
              <w:bottom w:val="single" w:sz="24" w:space="0" w:color="000000"/>
            </w:tcBorders>
            <w:shd w:val="clear" w:color="auto" w:fill="auto"/>
          </w:tcPr>
          <w:p>
            <w:pPr>
              <w:jc w:val="center"/>
              <w:rPr>
                <w:rFonts w:eastAsia="Times New Roman"/>
                <w:b/>
                <w:noProof/>
                <w:sz w:val="18"/>
                <w:szCs w:val="18"/>
                <w:lang w:eastAsia="en-GB"/>
              </w:rPr>
            </w:pPr>
            <w:r>
              <w:rPr>
                <w:rFonts w:eastAsia="Times New Roman"/>
                <w:b/>
                <w:noProof/>
                <w:sz w:val="18"/>
                <w:szCs w:val="18"/>
                <w:lang w:eastAsia="en-GB"/>
              </w:rPr>
              <w:t>Medium Term (5 years)</w:t>
            </w:r>
          </w:p>
        </w:tc>
        <w:tc>
          <w:tcPr>
            <w:tcW w:w="2183" w:type="dxa"/>
            <w:tcBorders>
              <w:bottom w:val="single" w:sz="24" w:space="0" w:color="000000"/>
            </w:tcBorders>
            <w:shd w:val="clear" w:color="auto" w:fill="auto"/>
          </w:tcPr>
          <w:p>
            <w:pPr>
              <w:jc w:val="center"/>
              <w:rPr>
                <w:rFonts w:eastAsia="Times New Roman"/>
                <w:b/>
                <w:noProof/>
                <w:sz w:val="18"/>
                <w:szCs w:val="18"/>
                <w:lang w:eastAsia="en-GB"/>
              </w:rPr>
            </w:pPr>
            <w:r>
              <w:rPr>
                <w:rFonts w:eastAsia="Times New Roman"/>
                <w:b/>
                <w:noProof/>
                <w:sz w:val="18"/>
                <w:szCs w:val="18"/>
                <w:lang w:eastAsia="en-GB"/>
              </w:rPr>
              <w:t>Long Term (2033)</w:t>
            </w:r>
          </w:p>
        </w:tc>
        <w:tc>
          <w:tcPr>
            <w:tcW w:w="2551" w:type="dxa"/>
            <w:vMerge/>
            <w:tcBorders>
              <w:bottom w:val="single" w:sz="24" w:space="0" w:color="000000"/>
              <w:right w:val="single" w:sz="24" w:space="0" w:color="000000"/>
            </w:tcBorders>
          </w:tcPr>
          <w:p>
            <w:pPr>
              <w:spacing w:before="40" w:after="40"/>
              <w:jc w:val="left"/>
              <w:rPr>
                <w:rFonts w:eastAsia="Times New Roman"/>
                <w:noProof/>
                <w:sz w:val="20"/>
                <w:szCs w:val="20"/>
                <w:lang w:eastAsia="en-GB"/>
              </w:rPr>
            </w:pPr>
          </w:p>
        </w:tc>
      </w:tr>
      <w:tr>
        <w:trPr>
          <w:trHeight w:val="403"/>
        </w:trP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bCs/>
                <w:noProof/>
                <w:sz w:val="20"/>
                <w:szCs w:val="20"/>
                <w:u w:val="single"/>
                <w:lang w:eastAsia="en-GB"/>
              </w:rPr>
            </w:pPr>
            <w:r>
              <w:rPr>
                <w:rFonts w:eastAsia="Times New Roman"/>
                <w:b/>
                <w:bCs/>
                <w:noProof/>
                <w:sz w:val="20"/>
                <w:szCs w:val="20"/>
                <w:u w:val="single"/>
                <w:lang w:eastAsia="en-GB"/>
              </w:rPr>
              <w:t>Infrastructure</w:t>
            </w:r>
          </w:p>
        </w:tc>
      </w:tr>
      <w:tr>
        <w:trPr>
          <w:trHeight w:val="2474"/>
        </w:trPr>
        <w:tc>
          <w:tcPr>
            <w:tcW w:w="2269" w:type="dxa"/>
            <w:tcBorders>
              <w:top w:val="nil"/>
              <w:left w:val="single" w:sz="24" w:space="0" w:color="000000"/>
              <w:bottom w:val="nil"/>
              <w:right w:val="single" w:sz="4" w:space="0" w:color="auto"/>
            </w:tcBorders>
            <w:shd w:val="clear" w:color="auto" w:fill="auto"/>
          </w:tcPr>
          <w:p>
            <w:pPr>
              <w:numPr>
                <w:ilvl w:val="1"/>
                <w:numId w:val="30"/>
              </w:numPr>
              <w:spacing w:before="40" w:after="40"/>
              <w:ind w:left="426"/>
              <w:jc w:val="left"/>
              <w:rPr>
                <w:rFonts w:eastAsia="Times New Roman"/>
                <w:b/>
                <w:bCs/>
                <w:noProof/>
                <w:sz w:val="20"/>
                <w:szCs w:val="20"/>
                <w:lang w:eastAsia="en-GB"/>
              </w:rPr>
            </w:pPr>
            <w:r>
              <w:rPr>
                <w:rFonts w:eastAsia="Times New Roman"/>
                <w:b/>
                <w:bCs/>
                <w:noProof/>
                <w:sz w:val="20"/>
                <w:szCs w:val="20"/>
                <w:lang w:eastAsia="en-GB"/>
              </w:rPr>
              <w:t>Energy</w:t>
            </w:r>
          </w:p>
        </w:tc>
        <w:tc>
          <w:tcPr>
            <w:tcW w:w="2126" w:type="dxa"/>
            <w:vMerge w:val="restart"/>
            <w:tcBorders>
              <w:top w:val="nil"/>
              <w:left w:val="single" w:sz="4" w:space="0" w:color="auto"/>
              <w:right w:val="single" w:sz="4" w:space="0" w:color="auto"/>
            </w:tcBorders>
          </w:tcPr>
          <w:p>
            <w:pPr>
              <w:spacing w:before="40" w:after="40"/>
              <w:jc w:val="left"/>
              <w:rPr>
                <w:rFonts w:eastAsia="Times New Roman"/>
                <w:noProof/>
                <w:color w:val="FF0000"/>
                <w:sz w:val="20"/>
                <w:szCs w:val="20"/>
                <w:lang w:eastAsia="en-GB"/>
              </w:rPr>
            </w:pPr>
            <w:r>
              <w:rPr>
                <w:rFonts w:eastAsia="Times New Roman"/>
                <w:noProof/>
                <w:sz w:val="20"/>
                <w:szCs w:val="20"/>
                <w:lang w:eastAsia="en-GB"/>
              </w:rPr>
              <w:t>Improve the access of EAC Partner States to modern, reliable, diversified and renewable sources of energy at competitive prices in order to facilitate intra and inter regional trade.</w:t>
            </w:r>
          </w:p>
        </w:tc>
        <w:tc>
          <w:tcPr>
            <w:tcW w:w="2268"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color w:val="FF0000"/>
                <w:sz w:val="20"/>
                <w:szCs w:val="20"/>
                <w:lang w:eastAsia="en-GB"/>
              </w:rPr>
            </w:pPr>
            <w:r>
              <w:rPr>
                <w:rFonts w:eastAsia="Times New Roman"/>
                <w:noProof/>
                <w:sz w:val="20"/>
                <w:szCs w:val="20"/>
                <w:lang w:eastAsia="en-GB"/>
              </w:rPr>
              <w:t xml:space="preserve">Existing energy installed capacity (hydro, bagasse, thermal, geothermal and natural gas)around 3,597 MW, yet the projected capacity is 18,744 MW in 2030 and 21,173 MW in 2033. </w:t>
            </w:r>
          </w:p>
        </w:tc>
        <w:tc>
          <w:tcPr>
            <w:tcW w:w="2126"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Production increased by 1,613 MW (40% of the total expected production)</w:t>
            </w:r>
          </w:p>
        </w:tc>
        <w:tc>
          <w:tcPr>
            <w:tcW w:w="2182"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Production increased by 3,225 MW (40% of the total expected production)</w:t>
            </w:r>
          </w:p>
        </w:tc>
        <w:tc>
          <w:tcPr>
            <w:tcW w:w="2183"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Production increased by 6,773 MW (40% of the total expected production: 21,173 MW)</w:t>
            </w:r>
          </w:p>
        </w:tc>
        <w:tc>
          <w:tcPr>
            <w:tcW w:w="2551" w:type="dxa"/>
            <w:tcBorders>
              <w:top w:val="nil"/>
              <w:left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change in amount of electricity generated in megawatts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Reduction in cost of electricity</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Reduction in reliance on fossil fuel energy</w:t>
            </w:r>
          </w:p>
        </w:tc>
      </w:tr>
      <w:tr>
        <w:trPr>
          <w:trHeight w:val="2881"/>
        </w:trPr>
        <w:tc>
          <w:tcPr>
            <w:tcW w:w="2269" w:type="dxa"/>
            <w:tcBorders>
              <w:top w:val="nil"/>
              <w:left w:val="single" w:sz="24" w:space="0" w:color="000000"/>
              <w:bottom w:val="nil"/>
              <w:right w:val="single" w:sz="4" w:space="0" w:color="auto"/>
            </w:tcBorders>
            <w:shd w:val="clear" w:color="auto" w:fill="auto"/>
          </w:tcPr>
          <w:p>
            <w:pPr>
              <w:spacing w:before="40" w:after="40"/>
              <w:jc w:val="left"/>
              <w:rPr>
                <w:rFonts w:eastAsia="Times New Roman"/>
                <w:noProof/>
                <w:sz w:val="20"/>
                <w:szCs w:val="20"/>
                <w:lang w:eastAsia="en-GB"/>
              </w:rPr>
            </w:pPr>
          </w:p>
        </w:tc>
        <w:tc>
          <w:tcPr>
            <w:tcW w:w="2126" w:type="dxa"/>
            <w:vMerge/>
            <w:tcBorders>
              <w:left w:val="single" w:sz="4" w:space="0" w:color="auto"/>
              <w:bottom w:val="nil"/>
              <w:right w:val="single" w:sz="4" w:space="0" w:color="auto"/>
            </w:tcBorders>
          </w:tcPr>
          <w:p>
            <w:pPr>
              <w:spacing w:before="40" w:after="40"/>
              <w:jc w:val="left"/>
              <w:rPr>
                <w:rFonts w:eastAsia="Times New Roman"/>
                <w:noProof/>
                <w:sz w:val="20"/>
                <w:szCs w:val="20"/>
                <w:lang w:eastAsia="en-GB"/>
              </w:rPr>
            </w:pPr>
          </w:p>
        </w:tc>
        <w:tc>
          <w:tcPr>
            <w:tcW w:w="2268" w:type="dxa"/>
            <w:tcBorders>
              <w:left w:val="single" w:sz="4" w:space="0" w:color="auto"/>
              <w:bottom w:val="nil"/>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Lack of a regional grid network linking all EAC Partner States</w:t>
            </w:r>
          </w:p>
        </w:tc>
        <w:tc>
          <w:tcPr>
            <w:tcW w:w="2126" w:type="dxa"/>
            <w:tcBorders>
              <w:bottom w:val="nil"/>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 xml:space="preserve">Two high tension interconnection lines built and operational in the EAC region </w:t>
            </w:r>
          </w:p>
          <w:p>
            <w:pPr>
              <w:autoSpaceDE w:val="0"/>
              <w:autoSpaceDN w:val="0"/>
              <w:adjustRightInd w:val="0"/>
              <w:spacing w:before="40" w:after="40"/>
              <w:jc w:val="left"/>
              <w:rPr>
                <w:rFonts w:eastAsia="Times New Roman"/>
                <w:noProof/>
                <w:sz w:val="20"/>
                <w:szCs w:val="20"/>
                <w:lang w:eastAsia="en-GB"/>
              </w:rPr>
            </w:pPr>
          </w:p>
        </w:tc>
        <w:tc>
          <w:tcPr>
            <w:tcW w:w="2182" w:type="dxa"/>
            <w:tcBorders>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Four high tension interconnection lines built and operational in the EAC region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Upgrade the built up infrastructure capacity,</w:t>
            </w:r>
          </w:p>
        </w:tc>
        <w:tc>
          <w:tcPr>
            <w:tcW w:w="2183" w:type="dxa"/>
            <w:tcBorders>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All the national power networks of EAC Partner States interconnected </w:t>
            </w:r>
          </w:p>
          <w:p>
            <w:pPr>
              <w:autoSpaceDE w:val="0"/>
              <w:autoSpaceDN w:val="0"/>
              <w:adjustRightInd w:val="0"/>
              <w:spacing w:before="40" w:after="40"/>
              <w:ind w:left="196"/>
              <w:jc w:val="left"/>
              <w:rPr>
                <w:rFonts w:eastAsia="Times New Roman"/>
                <w:noProof/>
                <w:sz w:val="20"/>
                <w:szCs w:val="20"/>
                <w:lang w:eastAsia="en-GB"/>
              </w:rPr>
            </w:pPr>
          </w:p>
        </w:tc>
        <w:tc>
          <w:tcPr>
            <w:tcW w:w="2551" w:type="dxa"/>
            <w:tcBorders>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new cross border interconnections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the regional grid is fully operational</w:t>
            </w:r>
          </w:p>
          <w:p>
            <w:pPr>
              <w:autoSpaceDE w:val="0"/>
              <w:autoSpaceDN w:val="0"/>
              <w:adjustRightInd w:val="0"/>
              <w:spacing w:before="40" w:after="40"/>
              <w:jc w:val="left"/>
              <w:rPr>
                <w:rFonts w:eastAsia="Times New Roman"/>
                <w:noProof/>
                <w:sz w:val="20"/>
                <w:szCs w:val="20"/>
                <w:lang w:eastAsia="en-GB"/>
              </w:rPr>
            </w:pPr>
          </w:p>
        </w:tc>
      </w:tr>
      <w:tr>
        <w:trPr>
          <w:trHeight w:val="258"/>
        </w:trPr>
        <w:tc>
          <w:tcPr>
            <w:tcW w:w="2269" w:type="dxa"/>
            <w:tcBorders>
              <w:top w:val="nil"/>
              <w:left w:val="single" w:sz="24" w:space="0" w:color="000000"/>
              <w:bottom w:val="single" w:sz="4" w:space="0" w:color="000000"/>
            </w:tcBorders>
            <w:shd w:val="clear" w:color="auto" w:fill="auto"/>
          </w:tcPr>
          <w:p>
            <w:pPr>
              <w:spacing w:before="40" w:after="40"/>
              <w:jc w:val="left"/>
              <w:rPr>
                <w:rFonts w:eastAsia="Times New Roman"/>
                <w:noProof/>
                <w:sz w:val="20"/>
                <w:szCs w:val="20"/>
                <w:lang w:eastAsia="en-GB"/>
              </w:rPr>
            </w:pPr>
          </w:p>
        </w:tc>
        <w:tc>
          <w:tcPr>
            <w:tcW w:w="2126" w:type="dxa"/>
            <w:tcBorders>
              <w:top w:val="nil"/>
              <w:bottom w:val="single" w:sz="4" w:space="0" w:color="000000"/>
            </w:tcBorders>
          </w:tcPr>
          <w:p>
            <w:pPr>
              <w:spacing w:before="40" w:after="40"/>
              <w:jc w:val="left"/>
              <w:rPr>
                <w:rFonts w:eastAsia="Times New Roman"/>
                <w:noProof/>
                <w:sz w:val="20"/>
                <w:szCs w:val="20"/>
                <w:lang w:eastAsia="en-GB"/>
              </w:rPr>
            </w:pPr>
          </w:p>
        </w:tc>
        <w:tc>
          <w:tcPr>
            <w:tcW w:w="2268" w:type="dxa"/>
            <w:tcBorders>
              <w:top w:val="nil"/>
              <w:bottom w:val="single" w:sz="4" w:space="0" w:color="000000"/>
            </w:tcBorders>
          </w:tcPr>
          <w:p>
            <w:pPr>
              <w:autoSpaceDE w:val="0"/>
              <w:autoSpaceDN w:val="0"/>
              <w:adjustRightInd w:val="0"/>
              <w:spacing w:before="40" w:after="40"/>
              <w:jc w:val="left"/>
              <w:rPr>
                <w:rFonts w:eastAsia="Times New Roman"/>
                <w:noProof/>
                <w:sz w:val="20"/>
                <w:szCs w:val="20"/>
                <w:lang w:eastAsia="en-GB"/>
              </w:rPr>
            </w:pPr>
          </w:p>
        </w:tc>
        <w:tc>
          <w:tcPr>
            <w:tcW w:w="2126" w:type="dxa"/>
            <w:tcBorders>
              <w:top w:val="nil"/>
              <w:bottom w:val="single" w:sz="4" w:space="0" w:color="000000"/>
            </w:tcBorders>
          </w:tcPr>
          <w:p>
            <w:pPr>
              <w:autoSpaceDE w:val="0"/>
              <w:autoSpaceDN w:val="0"/>
              <w:adjustRightInd w:val="0"/>
              <w:spacing w:before="40" w:after="40"/>
              <w:jc w:val="left"/>
              <w:rPr>
                <w:rFonts w:eastAsia="Times New Roman"/>
                <w:noProof/>
                <w:sz w:val="20"/>
                <w:szCs w:val="20"/>
                <w:lang w:eastAsia="en-GB"/>
              </w:rPr>
            </w:pPr>
          </w:p>
        </w:tc>
        <w:tc>
          <w:tcPr>
            <w:tcW w:w="2182"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Improved access to private sector units to at least 75%</w:t>
            </w: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Improved access to private sector units to 100%</w:t>
            </w:r>
          </w:p>
        </w:tc>
        <w:tc>
          <w:tcPr>
            <w:tcW w:w="2551" w:type="dxa"/>
            <w:tcBorders>
              <w:top w:val="nil"/>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of new connections to private sector</w:t>
            </w:r>
          </w:p>
        </w:tc>
      </w:tr>
      <w:tr>
        <w:trPr>
          <w:trHeight w:val="1084"/>
        </w:trPr>
        <w:tc>
          <w:tcPr>
            <w:tcW w:w="2269" w:type="dxa"/>
            <w:tcBorders>
              <w:top w:val="single" w:sz="4" w:space="0" w:color="000000"/>
              <w:left w:val="single" w:sz="24" w:space="0" w:color="000000"/>
              <w:bottom w:val="nil"/>
            </w:tcBorders>
            <w:shd w:val="clear" w:color="auto" w:fill="auto"/>
          </w:tcPr>
          <w:p>
            <w:pPr>
              <w:spacing w:before="40" w:after="40"/>
              <w:jc w:val="left"/>
              <w:rPr>
                <w:rFonts w:eastAsia="Times New Roman"/>
                <w:noProof/>
                <w:sz w:val="20"/>
                <w:szCs w:val="20"/>
                <w:lang w:eastAsia="en-GB"/>
              </w:rPr>
            </w:pPr>
          </w:p>
        </w:tc>
        <w:tc>
          <w:tcPr>
            <w:tcW w:w="2126" w:type="dxa"/>
            <w:tcBorders>
              <w:top w:val="single" w:sz="4" w:space="0" w:color="000000"/>
              <w:bottom w:val="nil"/>
            </w:tcBorders>
          </w:tcPr>
          <w:p>
            <w:pPr>
              <w:spacing w:before="40" w:after="40"/>
              <w:jc w:val="left"/>
              <w:rPr>
                <w:rFonts w:eastAsia="Times New Roman"/>
                <w:noProof/>
                <w:sz w:val="20"/>
                <w:szCs w:val="20"/>
                <w:lang w:eastAsia="en-GB"/>
              </w:rPr>
            </w:pPr>
          </w:p>
        </w:tc>
        <w:tc>
          <w:tcPr>
            <w:tcW w:w="2268" w:type="dxa"/>
            <w:tcBorders>
              <w:top w:val="single" w:sz="4" w:space="0" w:color="000000"/>
              <w:bottom w:val="single" w:sz="4" w:space="0" w:color="auto"/>
            </w:tcBorders>
          </w:tcPr>
          <w:p>
            <w:pPr>
              <w:autoSpaceDE w:val="0"/>
              <w:autoSpaceDN w:val="0"/>
              <w:adjustRightInd w:val="0"/>
              <w:spacing w:before="40" w:after="40"/>
              <w:jc w:val="left"/>
              <w:rPr>
                <w:rFonts w:eastAsia="Times New Roman"/>
                <w:noProof/>
                <w:sz w:val="20"/>
                <w:szCs w:val="20"/>
                <w:lang w:eastAsia="en-GB"/>
              </w:rPr>
            </w:pPr>
          </w:p>
        </w:tc>
        <w:tc>
          <w:tcPr>
            <w:tcW w:w="2126" w:type="dxa"/>
            <w:tcBorders>
              <w:top w:val="single" w:sz="4" w:space="0" w:color="000000"/>
              <w:bottom w:val="single" w:sz="4" w:space="0" w:color="auto"/>
            </w:tcBorders>
          </w:tcPr>
          <w:p>
            <w:pPr>
              <w:autoSpaceDE w:val="0"/>
              <w:autoSpaceDN w:val="0"/>
              <w:adjustRightInd w:val="0"/>
              <w:spacing w:before="40" w:after="40"/>
              <w:jc w:val="left"/>
              <w:rPr>
                <w:rFonts w:eastAsia="Times New Roman"/>
                <w:noProof/>
                <w:sz w:val="20"/>
                <w:szCs w:val="20"/>
                <w:lang w:eastAsia="en-GB"/>
              </w:rPr>
            </w:pPr>
          </w:p>
        </w:tc>
        <w:tc>
          <w:tcPr>
            <w:tcW w:w="2182" w:type="dxa"/>
            <w:tcBorders>
              <w:top w:val="single" w:sz="4" w:space="0" w:color="000000"/>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Improved reliability of power supply to 95%</w:t>
            </w:r>
          </w:p>
        </w:tc>
        <w:tc>
          <w:tcPr>
            <w:tcW w:w="2183" w:type="dxa"/>
            <w:tcBorders>
              <w:top w:val="single" w:sz="4" w:space="0" w:color="000000"/>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Improved reliability of power supply to 99%</w:t>
            </w:r>
          </w:p>
        </w:tc>
        <w:tc>
          <w:tcPr>
            <w:tcW w:w="2551" w:type="dxa"/>
            <w:tcBorders>
              <w:top w:val="single" w:sz="4" w:space="0" w:color="000000"/>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of increased reliability of power supply</w:t>
            </w:r>
          </w:p>
        </w:tc>
      </w:tr>
      <w:tr>
        <w:trPr>
          <w:trHeight w:val="2078"/>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eastAsia="en-GB"/>
              </w:rPr>
            </w:pPr>
          </w:p>
        </w:tc>
        <w:tc>
          <w:tcPr>
            <w:tcW w:w="2126" w:type="dxa"/>
            <w:tcBorders>
              <w:top w:val="nil"/>
              <w:bottom w:val="nil"/>
            </w:tcBorders>
          </w:tcPr>
          <w:p>
            <w:pPr>
              <w:spacing w:before="40" w:after="40"/>
              <w:jc w:val="left"/>
              <w:rPr>
                <w:rFonts w:eastAsia="Times New Roman"/>
                <w:noProof/>
                <w:sz w:val="20"/>
                <w:szCs w:val="20"/>
                <w:lang w:eastAsia="en-GB"/>
              </w:rPr>
            </w:pPr>
          </w:p>
        </w:tc>
        <w:tc>
          <w:tcPr>
            <w:tcW w:w="2268" w:type="dxa"/>
            <w:tcBorders>
              <w:top w:val="single" w:sz="4" w:space="0" w:color="auto"/>
              <w:bottom w:val="nil"/>
            </w:tcBorders>
          </w:tcPr>
          <w:p>
            <w:pPr>
              <w:autoSpaceDE w:val="0"/>
              <w:autoSpaceDN w:val="0"/>
              <w:adjustRightInd w:val="0"/>
              <w:spacing w:before="40" w:after="40"/>
              <w:ind w:left="-42"/>
              <w:jc w:val="left"/>
              <w:rPr>
                <w:rFonts w:eastAsia="Times New Roman"/>
                <w:noProof/>
                <w:sz w:val="20"/>
                <w:szCs w:val="20"/>
                <w:lang w:eastAsia="en-GB"/>
              </w:rPr>
            </w:pPr>
            <w:r>
              <w:rPr>
                <w:rFonts w:eastAsia="Times New Roman"/>
                <w:noProof/>
                <w:sz w:val="20"/>
                <w:szCs w:val="20"/>
                <w:lang w:eastAsia="en-GB"/>
              </w:rPr>
              <w:t>Energy policies, legal and regulatory frameworks not harmonized and/or attractive to investors</w:t>
            </w:r>
          </w:p>
        </w:tc>
        <w:tc>
          <w:tcPr>
            <w:tcW w:w="2126"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Energy policies, legal and regulatory frameworks harmonized and attractive to investors</w:t>
            </w:r>
          </w:p>
        </w:tc>
        <w:tc>
          <w:tcPr>
            <w:tcW w:w="2182"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Partnership, linkages and joint ventures created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Enhanced investment in R&amp;D</w:t>
            </w:r>
          </w:p>
        </w:tc>
        <w:tc>
          <w:tcPr>
            <w:tcW w:w="2183"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Partnership, linkages and joint ventures developed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Technology developed and transferred</w:t>
            </w:r>
          </w:p>
        </w:tc>
        <w:tc>
          <w:tcPr>
            <w:tcW w:w="2551" w:type="dxa"/>
            <w:tcBorders>
              <w:top w:val="single" w:sz="4" w:space="0" w:color="auto"/>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harmonized legal and regulatory policies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new credible investments (including PPP agreements)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New technologies acquired</w:t>
            </w:r>
          </w:p>
        </w:tc>
      </w:tr>
      <w:tr>
        <w:trPr>
          <w:trHeight w:val="1635"/>
        </w:trPr>
        <w:tc>
          <w:tcPr>
            <w:tcW w:w="2269" w:type="dxa"/>
            <w:tcBorders>
              <w:top w:val="nil"/>
              <w:left w:val="single" w:sz="24" w:space="0" w:color="000000"/>
              <w:bottom w:val="single" w:sz="4" w:space="0" w:color="000000"/>
            </w:tcBorders>
            <w:shd w:val="clear" w:color="auto" w:fill="auto"/>
          </w:tcPr>
          <w:p>
            <w:pPr>
              <w:spacing w:before="40" w:after="40"/>
              <w:jc w:val="left"/>
              <w:rPr>
                <w:rFonts w:eastAsia="Times New Roman"/>
                <w:noProof/>
                <w:sz w:val="20"/>
                <w:szCs w:val="20"/>
                <w:lang w:eastAsia="en-GB"/>
              </w:rPr>
            </w:pPr>
          </w:p>
        </w:tc>
        <w:tc>
          <w:tcPr>
            <w:tcW w:w="2126" w:type="dxa"/>
            <w:tcBorders>
              <w:top w:val="nil"/>
              <w:bottom w:val="single" w:sz="4" w:space="0" w:color="000000"/>
            </w:tcBorders>
          </w:tcPr>
          <w:p>
            <w:pPr>
              <w:spacing w:before="40" w:after="40"/>
              <w:jc w:val="left"/>
              <w:rPr>
                <w:rFonts w:eastAsia="Times New Roman"/>
                <w:noProof/>
                <w:sz w:val="20"/>
                <w:szCs w:val="20"/>
                <w:lang w:eastAsia="en-GB"/>
              </w:rPr>
            </w:pPr>
          </w:p>
        </w:tc>
        <w:tc>
          <w:tcPr>
            <w:tcW w:w="2268" w:type="dxa"/>
            <w:tcBorders>
              <w:top w:val="nil"/>
              <w:bottom w:val="single" w:sz="4" w:space="0" w:color="000000"/>
            </w:tcBorders>
          </w:tcPr>
          <w:p>
            <w:pPr>
              <w:spacing w:before="40" w:after="40"/>
              <w:jc w:val="left"/>
              <w:rPr>
                <w:rFonts w:eastAsia="Times New Roman"/>
                <w:noProof/>
                <w:color w:val="FF0000"/>
                <w:sz w:val="20"/>
                <w:szCs w:val="20"/>
                <w:lang w:eastAsia="en-GB"/>
              </w:rPr>
            </w:pPr>
          </w:p>
        </w:tc>
        <w:tc>
          <w:tcPr>
            <w:tcW w:w="2126"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Institutional, technical and administrative capacities of energy related institutions strengthened</w:t>
            </w:r>
          </w:p>
        </w:tc>
        <w:tc>
          <w:tcPr>
            <w:tcW w:w="2182"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Supply and Reliability of power improved </w:t>
            </w:r>
          </w:p>
          <w:p>
            <w:pPr>
              <w:autoSpaceDE w:val="0"/>
              <w:autoSpaceDN w:val="0"/>
              <w:adjustRightInd w:val="0"/>
              <w:spacing w:before="40" w:after="40"/>
              <w:ind w:left="196"/>
              <w:jc w:val="left"/>
              <w:rPr>
                <w:rFonts w:eastAsia="Times New Roman"/>
                <w:noProof/>
                <w:sz w:val="20"/>
                <w:szCs w:val="20"/>
                <w:lang w:eastAsia="en-GB"/>
              </w:rPr>
            </w:pP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Stabilised power supply</w:t>
            </w:r>
          </w:p>
          <w:p>
            <w:pPr>
              <w:autoSpaceDE w:val="0"/>
              <w:autoSpaceDN w:val="0"/>
              <w:adjustRightInd w:val="0"/>
              <w:spacing w:before="40" w:after="40"/>
              <w:ind w:left="196"/>
              <w:jc w:val="left"/>
              <w:rPr>
                <w:rFonts w:eastAsia="Times New Roman"/>
                <w:noProof/>
                <w:sz w:val="20"/>
                <w:szCs w:val="20"/>
                <w:lang w:eastAsia="en-GB"/>
              </w:rPr>
            </w:pPr>
          </w:p>
        </w:tc>
        <w:tc>
          <w:tcPr>
            <w:tcW w:w="2551" w:type="dxa"/>
            <w:tcBorders>
              <w:top w:val="nil"/>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management capacity of energy nationally and regionally</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reliability of power supply.</w:t>
            </w:r>
          </w:p>
        </w:tc>
      </w:tr>
      <w:tr>
        <w:tc>
          <w:tcPr>
            <w:tcW w:w="2269" w:type="dxa"/>
            <w:tcBorders>
              <w:top w:val="single" w:sz="4" w:space="0" w:color="000000"/>
              <w:left w:val="single" w:sz="24" w:space="0" w:color="000000"/>
              <w:bottom w:val="single" w:sz="4" w:space="0" w:color="000000"/>
            </w:tcBorders>
            <w:shd w:val="clear" w:color="auto" w:fill="auto"/>
          </w:tcPr>
          <w:p>
            <w:pPr>
              <w:numPr>
                <w:ilvl w:val="1"/>
                <w:numId w:val="30"/>
              </w:numPr>
              <w:spacing w:before="40" w:after="40"/>
              <w:ind w:left="426"/>
              <w:jc w:val="left"/>
              <w:rPr>
                <w:rFonts w:eastAsia="Times New Roman"/>
                <w:b/>
                <w:bCs/>
                <w:noProof/>
                <w:sz w:val="20"/>
                <w:szCs w:val="20"/>
                <w:lang w:eastAsia="en-GB"/>
              </w:rPr>
            </w:pPr>
            <w:r>
              <w:rPr>
                <w:rFonts w:eastAsia="Times New Roman"/>
                <w:b/>
                <w:bCs/>
                <w:noProof/>
                <w:sz w:val="20"/>
                <w:szCs w:val="20"/>
                <w:lang w:eastAsia="en-GB"/>
              </w:rPr>
              <w:t>Transport</w:t>
            </w:r>
          </w:p>
        </w:tc>
        <w:tc>
          <w:tcPr>
            <w:tcW w:w="2126" w:type="dxa"/>
            <w:vMerge w:val="restart"/>
            <w:tcBorders>
              <w:top w:val="single" w:sz="4" w:space="0" w:color="000000"/>
              <w:bottom w:val="single" w:sz="4" w:space="0" w:color="000000"/>
            </w:tcBorders>
          </w:tcPr>
          <w:p>
            <w:pPr>
              <w:spacing w:before="40" w:after="40"/>
              <w:jc w:val="left"/>
              <w:rPr>
                <w:rFonts w:eastAsia="Times New Roman"/>
                <w:noProof/>
                <w:sz w:val="20"/>
                <w:szCs w:val="20"/>
                <w:lang w:eastAsia="en-GB"/>
              </w:rPr>
            </w:pPr>
            <w:r>
              <w:rPr>
                <w:rFonts w:eastAsia="Times New Roman"/>
                <w:noProof/>
                <w:sz w:val="20"/>
                <w:szCs w:val="20"/>
                <w:lang w:eastAsia="en-GB"/>
              </w:rPr>
              <w:t xml:space="preserve">To improve national and regional interconnectivity in order to facilitate deepening of regional economic integration and improve the movement of people and goods. </w:t>
            </w:r>
          </w:p>
        </w:tc>
        <w:tc>
          <w:tcPr>
            <w:tcW w:w="2268" w:type="dxa"/>
            <w:tcBorders>
              <w:top w:val="single" w:sz="4" w:space="0" w:color="000000"/>
              <w:bottom w:val="single" w:sz="4" w:space="0" w:color="000000"/>
            </w:tcBorders>
          </w:tcPr>
          <w:p>
            <w:pPr>
              <w:spacing w:before="40" w:after="40"/>
              <w:jc w:val="left"/>
              <w:rPr>
                <w:rFonts w:eastAsia="Times New Roman"/>
                <w:noProof/>
                <w:sz w:val="20"/>
                <w:szCs w:val="20"/>
                <w:lang w:eastAsia="en-GB"/>
              </w:rPr>
            </w:pPr>
            <w:r>
              <w:rPr>
                <w:rFonts w:eastAsia="Times New Roman"/>
                <w:noProof/>
                <w:sz w:val="20"/>
                <w:szCs w:val="20"/>
                <w:lang w:eastAsia="en-GB"/>
              </w:rPr>
              <w:t>The regional network comprises:</w:t>
            </w:r>
          </w:p>
          <w:p>
            <w:pPr>
              <w:autoSpaceDE w:val="0"/>
              <w:autoSpaceDN w:val="0"/>
              <w:adjustRightInd w:val="0"/>
              <w:spacing w:before="40" w:after="40"/>
              <w:ind w:left="338"/>
              <w:jc w:val="left"/>
              <w:rPr>
                <w:rFonts w:eastAsia="Times New Roman"/>
                <w:noProof/>
                <w:sz w:val="20"/>
                <w:szCs w:val="20"/>
                <w:lang w:eastAsia="en-GB"/>
              </w:rPr>
            </w:pPr>
          </w:p>
        </w:tc>
        <w:tc>
          <w:tcPr>
            <w:tcW w:w="2126"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 State of inter-modal infrastructure systems developed and improved:</w:t>
            </w:r>
          </w:p>
          <w:p>
            <w:pPr>
              <w:autoSpaceDE w:val="0"/>
              <w:autoSpaceDN w:val="0"/>
              <w:adjustRightInd w:val="0"/>
              <w:spacing w:before="40" w:after="40"/>
              <w:ind w:left="338"/>
              <w:jc w:val="left"/>
              <w:rPr>
                <w:rFonts w:eastAsia="Times New Roman"/>
                <w:noProof/>
                <w:sz w:val="20"/>
                <w:szCs w:val="20"/>
                <w:lang w:eastAsia="en-GB"/>
              </w:rPr>
            </w:pPr>
          </w:p>
        </w:tc>
        <w:tc>
          <w:tcPr>
            <w:tcW w:w="2182"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 State of inter-modal infrastructure systems developed and improved:</w:t>
            </w:r>
          </w:p>
          <w:p>
            <w:pPr>
              <w:autoSpaceDE w:val="0"/>
              <w:autoSpaceDN w:val="0"/>
              <w:adjustRightInd w:val="0"/>
              <w:spacing w:before="40" w:after="40"/>
              <w:ind w:left="338"/>
              <w:jc w:val="left"/>
              <w:rPr>
                <w:rFonts w:eastAsia="Times New Roman"/>
                <w:noProof/>
                <w:sz w:val="20"/>
                <w:szCs w:val="20"/>
                <w:lang w:eastAsia="en-GB"/>
              </w:rPr>
            </w:pPr>
          </w:p>
        </w:tc>
        <w:tc>
          <w:tcPr>
            <w:tcW w:w="2183"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State of inter-modal infrastructure systems developed and improved:</w:t>
            </w:r>
          </w:p>
          <w:p>
            <w:pPr>
              <w:autoSpaceDE w:val="0"/>
              <w:autoSpaceDN w:val="0"/>
              <w:adjustRightInd w:val="0"/>
              <w:spacing w:before="40" w:after="40"/>
              <w:ind w:left="338"/>
              <w:jc w:val="left"/>
              <w:rPr>
                <w:rFonts w:eastAsia="Times New Roman"/>
                <w:noProof/>
                <w:sz w:val="20"/>
                <w:szCs w:val="20"/>
                <w:lang w:eastAsia="en-GB"/>
              </w:rPr>
            </w:pPr>
          </w:p>
          <w:p>
            <w:pPr>
              <w:autoSpaceDE w:val="0"/>
              <w:autoSpaceDN w:val="0"/>
              <w:adjustRightInd w:val="0"/>
              <w:spacing w:before="40" w:after="40"/>
              <w:ind w:left="196"/>
              <w:jc w:val="left"/>
              <w:rPr>
                <w:rFonts w:eastAsia="Times New Roman"/>
                <w:noProof/>
                <w:sz w:val="20"/>
                <w:szCs w:val="20"/>
                <w:lang w:eastAsia="en-GB"/>
              </w:rPr>
            </w:pPr>
          </w:p>
        </w:tc>
        <w:tc>
          <w:tcPr>
            <w:tcW w:w="2551" w:type="dxa"/>
            <w:tcBorders>
              <w:top w:val="single" w:sz="4" w:space="0" w:color="000000"/>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in the volume of intra and inter regional trade</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Reduction in transportation costs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 increase of intra and inter regional traffic (road, railway, air and water)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Reduction in turnaround times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p>
        </w:tc>
      </w:tr>
      <w:tr>
        <w:tc>
          <w:tcPr>
            <w:tcW w:w="2269" w:type="dxa"/>
            <w:tcBorders>
              <w:top w:val="single" w:sz="4" w:space="0" w:color="000000"/>
              <w:left w:val="single" w:sz="24" w:space="0" w:color="000000"/>
              <w:bottom w:val="nil"/>
            </w:tcBorders>
            <w:shd w:val="clear" w:color="auto" w:fill="auto"/>
          </w:tcPr>
          <w:p>
            <w:pPr>
              <w:spacing w:before="40" w:after="40"/>
              <w:ind w:left="-6"/>
              <w:jc w:val="left"/>
              <w:rPr>
                <w:rFonts w:eastAsia="Times New Roman"/>
                <w:b/>
                <w:bCs/>
                <w:noProof/>
                <w:sz w:val="20"/>
                <w:szCs w:val="20"/>
                <w:lang w:eastAsia="en-GB"/>
              </w:rPr>
            </w:pPr>
          </w:p>
        </w:tc>
        <w:tc>
          <w:tcPr>
            <w:tcW w:w="2126" w:type="dxa"/>
            <w:vMerge/>
            <w:tcBorders>
              <w:top w:val="single" w:sz="4" w:space="0" w:color="000000"/>
              <w:bottom w:val="nil"/>
            </w:tcBorders>
          </w:tcPr>
          <w:p>
            <w:pPr>
              <w:spacing w:before="40" w:after="40"/>
              <w:jc w:val="left"/>
              <w:rPr>
                <w:rFonts w:eastAsia="Times New Roman"/>
                <w:noProof/>
                <w:sz w:val="20"/>
                <w:szCs w:val="20"/>
                <w:lang w:eastAsia="en-GB"/>
              </w:rPr>
            </w:pPr>
          </w:p>
        </w:tc>
        <w:tc>
          <w:tcPr>
            <w:tcW w:w="2268"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lang w:eastAsia="en-GB"/>
              </w:rPr>
            </w:pPr>
            <w:r>
              <w:rPr>
                <w:rFonts w:eastAsia="Times New Roman"/>
                <w:noProof/>
                <w:sz w:val="20"/>
                <w:szCs w:val="20"/>
                <w:lang w:eastAsia="en-GB"/>
              </w:rPr>
              <w:t>about 178, 737 km of roads, of which about 22,347 km are paved and 156,390 km are unpaved (2011)</w:t>
            </w:r>
          </w:p>
        </w:tc>
        <w:tc>
          <w:tcPr>
            <w:tcW w:w="2126"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lang w:eastAsia="en-GB"/>
              </w:rPr>
            </w:pPr>
            <w:r>
              <w:rPr>
                <w:rFonts w:eastAsia="Times New Roman"/>
                <w:noProof/>
                <w:sz w:val="20"/>
                <w:szCs w:val="20"/>
                <w:lang w:eastAsia="en-GB"/>
              </w:rPr>
              <w:t xml:space="preserve">4% (600 km) reduction in the length of unpaved (gravel) roads in the East African Road Network </w:t>
            </w:r>
          </w:p>
        </w:tc>
        <w:tc>
          <w:tcPr>
            <w:tcW w:w="2182"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lang w:eastAsia="en-GB"/>
              </w:rPr>
            </w:pPr>
            <w:r>
              <w:rPr>
                <w:rFonts w:eastAsia="Times New Roman"/>
                <w:noProof/>
                <w:sz w:val="20"/>
                <w:szCs w:val="20"/>
                <w:lang w:eastAsia="en-GB"/>
              </w:rPr>
              <w:t>A 15% (2,220 km) reduction in the length of unpaved (gravel) roads in the East African Road Network</w:t>
            </w:r>
          </w:p>
        </w:tc>
        <w:tc>
          <w:tcPr>
            <w:tcW w:w="2183"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lang w:eastAsia="en-GB"/>
              </w:rPr>
            </w:pPr>
            <w:r>
              <w:rPr>
                <w:rFonts w:eastAsia="Times New Roman"/>
                <w:noProof/>
                <w:sz w:val="20"/>
                <w:szCs w:val="20"/>
                <w:lang w:eastAsia="en-GB"/>
              </w:rPr>
              <w:t>A 22% (3,240 km) reduction in the length of unpaved (gravel) roads in the East African Road Network</w:t>
            </w:r>
          </w:p>
        </w:tc>
        <w:tc>
          <w:tcPr>
            <w:tcW w:w="2551" w:type="dxa"/>
            <w:tcBorders>
              <w:top w:val="single" w:sz="4" w:space="0" w:color="000000"/>
              <w:bottom w:val="nil"/>
              <w:right w:val="single" w:sz="24" w:space="0" w:color="000000"/>
            </w:tcBorders>
          </w:tcPr>
          <w:p>
            <w:pPr>
              <w:numPr>
                <w:ilvl w:val="1"/>
                <w:numId w:val="29"/>
              </w:numPr>
              <w:autoSpaceDE w:val="0"/>
              <w:autoSpaceDN w:val="0"/>
              <w:adjustRightInd w:val="0"/>
              <w:spacing w:before="40" w:after="40"/>
              <w:ind w:left="338" w:hanging="247"/>
              <w:jc w:val="left"/>
              <w:rPr>
                <w:rFonts w:eastAsia="Times New Roman"/>
                <w:noProof/>
                <w:sz w:val="20"/>
                <w:szCs w:val="20"/>
                <w:lang w:eastAsia="en-GB"/>
              </w:rPr>
            </w:pPr>
            <w:r>
              <w:rPr>
                <w:rFonts w:eastAsia="Times New Roman"/>
                <w:noProof/>
                <w:sz w:val="20"/>
                <w:szCs w:val="20"/>
                <w:lang w:eastAsia="en-GB"/>
              </w:rPr>
              <w:t>Kms of missing regional links built and regional corridors improved and maintained</w:t>
            </w:r>
          </w:p>
        </w:tc>
      </w:tr>
      <w:t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lang w:eastAsia="en-GB"/>
              </w:rPr>
            </w:pPr>
          </w:p>
        </w:tc>
        <w:tc>
          <w:tcPr>
            <w:tcW w:w="2126" w:type="dxa"/>
            <w:tcBorders>
              <w:top w:val="nil"/>
              <w:bottom w:val="nil"/>
            </w:tcBorders>
          </w:tcPr>
          <w:p>
            <w:pPr>
              <w:spacing w:before="40" w:after="40"/>
              <w:jc w:val="left"/>
              <w:rPr>
                <w:rFonts w:eastAsia="Times New Roman"/>
                <w:noProof/>
                <w:sz w:val="20"/>
                <w:szCs w:val="20"/>
                <w:lang w:eastAsia="en-GB"/>
              </w:rPr>
            </w:pPr>
          </w:p>
        </w:tc>
        <w:tc>
          <w:tcPr>
            <w:tcW w:w="2268"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lang w:eastAsia="en-GB"/>
              </w:rPr>
            </w:pPr>
            <w:r>
              <w:rPr>
                <w:rFonts w:eastAsia="Times New Roman"/>
                <w:noProof/>
                <w:sz w:val="20"/>
                <w:szCs w:val="20"/>
                <w:lang w:eastAsia="en-GB"/>
              </w:rPr>
              <w:t>No standard gauge railway in the region. The EAC region comprises about 8,100 km of meter gauge rail out of which about 6,000 km is active.</w:t>
            </w:r>
          </w:p>
        </w:tc>
        <w:tc>
          <w:tcPr>
            <w:tcW w:w="2126"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lang w:eastAsia="en-GB"/>
              </w:rPr>
            </w:pPr>
            <w:r>
              <w:rPr>
                <w:rFonts w:eastAsia="Times New Roman"/>
                <w:noProof/>
                <w:sz w:val="20"/>
                <w:szCs w:val="20"/>
                <w:lang w:eastAsia="en-GB"/>
              </w:rPr>
              <w:t xml:space="preserve">2 new railway standard gauge links developed </w:t>
            </w:r>
          </w:p>
          <w:p>
            <w:pPr>
              <w:autoSpaceDE w:val="0"/>
              <w:autoSpaceDN w:val="0"/>
              <w:adjustRightInd w:val="0"/>
              <w:spacing w:before="40" w:after="40"/>
              <w:ind w:left="196"/>
              <w:jc w:val="left"/>
              <w:rPr>
                <w:rFonts w:eastAsia="Times New Roman"/>
                <w:noProof/>
                <w:sz w:val="20"/>
                <w:szCs w:val="20"/>
                <w:lang w:eastAsia="en-GB"/>
              </w:rPr>
            </w:pPr>
          </w:p>
        </w:tc>
        <w:tc>
          <w:tcPr>
            <w:tcW w:w="2182"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lang w:eastAsia="en-GB"/>
              </w:rPr>
            </w:pPr>
            <w:r>
              <w:rPr>
                <w:rFonts w:eastAsia="Times New Roman"/>
                <w:noProof/>
                <w:sz w:val="20"/>
                <w:szCs w:val="20"/>
                <w:lang w:eastAsia="en-GB"/>
              </w:rPr>
              <w:t xml:space="preserve">3 new railway standard gauge links developed and 2 operational </w:t>
            </w:r>
          </w:p>
        </w:tc>
        <w:tc>
          <w:tcPr>
            <w:tcW w:w="2183"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lang w:eastAsia="en-GB"/>
              </w:rPr>
            </w:pPr>
            <w:r>
              <w:rPr>
                <w:rFonts w:eastAsia="Times New Roman"/>
                <w:noProof/>
                <w:sz w:val="20"/>
                <w:szCs w:val="20"/>
                <w:lang w:eastAsia="en-GB"/>
              </w:rPr>
              <w:t>4 new railway standard gauge links developed and 5 operational</w:t>
            </w:r>
          </w:p>
        </w:tc>
        <w:tc>
          <w:tcPr>
            <w:tcW w:w="2551" w:type="dxa"/>
            <w:tcBorders>
              <w:top w:val="nil"/>
              <w:bottom w:val="nil"/>
              <w:right w:val="single" w:sz="24" w:space="0" w:color="000000"/>
            </w:tcBorders>
          </w:tcPr>
          <w:p>
            <w:pPr>
              <w:autoSpaceDE w:val="0"/>
              <w:autoSpaceDN w:val="0"/>
              <w:adjustRightInd w:val="0"/>
              <w:spacing w:before="40" w:after="40"/>
              <w:jc w:val="left"/>
              <w:rPr>
                <w:rFonts w:eastAsia="Times New Roman"/>
                <w:noProof/>
                <w:sz w:val="20"/>
                <w:szCs w:val="20"/>
                <w:lang w:eastAsia="en-GB"/>
              </w:rPr>
            </w:pPr>
          </w:p>
        </w:tc>
      </w:tr>
      <w:t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lang w:eastAsia="en-GB"/>
              </w:rPr>
            </w:pPr>
          </w:p>
        </w:tc>
        <w:tc>
          <w:tcPr>
            <w:tcW w:w="2126" w:type="dxa"/>
            <w:tcBorders>
              <w:top w:val="nil"/>
              <w:bottom w:val="nil"/>
            </w:tcBorders>
          </w:tcPr>
          <w:p>
            <w:pPr>
              <w:spacing w:before="40" w:after="40"/>
              <w:jc w:val="left"/>
              <w:rPr>
                <w:rFonts w:eastAsia="Times New Roman"/>
                <w:noProof/>
                <w:sz w:val="20"/>
                <w:szCs w:val="20"/>
                <w:lang w:eastAsia="en-GB"/>
              </w:rPr>
            </w:pPr>
          </w:p>
        </w:tc>
        <w:tc>
          <w:tcPr>
            <w:tcW w:w="2268"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lang w:eastAsia="en-GB"/>
              </w:rPr>
            </w:pPr>
            <w:r>
              <w:rPr>
                <w:rFonts w:eastAsia="Times New Roman"/>
                <w:noProof/>
                <w:sz w:val="20"/>
                <w:szCs w:val="20"/>
                <w:lang w:eastAsia="en-GB"/>
              </w:rPr>
              <w:t xml:space="preserve">5 major sea ports and several inland ports </w:t>
            </w:r>
          </w:p>
        </w:tc>
        <w:tc>
          <w:tcPr>
            <w:tcW w:w="2126"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lang w:eastAsia="en-GB"/>
              </w:rPr>
            </w:pPr>
            <w:r>
              <w:rPr>
                <w:rFonts w:eastAsia="Times New Roman"/>
                <w:noProof/>
                <w:sz w:val="20"/>
                <w:szCs w:val="20"/>
                <w:lang w:eastAsia="en-GB"/>
              </w:rPr>
              <w:t>3 priority ports are developed, expanded and/or modernised</w:t>
            </w:r>
          </w:p>
        </w:tc>
        <w:tc>
          <w:tcPr>
            <w:tcW w:w="2182"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lang w:eastAsia="en-GB"/>
              </w:rPr>
            </w:pPr>
            <w:r>
              <w:rPr>
                <w:rFonts w:eastAsia="Times New Roman"/>
                <w:noProof/>
                <w:sz w:val="20"/>
                <w:szCs w:val="20"/>
                <w:lang w:eastAsia="en-GB"/>
              </w:rPr>
              <w:t>4priority ports are developed, expanded and/or modernised</w:t>
            </w:r>
          </w:p>
        </w:tc>
        <w:tc>
          <w:tcPr>
            <w:tcW w:w="2183"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lang w:eastAsia="en-GB"/>
              </w:rPr>
            </w:pPr>
            <w:r>
              <w:rPr>
                <w:rFonts w:eastAsia="Times New Roman"/>
                <w:noProof/>
                <w:sz w:val="20"/>
                <w:szCs w:val="20"/>
                <w:lang w:eastAsia="en-GB"/>
              </w:rPr>
              <w:t>5 priority ports are developed, expanded and/or modernised</w:t>
            </w:r>
          </w:p>
        </w:tc>
        <w:tc>
          <w:tcPr>
            <w:tcW w:w="2551" w:type="dxa"/>
            <w:tcBorders>
              <w:top w:val="nil"/>
              <w:bottom w:val="nil"/>
              <w:right w:val="single" w:sz="24" w:space="0" w:color="000000"/>
            </w:tcBorders>
          </w:tcPr>
          <w:p>
            <w:pPr>
              <w:numPr>
                <w:ilvl w:val="1"/>
                <w:numId w:val="29"/>
              </w:numPr>
              <w:autoSpaceDE w:val="0"/>
              <w:autoSpaceDN w:val="0"/>
              <w:adjustRightInd w:val="0"/>
              <w:spacing w:before="40" w:after="40"/>
              <w:ind w:left="196" w:hanging="247"/>
              <w:jc w:val="left"/>
              <w:rPr>
                <w:rFonts w:eastAsia="Times New Roman"/>
                <w:noProof/>
                <w:sz w:val="20"/>
                <w:szCs w:val="20"/>
                <w:lang w:eastAsia="en-GB"/>
              </w:rPr>
            </w:pPr>
            <w:r>
              <w:rPr>
                <w:rFonts w:eastAsia="Times New Roman"/>
                <w:noProof/>
                <w:sz w:val="20"/>
                <w:szCs w:val="20"/>
                <w:lang w:eastAsia="en-GB"/>
              </w:rPr>
              <w:t>Number of harbours developed, expanded and/or modernised</w:t>
            </w:r>
          </w:p>
        </w:tc>
      </w:tr>
      <w:tr>
        <w:trPr>
          <w:trHeight w:val="1435"/>
        </w:trP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lang w:eastAsia="en-GB"/>
              </w:rPr>
            </w:pPr>
          </w:p>
        </w:tc>
        <w:tc>
          <w:tcPr>
            <w:tcW w:w="2126" w:type="dxa"/>
            <w:tcBorders>
              <w:top w:val="nil"/>
              <w:bottom w:val="nil"/>
            </w:tcBorders>
          </w:tcPr>
          <w:p>
            <w:pPr>
              <w:spacing w:before="40" w:after="40"/>
              <w:jc w:val="left"/>
              <w:rPr>
                <w:rFonts w:eastAsia="Times New Roman"/>
                <w:noProof/>
                <w:sz w:val="20"/>
                <w:szCs w:val="20"/>
                <w:lang w:eastAsia="en-GB"/>
              </w:rPr>
            </w:pPr>
          </w:p>
        </w:tc>
        <w:tc>
          <w:tcPr>
            <w:tcW w:w="2268"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lang w:eastAsia="en-GB"/>
              </w:rPr>
            </w:pPr>
            <w:r>
              <w:rPr>
                <w:rFonts w:eastAsia="Times New Roman"/>
                <w:noProof/>
                <w:sz w:val="20"/>
                <w:szCs w:val="20"/>
                <w:lang w:eastAsia="en-GB"/>
              </w:rPr>
              <w:t xml:space="preserve">11 international airports </w:t>
            </w:r>
          </w:p>
        </w:tc>
        <w:tc>
          <w:tcPr>
            <w:tcW w:w="2126"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lang w:eastAsia="en-GB"/>
              </w:rPr>
            </w:pPr>
            <w:r>
              <w:rPr>
                <w:rFonts w:eastAsia="Times New Roman"/>
                <w:noProof/>
                <w:sz w:val="20"/>
                <w:szCs w:val="20"/>
                <w:lang w:eastAsia="en-GB"/>
              </w:rPr>
              <w:t>3 priority airports are developed, expanded and/or modernised</w:t>
            </w:r>
          </w:p>
        </w:tc>
        <w:tc>
          <w:tcPr>
            <w:tcW w:w="2182"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lang w:eastAsia="en-GB"/>
              </w:rPr>
            </w:pPr>
            <w:r>
              <w:rPr>
                <w:rFonts w:eastAsia="Times New Roman"/>
                <w:noProof/>
                <w:sz w:val="20"/>
                <w:szCs w:val="20"/>
                <w:lang w:eastAsia="en-GB"/>
              </w:rPr>
              <w:t>3 priority airports are developed, expanded and/or modernised</w:t>
            </w:r>
          </w:p>
        </w:tc>
        <w:tc>
          <w:tcPr>
            <w:tcW w:w="2183"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lang w:eastAsia="en-GB"/>
              </w:rPr>
            </w:pPr>
            <w:r>
              <w:rPr>
                <w:rFonts w:eastAsia="Times New Roman"/>
                <w:noProof/>
                <w:sz w:val="20"/>
                <w:szCs w:val="20"/>
                <w:lang w:eastAsia="en-GB"/>
              </w:rPr>
              <w:t>5 priority airports are developed, expanded and/or modernised</w:t>
            </w:r>
          </w:p>
        </w:tc>
        <w:tc>
          <w:tcPr>
            <w:tcW w:w="2551" w:type="dxa"/>
            <w:tcBorders>
              <w:top w:val="nil"/>
              <w:bottom w:val="nil"/>
              <w:right w:val="single" w:sz="24" w:space="0" w:color="000000"/>
            </w:tcBorders>
          </w:tcPr>
          <w:p>
            <w:pPr>
              <w:numPr>
                <w:ilvl w:val="1"/>
                <w:numId w:val="29"/>
              </w:numPr>
              <w:autoSpaceDE w:val="0"/>
              <w:autoSpaceDN w:val="0"/>
              <w:adjustRightInd w:val="0"/>
              <w:spacing w:before="40" w:after="40"/>
              <w:ind w:left="196" w:hanging="247"/>
              <w:jc w:val="left"/>
              <w:rPr>
                <w:rFonts w:eastAsia="Times New Roman"/>
                <w:noProof/>
                <w:sz w:val="20"/>
                <w:szCs w:val="20"/>
                <w:lang w:eastAsia="en-GB"/>
              </w:rPr>
            </w:pPr>
            <w:r>
              <w:rPr>
                <w:rFonts w:eastAsia="Times New Roman"/>
                <w:noProof/>
                <w:sz w:val="20"/>
                <w:szCs w:val="20"/>
                <w:lang w:eastAsia="en-GB"/>
              </w:rPr>
              <w:t>Number of airports developed, expanded and/or modernised</w:t>
            </w:r>
          </w:p>
          <w:p>
            <w:pPr>
              <w:autoSpaceDE w:val="0"/>
              <w:autoSpaceDN w:val="0"/>
              <w:adjustRightInd w:val="0"/>
              <w:spacing w:before="40" w:after="40"/>
              <w:ind w:left="196"/>
              <w:jc w:val="left"/>
              <w:rPr>
                <w:rFonts w:eastAsia="Times New Roman"/>
                <w:noProof/>
                <w:sz w:val="20"/>
                <w:szCs w:val="20"/>
                <w:lang w:eastAsia="en-GB"/>
              </w:rPr>
            </w:pPr>
          </w:p>
          <w:p>
            <w:pPr>
              <w:autoSpaceDE w:val="0"/>
              <w:autoSpaceDN w:val="0"/>
              <w:adjustRightInd w:val="0"/>
              <w:spacing w:before="40" w:after="40"/>
              <w:ind w:left="196"/>
              <w:jc w:val="left"/>
              <w:rPr>
                <w:rFonts w:eastAsia="Times New Roman"/>
                <w:noProof/>
                <w:sz w:val="20"/>
                <w:szCs w:val="20"/>
                <w:lang w:eastAsia="en-GB"/>
              </w:rPr>
            </w:pPr>
          </w:p>
        </w:tc>
      </w:tr>
      <w:t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lang w:eastAsia="en-GB"/>
              </w:rPr>
            </w:pPr>
          </w:p>
        </w:tc>
        <w:tc>
          <w:tcPr>
            <w:tcW w:w="2126" w:type="dxa"/>
            <w:tcBorders>
              <w:top w:val="nil"/>
              <w:bottom w:val="nil"/>
            </w:tcBorders>
          </w:tcPr>
          <w:p>
            <w:pPr>
              <w:spacing w:before="40" w:after="40"/>
              <w:jc w:val="left"/>
              <w:rPr>
                <w:rFonts w:eastAsia="Times New Roman"/>
                <w:noProof/>
                <w:sz w:val="20"/>
                <w:szCs w:val="20"/>
                <w:lang w:eastAsia="en-GB"/>
              </w:rPr>
            </w:pPr>
          </w:p>
        </w:tc>
        <w:tc>
          <w:tcPr>
            <w:tcW w:w="2268" w:type="dxa"/>
            <w:tcBorders>
              <w:top w:val="nil"/>
              <w:bottom w:val="nil"/>
            </w:tcBorders>
          </w:tcPr>
          <w:p>
            <w:pPr>
              <w:spacing w:before="40" w:after="40"/>
              <w:jc w:val="left"/>
              <w:rPr>
                <w:rFonts w:eastAsia="Times New Roman"/>
                <w:noProof/>
                <w:sz w:val="20"/>
                <w:szCs w:val="20"/>
                <w:lang w:eastAsia="en-GB"/>
              </w:rPr>
            </w:pPr>
          </w:p>
        </w:tc>
        <w:tc>
          <w:tcPr>
            <w:tcW w:w="2126"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Regional transport policies and regulatory frameworks developed</w:t>
            </w:r>
          </w:p>
        </w:tc>
        <w:tc>
          <w:tcPr>
            <w:tcW w:w="2182"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Partnerships, linkages and joint ventures developed between economic operators</w:t>
            </w:r>
          </w:p>
        </w:tc>
        <w:tc>
          <w:tcPr>
            <w:tcW w:w="2183"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Improved safety and reliability of the transport sector</w:t>
            </w:r>
          </w:p>
          <w:p>
            <w:pPr>
              <w:autoSpaceDE w:val="0"/>
              <w:autoSpaceDN w:val="0"/>
              <w:adjustRightInd w:val="0"/>
              <w:spacing w:before="40" w:after="40"/>
              <w:jc w:val="left"/>
              <w:rPr>
                <w:rFonts w:eastAsia="Times New Roman"/>
                <w:noProof/>
                <w:sz w:val="20"/>
                <w:szCs w:val="20"/>
                <w:lang w:eastAsia="en-GB"/>
              </w:rPr>
            </w:pPr>
          </w:p>
        </w:tc>
        <w:tc>
          <w:tcPr>
            <w:tcW w:w="2551" w:type="dxa"/>
            <w:tcBorders>
              <w:top w:val="nil"/>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new credible investments (including PPP agreements)</w:t>
            </w:r>
          </w:p>
        </w:tc>
      </w:tr>
      <w:tr>
        <w:tc>
          <w:tcPr>
            <w:tcW w:w="2269" w:type="dxa"/>
            <w:tcBorders>
              <w:top w:val="nil"/>
              <w:left w:val="single" w:sz="24" w:space="0" w:color="000000"/>
              <w:bottom w:val="single" w:sz="4" w:space="0" w:color="000000"/>
            </w:tcBorders>
            <w:shd w:val="clear" w:color="auto" w:fill="auto"/>
          </w:tcPr>
          <w:p>
            <w:pPr>
              <w:spacing w:before="40" w:after="40"/>
              <w:ind w:left="-6"/>
              <w:jc w:val="left"/>
              <w:rPr>
                <w:rFonts w:eastAsia="Times New Roman"/>
                <w:b/>
                <w:bCs/>
                <w:noProof/>
                <w:sz w:val="20"/>
                <w:szCs w:val="20"/>
                <w:lang w:eastAsia="en-GB"/>
              </w:rPr>
            </w:pPr>
          </w:p>
        </w:tc>
        <w:tc>
          <w:tcPr>
            <w:tcW w:w="2126" w:type="dxa"/>
            <w:tcBorders>
              <w:top w:val="nil"/>
              <w:bottom w:val="single" w:sz="4" w:space="0" w:color="000000"/>
            </w:tcBorders>
          </w:tcPr>
          <w:p>
            <w:pPr>
              <w:spacing w:before="40" w:after="40"/>
              <w:jc w:val="left"/>
              <w:rPr>
                <w:rFonts w:eastAsia="Times New Roman"/>
                <w:noProof/>
                <w:sz w:val="20"/>
                <w:szCs w:val="20"/>
                <w:lang w:eastAsia="en-GB"/>
              </w:rPr>
            </w:pPr>
          </w:p>
        </w:tc>
        <w:tc>
          <w:tcPr>
            <w:tcW w:w="2268" w:type="dxa"/>
            <w:tcBorders>
              <w:top w:val="nil"/>
              <w:bottom w:val="single" w:sz="4" w:space="0" w:color="000000"/>
            </w:tcBorders>
          </w:tcPr>
          <w:p>
            <w:pPr>
              <w:spacing w:before="40" w:after="40"/>
              <w:jc w:val="left"/>
              <w:rPr>
                <w:rFonts w:eastAsia="Times New Roman"/>
                <w:noProof/>
                <w:sz w:val="20"/>
                <w:szCs w:val="20"/>
                <w:lang w:eastAsia="en-GB"/>
              </w:rPr>
            </w:pPr>
          </w:p>
        </w:tc>
        <w:tc>
          <w:tcPr>
            <w:tcW w:w="2126"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Institutional, technical and administrative capacities of transport related institutions strengthened</w:t>
            </w:r>
          </w:p>
        </w:tc>
        <w:tc>
          <w:tcPr>
            <w:tcW w:w="2182" w:type="dxa"/>
            <w:tcBorders>
              <w:top w:val="nil"/>
              <w:bottom w:val="single" w:sz="4" w:space="0" w:color="000000"/>
            </w:tcBorders>
          </w:tcPr>
          <w:p>
            <w:pPr>
              <w:autoSpaceDE w:val="0"/>
              <w:autoSpaceDN w:val="0"/>
              <w:adjustRightInd w:val="0"/>
              <w:spacing w:before="40" w:after="40"/>
              <w:jc w:val="left"/>
              <w:rPr>
                <w:rFonts w:eastAsia="Times New Roman"/>
                <w:noProof/>
                <w:sz w:val="20"/>
                <w:szCs w:val="20"/>
                <w:lang w:eastAsia="en-GB"/>
              </w:rPr>
            </w:pP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Improved movement of human and vehicular traffic (including flow of goods)</w:t>
            </w:r>
          </w:p>
        </w:tc>
        <w:tc>
          <w:tcPr>
            <w:tcW w:w="2551" w:type="dxa"/>
            <w:tcBorders>
              <w:top w:val="nil"/>
              <w:bottom w:val="single" w:sz="4" w:space="0" w:color="000000"/>
              <w:right w:val="single" w:sz="24" w:space="0" w:color="000000"/>
            </w:tcBorders>
          </w:tcPr>
          <w:p>
            <w:pPr>
              <w:autoSpaceDE w:val="0"/>
              <w:autoSpaceDN w:val="0"/>
              <w:adjustRightInd w:val="0"/>
              <w:spacing w:before="40" w:after="40"/>
              <w:jc w:val="left"/>
              <w:rPr>
                <w:rFonts w:eastAsia="Times New Roman"/>
                <w:noProof/>
                <w:sz w:val="20"/>
                <w:szCs w:val="20"/>
                <w:lang w:eastAsia="en-GB"/>
              </w:rPr>
            </w:pPr>
          </w:p>
        </w:tc>
      </w:tr>
      <w:tr>
        <w:trPr>
          <w:trHeight w:val="2826"/>
        </w:trPr>
        <w:tc>
          <w:tcPr>
            <w:tcW w:w="2269" w:type="dxa"/>
            <w:tcBorders>
              <w:top w:val="single" w:sz="4" w:space="0" w:color="000000"/>
              <w:left w:val="single" w:sz="24" w:space="0" w:color="000000"/>
              <w:bottom w:val="single" w:sz="4" w:space="0" w:color="000000"/>
            </w:tcBorders>
            <w:shd w:val="clear" w:color="auto" w:fill="auto"/>
          </w:tcPr>
          <w:p>
            <w:pPr>
              <w:numPr>
                <w:ilvl w:val="1"/>
                <w:numId w:val="30"/>
              </w:numPr>
              <w:spacing w:before="40" w:after="40"/>
              <w:ind w:left="426"/>
              <w:jc w:val="left"/>
              <w:rPr>
                <w:rFonts w:eastAsia="Times New Roman"/>
                <w:b/>
                <w:bCs/>
                <w:noProof/>
                <w:sz w:val="20"/>
                <w:szCs w:val="20"/>
                <w:lang w:eastAsia="en-GB"/>
              </w:rPr>
            </w:pPr>
            <w:r>
              <w:rPr>
                <w:rFonts w:eastAsia="Times New Roman"/>
                <w:b/>
                <w:bCs/>
                <w:noProof/>
                <w:sz w:val="20"/>
                <w:szCs w:val="20"/>
                <w:lang w:eastAsia="en-GB"/>
              </w:rPr>
              <w:t>Information &amp; Communication Technology (ICT)</w:t>
            </w:r>
          </w:p>
        </w:tc>
        <w:tc>
          <w:tcPr>
            <w:tcW w:w="2126" w:type="dxa"/>
            <w:tcBorders>
              <w:top w:val="single" w:sz="4" w:space="0" w:color="000000"/>
              <w:bottom w:val="single" w:sz="4" w:space="0" w:color="000000"/>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To develop and modernize ICT infrastructure in order to facilitate intra and inter regional trade and service delivery</w:t>
            </w:r>
          </w:p>
          <w:p>
            <w:pPr>
              <w:autoSpaceDE w:val="0"/>
              <w:autoSpaceDN w:val="0"/>
              <w:adjustRightInd w:val="0"/>
              <w:spacing w:before="40" w:after="40"/>
              <w:jc w:val="left"/>
              <w:rPr>
                <w:rFonts w:eastAsia="Times New Roman"/>
                <w:noProof/>
                <w:sz w:val="20"/>
                <w:szCs w:val="20"/>
                <w:lang w:eastAsia="en-GB"/>
              </w:rPr>
            </w:pPr>
          </w:p>
        </w:tc>
        <w:tc>
          <w:tcPr>
            <w:tcW w:w="2268" w:type="dxa"/>
            <w:vMerge w:val="restart"/>
            <w:tcBorders>
              <w:top w:val="single" w:sz="4" w:space="0" w:color="000000"/>
              <w:bottom w:val="single" w:sz="4" w:space="0" w:color="000000"/>
            </w:tcBorders>
          </w:tcPr>
          <w:p>
            <w:pPr>
              <w:spacing w:before="40" w:after="40"/>
              <w:jc w:val="left"/>
              <w:rPr>
                <w:rFonts w:eastAsia="Times New Roman"/>
                <w:noProof/>
                <w:sz w:val="20"/>
                <w:szCs w:val="20"/>
                <w:lang w:eastAsia="en-GB"/>
              </w:rPr>
            </w:pPr>
            <w:r>
              <w:rPr>
                <w:rFonts w:eastAsia="Times New Roman"/>
                <w:noProof/>
                <w:sz w:val="20"/>
                <w:szCs w:val="20"/>
                <w:lang w:eastAsia="en-GB"/>
              </w:rPr>
              <w:t xml:space="preserve">All EAC Partner States are connected through fibre optic. However, ICT is expensive and only about 13% of the population have access to internet and about 50% of the population are mobile phone subscribers. </w:t>
            </w:r>
          </w:p>
        </w:tc>
        <w:tc>
          <w:tcPr>
            <w:tcW w:w="2126"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Seamless cross border ICT infrastructure developed</w:t>
            </w:r>
          </w:p>
        </w:tc>
        <w:tc>
          <w:tcPr>
            <w:tcW w:w="2182"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80% of the business community is connected to high speed links</w:t>
            </w:r>
          </w:p>
        </w:tc>
        <w:tc>
          <w:tcPr>
            <w:tcW w:w="2183"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Secured transactions and services (e.g. e-services, e-commerce, e-government, e-health)</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Internet access tariffs reduced by 60 %</w:t>
            </w:r>
          </w:p>
        </w:tc>
        <w:tc>
          <w:tcPr>
            <w:tcW w:w="2551" w:type="dxa"/>
            <w:tcBorders>
              <w:top w:val="single" w:sz="4" w:space="0" w:color="000000"/>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seamless cross border ICT infrastructure developed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in bandwidth</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 cost reduction for internet access </w:t>
            </w:r>
          </w:p>
        </w:tc>
      </w:tr>
      <w:tr>
        <w:tc>
          <w:tcPr>
            <w:tcW w:w="2269" w:type="dxa"/>
            <w:tcBorders>
              <w:top w:val="single" w:sz="4" w:space="0" w:color="000000"/>
              <w:left w:val="single" w:sz="24" w:space="0" w:color="000000"/>
              <w:bottom w:val="nil"/>
            </w:tcBorders>
            <w:shd w:val="clear" w:color="auto" w:fill="auto"/>
          </w:tcPr>
          <w:p>
            <w:pPr>
              <w:spacing w:before="40" w:after="40"/>
              <w:jc w:val="left"/>
              <w:rPr>
                <w:rFonts w:eastAsia="Times New Roman"/>
                <w:noProof/>
                <w:sz w:val="20"/>
                <w:szCs w:val="20"/>
                <w:lang w:eastAsia="en-GB"/>
              </w:rPr>
            </w:pPr>
          </w:p>
        </w:tc>
        <w:tc>
          <w:tcPr>
            <w:tcW w:w="2126" w:type="dxa"/>
            <w:tcBorders>
              <w:top w:val="single" w:sz="4" w:space="0" w:color="000000"/>
              <w:bottom w:val="nil"/>
            </w:tcBorders>
          </w:tcPr>
          <w:p>
            <w:pPr>
              <w:spacing w:before="40" w:after="40"/>
              <w:jc w:val="left"/>
              <w:rPr>
                <w:rFonts w:eastAsia="Times New Roman"/>
                <w:noProof/>
                <w:sz w:val="20"/>
                <w:szCs w:val="20"/>
                <w:lang w:eastAsia="en-GB"/>
              </w:rPr>
            </w:pPr>
          </w:p>
        </w:tc>
        <w:tc>
          <w:tcPr>
            <w:tcW w:w="2268" w:type="dxa"/>
            <w:vMerge/>
            <w:tcBorders>
              <w:top w:val="single" w:sz="4" w:space="0" w:color="000000"/>
              <w:bottom w:val="nil"/>
            </w:tcBorders>
          </w:tcPr>
          <w:p>
            <w:pPr>
              <w:spacing w:before="40" w:after="40"/>
              <w:jc w:val="left"/>
              <w:rPr>
                <w:rFonts w:eastAsia="Times New Roman"/>
                <w:noProof/>
                <w:sz w:val="20"/>
                <w:szCs w:val="20"/>
                <w:lang w:eastAsia="en-GB"/>
              </w:rPr>
            </w:pPr>
          </w:p>
        </w:tc>
        <w:tc>
          <w:tcPr>
            <w:tcW w:w="2126" w:type="dxa"/>
            <w:tcBorders>
              <w:top w:val="single" w:sz="4" w:space="0" w:color="000000"/>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20% of the population have access to internet and about 60% of the population are mobile phone subscribers.</w:t>
            </w:r>
          </w:p>
        </w:tc>
        <w:tc>
          <w:tcPr>
            <w:tcW w:w="2182" w:type="dxa"/>
            <w:tcBorders>
              <w:top w:val="single" w:sz="4" w:space="0" w:color="000000"/>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40% of the population have access to internet and about 75% of the population are mobile phone subscribers.</w:t>
            </w:r>
          </w:p>
        </w:tc>
        <w:tc>
          <w:tcPr>
            <w:tcW w:w="2183" w:type="dxa"/>
            <w:tcBorders>
              <w:top w:val="single" w:sz="4" w:space="0" w:color="000000"/>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 60% of the population have access to internet and about 90% of the population are mobile phone subscribers.</w:t>
            </w:r>
          </w:p>
        </w:tc>
        <w:tc>
          <w:tcPr>
            <w:tcW w:w="2551" w:type="dxa"/>
            <w:tcBorders>
              <w:top w:val="single" w:sz="4" w:space="0" w:color="000000"/>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of business transactions online</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of increase of telephone and mobile phone subscribers and internet users</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eastAsia="en-GB"/>
              </w:rPr>
            </w:pPr>
          </w:p>
        </w:tc>
        <w:tc>
          <w:tcPr>
            <w:tcW w:w="2126" w:type="dxa"/>
            <w:tcBorders>
              <w:top w:val="nil"/>
              <w:bottom w:val="nil"/>
            </w:tcBorders>
          </w:tcPr>
          <w:p>
            <w:pPr>
              <w:spacing w:before="40" w:after="40"/>
              <w:jc w:val="left"/>
              <w:rPr>
                <w:rFonts w:eastAsia="Times New Roman"/>
                <w:noProof/>
                <w:sz w:val="20"/>
                <w:szCs w:val="20"/>
                <w:lang w:eastAsia="en-GB"/>
              </w:rPr>
            </w:pPr>
          </w:p>
        </w:tc>
        <w:tc>
          <w:tcPr>
            <w:tcW w:w="2268" w:type="dxa"/>
            <w:tcBorders>
              <w:top w:val="nil"/>
              <w:bottom w:val="nil"/>
            </w:tcBorders>
          </w:tcPr>
          <w:p>
            <w:pPr>
              <w:spacing w:before="40" w:after="40"/>
              <w:jc w:val="left"/>
              <w:rPr>
                <w:rFonts w:eastAsia="Times New Roman"/>
                <w:noProof/>
                <w:sz w:val="20"/>
                <w:szCs w:val="20"/>
                <w:lang w:eastAsia="en-GB"/>
              </w:rPr>
            </w:pPr>
          </w:p>
        </w:tc>
        <w:tc>
          <w:tcPr>
            <w:tcW w:w="2126"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Capacity building in human resources, improvement in service standards and institutional structures </w:t>
            </w:r>
          </w:p>
        </w:tc>
        <w:tc>
          <w:tcPr>
            <w:tcW w:w="2182"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Partnership linkages and joint ventures between economic operators developed </w:t>
            </w:r>
          </w:p>
          <w:p>
            <w:pPr>
              <w:autoSpaceDE w:val="0"/>
              <w:autoSpaceDN w:val="0"/>
              <w:adjustRightInd w:val="0"/>
              <w:spacing w:before="40" w:after="40"/>
              <w:ind w:left="196"/>
              <w:jc w:val="left"/>
              <w:rPr>
                <w:rFonts w:eastAsia="Times New Roman"/>
                <w:noProof/>
                <w:sz w:val="20"/>
                <w:szCs w:val="20"/>
                <w:lang w:eastAsia="en-GB"/>
              </w:rPr>
            </w:pPr>
          </w:p>
        </w:tc>
        <w:tc>
          <w:tcPr>
            <w:tcW w:w="2183" w:type="dxa"/>
            <w:tcBorders>
              <w:top w:val="nil"/>
              <w:bottom w:val="nil"/>
            </w:tcBorders>
          </w:tcPr>
          <w:p>
            <w:pPr>
              <w:autoSpaceDE w:val="0"/>
              <w:autoSpaceDN w:val="0"/>
              <w:adjustRightInd w:val="0"/>
              <w:spacing w:before="40" w:after="40"/>
              <w:jc w:val="left"/>
              <w:rPr>
                <w:rFonts w:eastAsia="Times New Roman"/>
                <w:noProof/>
                <w:sz w:val="20"/>
                <w:szCs w:val="20"/>
                <w:lang w:eastAsia="en-GB"/>
              </w:rPr>
            </w:pPr>
          </w:p>
        </w:tc>
        <w:tc>
          <w:tcPr>
            <w:tcW w:w="2551" w:type="dxa"/>
            <w:tcBorders>
              <w:top w:val="nil"/>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new credible investments (including PPP agreements)</w:t>
            </w:r>
          </w:p>
          <w:p>
            <w:pPr>
              <w:autoSpaceDE w:val="0"/>
              <w:autoSpaceDN w:val="0"/>
              <w:adjustRightInd w:val="0"/>
              <w:spacing w:before="40" w:after="40"/>
              <w:ind w:left="196"/>
              <w:jc w:val="left"/>
              <w:rPr>
                <w:rFonts w:eastAsia="Times New Roman"/>
                <w:noProof/>
                <w:sz w:val="20"/>
                <w:szCs w:val="20"/>
                <w:lang w:eastAsia="en-GB"/>
              </w:rPr>
            </w:pPr>
          </w:p>
        </w:tc>
      </w:tr>
      <w:tr>
        <w:trPr>
          <w:trHeight w:val="1731"/>
        </w:trP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lang w:eastAsia="en-GB"/>
              </w:rPr>
            </w:pPr>
          </w:p>
        </w:tc>
        <w:tc>
          <w:tcPr>
            <w:tcW w:w="2126" w:type="dxa"/>
            <w:tcBorders>
              <w:top w:val="nil"/>
              <w:bottom w:val="single" w:sz="24" w:space="0" w:color="000000"/>
            </w:tcBorders>
          </w:tcPr>
          <w:p>
            <w:pPr>
              <w:spacing w:before="40" w:after="40"/>
              <w:jc w:val="left"/>
              <w:rPr>
                <w:rFonts w:eastAsia="Times New Roman"/>
                <w:noProof/>
                <w:sz w:val="20"/>
                <w:szCs w:val="20"/>
                <w:lang w:eastAsia="en-GB"/>
              </w:rPr>
            </w:pPr>
          </w:p>
        </w:tc>
        <w:tc>
          <w:tcPr>
            <w:tcW w:w="2268" w:type="dxa"/>
            <w:tcBorders>
              <w:top w:val="nil"/>
              <w:bottom w:val="single" w:sz="24" w:space="0" w:color="000000"/>
            </w:tcBorders>
          </w:tcPr>
          <w:p>
            <w:pPr>
              <w:spacing w:before="40" w:after="40"/>
              <w:jc w:val="left"/>
              <w:rPr>
                <w:rFonts w:eastAsia="Times New Roman"/>
                <w:noProof/>
                <w:sz w:val="20"/>
                <w:szCs w:val="20"/>
                <w:lang w:eastAsia="en-GB"/>
              </w:rPr>
            </w:pPr>
          </w:p>
        </w:tc>
        <w:tc>
          <w:tcPr>
            <w:tcW w:w="2126" w:type="dxa"/>
            <w:tcBorders>
              <w:top w:val="nil"/>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Legal and regulatory frameworks on ICT developed and harmonised </w:t>
            </w:r>
          </w:p>
        </w:tc>
        <w:tc>
          <w:tcPr>
            <w:tcW w:w="2182" w:type="dxa"/>
            <w:tcBorders>
              <w:top w:val="nil"/>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Technology development, transfer and applications, R&amp;D, innovation</w:t>
            </w:r>
          </w:p>
        </w:tc>
        <w:tc>
          <w:tcPr>
            <w:tcW w:w="2183" w:type="dxa"/>
            <w:tcBorders>
              <w:top w:val="nil"/>
              <w:bottom w:val="single" w:sz="24" w:space="0" w:color="000000"/>
            </w:tcBorders>
          </w:tcPr>
          <w:p>
            <w:pPr>
              <w:autoSpaceDE w:val="0"/>
              <w:autoSpaceDN w:val="0"/>
              <w:adjustRightInd w:val="0"/>
              <w:spacing w:before="40" w:after="40"/>
              <w:jc w:val="left"/>
              <w:rPr>
                <w:rFonts w:eastAsia="Times New Roman"/>
                <w:noProof/>
                <w:sz w:val="20"/>
                <w:szCs w:val="20"/>
                <w:lang w:eastAsia="en-GB"/>
              </w:rPr>
            </w:pPr>
          </w:p>
        </w:tc>
        <w:tc>
          <w:tcPr>
            <w:tcW w:w="2551" w:type="dxa"/>
            <w:tcBorders>
              <w:top w:val="nil"/>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 increase in number of ICT specialists </w:t>
            </w:r>
          </w:p>
          <w:p>
            <w:pPr>
              <w:autoSpaceDE w:val="0"/>
              <w:autoSpaceDN w:val="0"/>
              <w:adjustRightInd w:val="0"/>
              <w:spacing w:before="40" w:after="40"/>
              <w:ind w:left="196"/>
              <w:jc w:val="left"/>
              <w:rPr>
                <w:rFonts w:eastAsia="Times New Roman"/>
                <w:noProof/>
                <w:sz w:val="20"/>
                <w:szCs w:val="20"/>
                <w:lang w:eastAsia="en-GB"/>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noProof/>
                <w:sz w:val="20"/>
                <w:szCs w:val="20"/>
                <w:u w:val="single"/>
                <w:lang w:eastAsia="en-GB"/>
              </w:rPr>
            </w:pPr>
            <w:r>
              <w:rPr>
                <w:rFonts w:eastAsia="Times New Roman"/>
                <w:b/>
                <w:bCs/>
                <w:noProof/>
                <w:sz w:val="20"/>
                <w:szCs w:val="20"/>
                <w:u w:val="single"/>
                <w:lang w:eastAsia="en-GB"/>
              </w:rPr>
              <w:t>Agriculture and Livestock</w:t>
            </w:r>
          </w:p>
        </w:tc>
      </w:tr>
      <w:tr>
        <w:tc>
          <w:tcPr>
            <w:tcW w:w="2269" w:type="dxa"/>
            <w:tcBorders>
              <w:top w:val="nil"/>
              <w:left w:val="single" w:sz="24" w:space="0" w:color="000000"/>
              <w:bottom w:val="nil"/>
            </w:tcBorders>
            <w:shd w:val="clear" w:color="auto" w:fill="auto"/>
          </w:tcPr>
          <w:p>
            <w:pPr>
              <w:spacing w:before="40" w:after="40"/>
              <w:ind w:left="360"/>
              <w:jc w:val="left"/>
              <w:rPr>
                <w:rFonts w:eastAsia="Times New Roman"/>
                <w:b/>
                <w:bCs/>
                <w:noProof/>
                <w:sz w:val="20"/>
                <w:szCs w:val="20"/>
                <w:lang w:eastAsia="en-GB"/>
              </w:rPr>
            </w:pPr>
          </w:p>
        </w:tc>
        <w:tc>
          <w:tcPr>
            <w:tcW w:w="2126" w:type="dxa"/>
            <w:tcBorders>
              <w:top w:val="nil"/>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To improve production and productivity</w:t>
            </w:r>
          </w:p>
        </w:tc>
        <w:tc>
          <w:tcPr>
            <w:tcW w:w="2268" w:type="dxa"/>
            <w:tcBorders>
              <w:top w:val="nil"/>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 xml:space="preserve">(To improve production and productivity of major crops (coffee, tea, and sugarcane) from 10.95 million tonnes </w:t>
            </w:r>
          </w:p>
        </w:tc>
        <w:tc>
          <w:tcPr>
            <w:tcW w:w="2126" w:type="dxa"/>
            <w:tcBorders>
              <w:top w:val="nil"/>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Increased production and productivity of crops and livestock by 15%</w:t>
            </w:r>
          </w:p>
        </w:tc>
        <w:tc>
          <w:tcPr>
            <w:tcW w:w="2182" w:type="dxa"/>
            <w:tcBorders>
              <w:top w:val="nil"/>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Increased production and productivity of crops and livestock by 25%</w:t>
            </w:r>
          </w:p>
        </w:tc>
        <w:tc>
          <w:tcPr>
            <w:tcW w:w="2183" w:type="dxa"/>
            <w:tcBorders>
              <w:top w:val="nil"/>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Increased production and productivity of crops and livestock by 30%</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Increased Regional food security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volume of agricultural exports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of agricultural production in the region</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Removal of NTBs in EAC</w:t>
            </w:r>
          </w:p>
        </w:tc>
      </w:tr>
      <w:tr>
        <w:trPr>
          <w:trHeight w:val="1353"/>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lang w:eastAsia="en-GB"/>
              </w:rPr>
            </w:pPr>
          </w:p>
        </w:tc>
        <w:tc>
          <w:tcPr>
            <w:tcW w:w="2268"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To increase production and productivity of livestock (cattle, sheep, goats, pigs, poultry) from 56.6 million, 32.3 million, 61.9 million, 7.9 million and 143 million respectively</w:t>
            </w:r>
          </w:p>
        </w:tc>
        <w:tc>
          <w:tcPr>
            <w:tcW w:w="2126" w:type="dxa"/>
            <w:tcBorders>
              <w:top w:val="single" w:sz="4" w:space="0" w:color="auto"/>
              <w:bottom w:val="single" w:sz="4" w:space="0" w:color="auto"/>
            </w:tcBorders>
          </w:tcPr>
          <w:p>
            <w:pPr>
              <w:spacing w:before="40" w:after="40"/>
              <w:ind w:left="-20"/>
              <w:rPr>
                <w:rFonts w:eastAsia="Calibri"/>
                <w:noProof/>
                <w:sz w:val="20"/>
                <w:szCs w:val="20"/>
                <w:lang w:eastAsia="en-GB"/>
              </w:rPr>
            </w:pPr>
            <w:r>
              <w:rPr>
                <w:rFonts w:eastAsia="Times New Roman"/>
                <w:noProof/>
                <w:sz w:val="20"/>
                <w:szCs w:val="20"/>
                <w:lang w:eastAsia="en-GB"/>
              </w:rPr>
              <w:t>Increased production and productivity of livestock (cattle by 10%, sheep by 25%, goats by 4%, pigs by 20%, poultry by10%</w:t>
            </w:r>
          </w:p>
        </w:tc>
        <w:tc>
          <w:tcPr>
            <w:tcW w:w="2182" w:type="dxa"/>
            <w:tcBorders>
              <w:top w:val="single" w:sz="4" w:space="0" w:color="auto"/>
              <w:bottom w:val="single" w:sz="4" w:space="0" w:color="auto"/>
            </w:tcBorders>
          </w:tcPr>
          <w:p>
            <w:pPr>
              <w:autoSpaceDE w:val="0"/>
              <w:autoSpaceDN w:val="0"/>
              <w:adjustRightInd w:val="0"/>
              <w:spacing w:before="40" w:after="40"/>
              <w:ind w:left="66"/>
              <w:jc w:val="left"/>
              <w:rPr>
                <w:rFonts w:eastAsia="Times New Roman"/>
                <w:noProof/>
                <w:sz w:val="20"/>
                <w:szCs w:val="20"/>
                <w:lang w:eastAsia="en-GB"/>
              </w:rPr>
            </w:pPr>
            <w:r>
              <w:rPr>
                <w:rFonts w:eastAsia="Times New Roman"/>
                <w:noProof/>
                <w:sz w:val="20"/>
                <w:szCs w:val="20"/>
                <w:lang w:eastAsia="en-GB"/>
              </w:rPr>
              <w:t>Increased production and productivity of livestock (cattle by 15%, sheep by 30%, goats by 10%, pigs by 25%, poultry by15%</w:t>
            </w:r>
          </w:p>
        </w:tc>
        <w:tc>
          <w:tcPr>
            <w:tcW w:w="2183"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Increased production and productivity of livestock (cattle by 20%, sheep by 35%, goats by 15%, pigs by 30%, poultry by 20%</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Increased regional food security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of livestock production in the region</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volume of livestock exports</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To improve and develop agro-industry (value addition)</w:t>
            </w:r>
          </w:p>
        </w:tc>
        <w:tc>
          <w:tcPr>
            <w:tcW w:w="2268"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rFonts w:eastAsia="Times New Roman"/>
                <w:noProof/>
                <w:sz w:val="20"/>
                <w:szCs w:val="20"/>
              </w:rPr>
              <w:t xml:space="preserve">The % of value added exports is currently less than 10% </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color w:val="000000"/>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 xml:space="preserve">The % of value added exports is increased to at least 20% </w:t>
            </w:r>
          </w:p>
          <w:p>
            <w:pPr>
              <w:spacing w:before="40" w:after="40"/>
              <w:jc w:val="left"/>
              <w:rPr>
                <w:rFonts w:eastAsia="Times New Roman"/>
                <w:noProof/>
                <w:sz w:val="20"/>
                <w:szCs w:val="20"/>
                <w:lang w:eastAsia="en-GB"/>
              </w:rPr>
            </w:pPr>
          </w:p>
        </w:tc>
        <w:tc>
          <w:tcPr>
            <w:tcW w:w="2182"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 xml:space="preserve">The % of value added exports is increased to at least 50% </w:t>
            </w:r>
          </w:p>
          <w:p>
            <w:pPr>
              <w:spacing w:before="40" w:after="40"/>
              <w:jc w:val="left"/>
              <w:rPr>
                <w:rFonts w:eastAsia="Times New Roman"/>
                <w:noProof/>
                <w:sz w:val="20"/>
                <w:szCs w:val="20"/>
                <w:lang w:eastAsia="en-GB"/>
              </w:rPr>
            </w:pPr>
          </w:p>
          <w:p>
            <w:pPr>
              <w:spacing w:before="40" w:after="40"/>
              <w:jc w:val="left"/>
              <w:rPr>
                <w:rFonts w:eastAsia="Times New Roman"/>
                <w:noProof/>
                <w:sz w:val="20"/>
                <w:szCs w:val="20"/>
                <w:lang w:eastAsia="en-GB"/>
              </w:rPr>
            </w:pPr>
          </w:p>
          <w:p>
            <w:pPr>
              <w:spacing w:before="40" w:after="40"/>
              <w:jc w:val="left"/>
              <w:rPr>
                <w:rFonts w:eastAsia="Times New Roman"/>
                <w:noProof/>
                <w:sz w:val="20"/>
                <w:szCs w:val="20"/>
                <w:lang w:eastAsia="en-GB"/>
              </w:rPr>
            </w:pPr>
          </w:p>
        </w:tc>
        <w:tc>
          <w:tcPr>
            <w:tcW w:w="2183"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 xml:space="preserve">The % of value added exports is increased to at least 75% </w:t>
            </w:r>
          </w:p>
          <w:p>
            <w:pPr>
              <w:spacing w:before="40" w:after="40"/>
              <w:jc w:val="left"/>
              <w:rPr>
                <w:rFonts w:eastAsia="Times New Roman"/>
                <w:noProof/>
                <w:sz w:val="20"/>
                <w:szCs w:val="20"/>
                <w:lang w:eastAsia="en-GB"/>
              </w:rPr>
            </w:pPr>
          </w:p>
          <w:p>
            <w:pPr>
              <w:spacing w:before="40" w:after="40"/>
              <w:jc w:val="left"/>
              <w:rPr>
                <w:rFonts w:eastAsia="Times New Roman"/>
                <w:noProof/>
                <w:sz w:val="20"/>
                <w:szCs w:val="20"/>
                <w:lang w:eastAsia="en-GB"/>
              </w:rPr>
            </w:pPr>
          </w:p>
          <w:p>
            <w:pPr>
              <w:spacing w:before="40" w:after="40"/>
              <w:jc w:val="left"/>
              <w:rPr>
                <w:rFonts w:eastAsia="Times New Roman"/>
                <w:noProof/>
                <w:sz w:val="20"/>
                <w:szCs w:val="20"/>
                <w:lang w:eastAsia="en-GB"/>
              </w:rPr>
            </w:pPr>
          </w:p>
        </w:tc>
        <w:tc>
          <w:tcPr>
            <w:tcW w:w="2551" w:type="dxa"/>
            <w:tcBorders>
              <w:top w:val="single" w:sz="4" w:space="0" w:color="auto"/>
              <w:bottom w:val="single" w:sz="4" w:space="0" w:color="auto"/>
              <w:right w:val="single" w:sz="24" w:space="0" w:color="000000"/>
            </w:tcBorders>
          </w:tcPr>
          <w:p>
            <w:pPr>
              <w:autoSpaceDE w:val="0"/>
              <w:autoSpaceDN w:val="0"/>
              <w:adjustRightInd w:val="0"/>
              <w:spacing w:before="40" w:after="40"/>
              <w:jc w:val="left"/>
              <w:rPr>
                <w:rFonts w:eastAsia="Times New Roman"/>
                <w:noProof/>
                <w:sz w:val="20"/>
                <w:szCs w:val="20"/>
                <w:lang w:eastAsia="en-GB"/>
              </w:rPr>
            </w:pP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of value addition of primary products traded to total exports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Number of modern and competitive agro-based industries established </w:t>
            </w:r>
          </w:p>
          <w:p>
            <w:pPr>
              <w:autoSpaceDE w:val="0"/>
              <w:autoSpaceDN w:val="0"/>
              <w:adjustRightInd w:val="0"/>
              <w:spacing w:before="40" w:after="40"/>
              <w:jc w:val="left"/>
              <w:rPr>
                <w:rFonts w:eastAsia="Times New Roman"/>
                <w:noProof/>
                <w:sz w:val="20"/>
                <w:szCs w:val="20"/>
                <w:lang w:eastAsia="en-GB"/>
              </w:rPr>
            </w:pPr>
          </w:p>
        </w:tc>
      </w:tr>
      <w:tr>
        <w:trPr>
          <w:trHeight w:val="914"/>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vMerge w:val="restart"/>
            <w:tcBorders>
              <w:top w:val="single" w:sz="4" w:space="0" w:color="auto"/>
            </w:tcBorders>
          </w:tcPr>
          <w:p>
            <w:pPr>
              <w:spacing w:before="40" w:after="40"/>
              <w:jc w:val="left"/>
              <w:rPr>
                <w:rFonts w:eastAsia="Times New Roman"/>
                <w:noProof/>
                <w:sz w:val="20"/>
                <w:szCs w:val="20"/>
                <w:highlight w:val="yellow"/>
                <w:lang w:eastAsia="en-GB"/>
              </w:rPr>
            </w:pPr>
            <w:r>
              <w:rPr>
                <w:rFonts w:eastAsia="Times New Roman"/>
                <w:noProof/>
                <w:sz w:val="20"/>
                <w:szCs w:val="20"/>
                <w:lang w:eastAsia="en-GB"/>
              </w:rPr>
              <w:t>To improve trade and market access for agricultural commodities</w:t>
            </w:r>
          </w:p>
        </w:tc>
        <w:tc>
          <w:tcPr>
            <w:tcW w:w="2268" w:type="dxa"/>
            <w:vMerge w:val="restart"/>
            <w:tcBorders>
              <w:top w:val="single" w:sz="4" w:space="0" w:color="auto"/>
            </w:tcBorders>
          </w:tcPr>
          <w:p>
            <w:pPr>
              <w:autoSpaceDE w:val="0"/>
              <w:autoSpaceDN w:val="0"/>
              <w:adjustRightInd w:val="0"/>
              <w:spacing w:before="40" w:after="40"/>
              <w:jc w:val="left"/>
              <w:rPr>
                <w:rFonts w:eastAsia="Times New Roman"/>
                <w:noProof/>
                <w:sz w:val="20"/>
                <w:szCs w:val="20"/>
                <w:highlight w:val="yellow"/>
              </w:rPr>
            </w:pPr>
            <w:r>
              <w:rPr>
                <w:rFonts w:eastAsia="Times New Roman"/>
                <w:noProof/>
                <w:sz w:val="20"/>
                <w:szCs w:val="20"/>
              </w:rPr>
              <w:t xml:space="preserve">Presently intra-regional trade share in total regional market is about 10% for most traded products </w:t>
            </w:r>
          </w:p>
        </w:tc>
        <w:tc>
          <w:tcPr>
            <w:tcW w:w="2126"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Increased intra-regional trade share to 30% </w:t>
            </w:r>
          </w:p>
        </w:tc>
        <w:tc>
          <w:tcPr>
            <w:tcW w:w="2182"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intra-regional trade share to 50%</w:t>
            </w:r>
          </w:p>
        </w:tc>
        <w:tc>
          <w:tcPr>
            <w:tcW w:w="2183"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intra-regional trade share to 80%</w:t>
            </w:r>
          </w:p>
        </w:tc>
        <w:tc>
          <w:tcPr>
            <w:tcW w:w="2551" w:type="dxa"/>
            <w:tcBorders>
              <w:top w:val="single" w:sz="4" w:space="0" w:color="auto"/>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rFonts w:eastAsia="Times New Roman"/>
                <w:noProof/>
                <w:sz w:val="20"/>
                <w:szCs w:val="20"/>
              </w:rPr>
              <w:t xml:space="preserve">% increased agricultural exports contribution to GDP </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vMerge/>
          </w:tcPr>
          <w:p>
            <w:pPr>
              <w:spacing w:before="40" w:after="40"/>
              <w:ind w:left="360"/>
              <w:jc w:val="left"/>
              <w:rPr>
                <w:rFonts w:eastAsia="Times New Roman"/>
                <w:noProof/>
                <w:color w:val="000000"/>
                <w:sz w:val="20"/>
                <w:szCs w:val="20"/>
                <w:lang w:val="en-US" w:eastAsia="en-GB"/>
              </w:rPr>
            </w:pPr>
          </w:p>
        </w:tc>
        <w:tc>
          <w:tcPr>
            <w:tcW w:w="2268" w:type="dxa"/>
            <w:vMerge/>
          </w:tcPr>
          <w:p>
            <w:pPr>
              <w:autoSpaceDE w:val="0"/>
              <w:autoSpaceDN w:val="0"/>
              <w:adjustRightInd w:val="0"/>
              <w:spacing w:before="40" w:after="40"/>
              <w:jc w:val="left"/>
              <w:rPr>
                <w:rFonts w:eastAsia="Times New Roman"/>
                <w:noProof/>
                <w:color w:val="000000"/>
                <w:sz w:val="20"/>
                <w:szCs w:val="20"/>
                <w:lang w:val="en-US"/>
              </w:rPr>
            </w:pPr>
          </w:p>
        </w:tc>
        <w:tc>
          <w:tcPr>
            <w:tcW w:w="2126"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Enhanced development of financial markets to suppor agricultural insurance and finance by 30%</w:t>
            </w:r>
          </w:p>
        </w:tc>
        <w:tc>
          <w:tcPr>
            <w:tcW w:w="2182"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Enhanced development of financial markets to support agricultural insurance and finance by 50%</w:t>
            </w:r>
          </w:p>
        </w:tc>
        <w:tc>
          <w:tcPr>
            <w:tcW w:w="2183"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Enhanced development of financial markets to support agricultural insurance and finance by 80%</w:t>
            </w:r>
          </w:p>
        </w:tc>
        <w:tc>
          <w:tcPr>
            <w:tcW w:w="2551" w:type="dxa"/>
            <w:tcBorders>
              <w:top w:val="nil"/>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financial institutions and insurance schemes established.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Number of investment in agriculture insured. </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vMerge/>
            <w:tcBorders>
              <w:bottom w:val="single" w:sz="4" w:space="0" w:color="auto"/>
            </w:tcBorders>
          </w:tcPr>
          <w:p>
            <w:pPr>
              <w:spacing w:before="40" w:after="40"/>
              <w:ind w:left="360"/>
              <w:jc w:val="left"/>
              <w:rPr>
                <w:rFonts w:eastAsia="Times New Roman"/>
                <w:noProof/>
                <w:color w:val="000000"/>
                <w:sz w:val="20"/>
                <w:szCs w:val="20"/>
                <w:lang w:val="en-US" w:eastAsia="en-GB"/>
              </w:rPr>
            </w:pPr>
          </w:p>
        </w:tc>
        <w:tc>
          <w:tcPr>
            <w:tcW w:w="2268" w:type="dxa"/>
            <w:vMerge/>
            <w:tcBorders>
              <w:bottom w:val="single" w:sz="4" w:space="0" w:color="auto"/>
            </w:tcBorders>
          </w:tcPr>
          <w:p>
            <w:pPr>
              <w:spacing w:before="40" w:after="40"/>
              <w:jc w:val="left"/>
              <w:rPr>
                <w:rFonts w:eastAsia="Times New Roman"/>
                <w:noProof/>
                <w:sz w:val="20"/>
                <w:szCs w:val="20"/>
                <w:lang w:val="en-US" w:eastAsia="en-GB"/>
              </w:rPr>
            </w:pPr>
          </w:p>
        </w:tc>
        <w:tc>
          <w:tcPr>
            <w:tcW w:w="2126"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Established and coordinated regional marketing information system </w:t>
            </w:r>
          </w:p>
        </w:tc>
        <w:tc>
          <w:tcPr>
            <w:tcW w:w="2182"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Improved marketing information system coverage by 20%</w:t>
            </w:r>
          </w:p>
        </w:tc>
        <w:tc>
          <w:tcPr>
            <w:tcW w:w="2183"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Improved marketing information system coverage by 100%.</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Investment in Research and Development.</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Regional agricultural marketing and information system in place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Harmonisation of agricultural standards in EAC</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Quality assurance, grades and certification.</w:t>
            </w:r>
          </w:p>
        </w:tc>
      </w:tr>
      <w:tr>
        <w:trPr>
          <w:trHeight w:val="2855"/>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rFonts w:eastAsia="Times New Roman"/>
                <w:noProof/>
                <w:sz w:val="20"/>
                <w:szCs w:val="20"/>
              </w:rPr>
              <w:t xml:space="preserve">To improve and develop agricultural infrastructure </w:t>
            </w:r>
          </w:p>
        </w:tc>
        <w:tc>
          <w:tcPr>
            <w:tcW w:w="2268"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rFonts w:eastAsia="Times New Roman"/>
                <w:noProof/>
                <w:sz w:val="20"/>
                <w:szCs w:val="20"/>
              </w:rPr>
              <w:t xml:space="preserve">Inadequate market infrastructure </w:t>
            </w:r>
          </w:p>
        </w:tc>
        <w:tc>
          <w:tcPr>
            <w:tcW w:w="2126"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rFonts w:eastAsia="Times New Roman"/>
                <w:noProof/>
                <w:sz w:val="20"/>
                <w:szCs w:val="20"/>
              </w:rPr>
              <w:t>Establishing new market infrastructure and upgrading existing ones to modern facilities by 20%</w:t>
            </w:r>
          </w:p>
        </w:tc>
        <w:tc>
          <w:tcPr>
            <w:tcW w:w="2182"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rFonts w:eastAsia="Times New Roman"/>
                <w:noProof/>
                <w:sz w:val="20"/>
                <w:szCs w:val="20"/>
              </w:rPr>
              <w:t>Upgrading market infrastructure to modern facilities by 40%</w:t>
            </w:r>
          </w:p>
        </w:tc>
        <w:tc>
          <w:tcPr>
            <w:tcW w:w="2183"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rFonts w:eastAsia="Times New Roman"/>
                <w:noProof/>
                <w:sz w:val="20"/>
                <w:szCs w:val="20"/>
              </w:rPr>
              <w:t>Upgrading market infrastructure to modern facilities by 100%</w:t>
            </w:r>
          </w:p>
        </w:tc>
        <w:tc>
          <w:tcPr>
            <w:tcW w:w="2551" w:type="dxa"/>
            <w:tcBorders>
              <w:top w:val="single" w:sz="4" w:space="0" w:color="auto"/>
              <w:bottom w:val="single" w:sz="4" w:space="0" w:color="auto"/>
              <w:right w:val="single" w:sz="24" w:space="0" w:color="000000"/>
            </w:tcBorders>
          </w:tcPr>
          <w:p>
            <w:pPr>
              <w:numPr>
                <w:ilvl w:val="0"/>
                <w:numId w:val="31"/>
              </w:numPr>
              <w:autoSpaceDE w:val="0"/>
              <w:autoSpaceDN w:val="0"/>
              <w:adjustRightInd w:val="0"/>
              <w:spacing w:before="40" w:after="40"/>
              <w:ind w:left="237" w:hanging="141"/>
              <w:jc w:val="left"/>
              <w:rPr>
                <w:rFonts w:eastAsia="Times New Roman"/>
                <w:noProof/>
                <w:sz w:val="20"/>
                <w:szCs w:val="20"/>
              </w:rPr>
            </w:pPr>
            <w:r>
              <w:rPr>
                <w:rFonts w:eastAsia="Times New Roman"/>
                <w:noProof/>
                <w:sz w:val="20"/>
                <w:szCs w:val="20"/>
              </w:rPr>
              <w:t xml:space="preserve">Number of constructed and rehabilitated market facilities for agricultural products. </w:t>
            </w:r>
          </w:p>
          <w:p>
            <w:pPr>
              <w:numPr>
                <w:ilvl w:val="0"/>
                <w:numId w:val="31"/>
              </w:numPr>
              <w:autoSpaceDE w:val="0"/>
              <w:autoSpaceDN w:val="0"/>
              <w:adjustRightInd w:val="0"/>
              <w:spacing w:before="40" w:after="40"/>
              <w:ind w:left="237" w:hanging="141"/>
              <w:jc w:val="left"/>
              <w:rPr>
                <w:rFonts w:eastAsia="Times New Roman"/>
                <w:noProof/>
                <w:sz w:val="20"/>
                <w:szCs w:val="20"/>
              </w:rPr>
            </w:pPr>
            <w:r>
              <w:rPr>
                <w:rFonts w:eastAsia="Times New Roman"/>
                <w:noProof/>
                <w:sz w:val="20"/>
                <w:szCs w:val="20"/>
              </w:rPr>
              <w:t>Established and upgraded market infrastructure</w:t>
            </w:r>
          </w:p>
          <w:p>
            <w:pPr>
              <w:numPr>
                <w:ilvl w:val="0"/>
                <w:numId w:val="31"/>
              </w:numPr>
              <w:autoSpaceDE w:val="0"/>
              <w:autoSpaceDN w:val="0"/>
              <w:adjustRightInd w:val="0"/>
              <w:spacing w:before="40" w:after="40"/>
              <w:ind w:left="237" w:hanging="141"/>
              <w:jc w:val="left"/>
              <w:rPr>
                <w:rFonts w:eastAsia="Times New Roman"/>
                <w:noProof/>
                <w:sz w:val="20"/>
                <w:szCs w:val="20"/>
              </w:rPr>
            </w:pPr>
            <w:r>
              <w:rPr>
                <w:rFonts w:eastAsia="Times New Roman"/>
                <w:noProof/>
                <w:sz w:val="20"/>
                <w:szCs w:val="20"/>
              </w:rPr>
              <w:t>% Increase in volume and value of intra EAC trade using the established infrastructure</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tc>
      </w:tr>
      <w:tr>
        <w:trPr>
          <w:trHeight w:val="268"/>
        </w:trP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bCs/>
                <w:noProof/>
                <w:sz w:val="20"/>
                <w:szCs w:val="20"/>
                <w:u w:val="single"/>
                <w:lang w:eastAsia="en-GB"/>
              </w:rPr>
            </w:pPr>
            <w:r>
              <w:rPr>
                <w:rFonts w:eastAsia="Times New Roman"/>
                <w:b/>
                <w:bCs/>
                <w:noProof/>
                <w:sz w:val="20"/>
                <w:szCs w:val="20"/>
                <w:u w:val="single"/>
                <w:lang w:eastAsia="en-GB"/>
              </w:rPr>
              <w:t>FISHERIES</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To promote and develop regional and international trade on fish and fish products</w:t>
            </w:r>
          </w:p>
        </w:tc>
        <w:tc>
          <w:tcPr>
            <w:tcW w:w="2268"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The fish industry is underdeveloped.</w:t>
            </w:r>
          </w:p>
          <w:p>
            <w:pPr>
              <w:spacing w:before="40" w:after="40"/>
              <w:jc w:val="left"/>
              <w:rPr>
                <w:rFonts w:eastAsia="Times New Roman"/>
                <w:noProof/>
                <w:sz w:val="20"/>
                <w:szCs w:val="20"/>
                <w:lang w:eastAsia="en-GB"/>
              </w:rPr>
            </w:pPr>
            <w:r>
              <w:rPr>
                <w:rFonts w:eastAsia="Times New Roman"/>
                <w:noProof/>
                <w:sz w:val="20"/>
                <w:szCs w:val="20"/>
                <w:lang w:eastAsia="en-GB"/>
              </w:rPr>
              <w:t>The ratio of value added of fisheries to GDP is 1.3%</w:t>
            </w:r>
          </w:p>
          <w:p>
            <w:pPr>
              <w:spacing w:before="40" w:after="40"/>
              <w:jc w:val="left"/>
              <w:rPr>
                <w:rFonts w:eastAsia="Times New Roman"/>
                <w:noProof/>
                <w:sz w:val="20"/>
                <w:szCs w:val="20"/>
                <w:lang w:eastAsia="en-GB"/>
              </w:rPr>
            </w:pPr>
          </w:p>
          <w:p>
            <w:pPr>
              <w:spacing w:before="40" w:after="40"/>
              <w:jc w:val="left"/>
              <w:rPr>
                <w:rFonts w:eastAsia="Times New Roman"/>
                <w:noProof/>
                <w:sz w:val="20"/>
                <w:szCs w:val="20"/>
                <w:lang w:eastAsia="en-GB"/>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 xml:space="preserve">The ratio of value added of fisheries to GDP is increased to 4% </w:t>
            </w:r>
          </w:p>
          <w:p>
            <w:pPr>
              <w:spacing w:before="40" w:after="40"/>
              <w:jc w:val="left"/>
              <w:rPr>
                <w:rFonts w:eastAsia="Times New Roman"/>
                <w:noProof/>
                <w:sz w:val="20"/>
                <w:szCs w:val="20"/>
                <w:lang w:eastAsia="en-GB"/>
              </w:rPr>
            </w:pPr>
          </w:p>
          <w:p>
            <w:pPr>
              <w:spacing w:before="40" w:after="40"/>
              <w:jc w:val="left"/>
              <w:rPr>
                <w:rFonts w:eastAsia="Times New Roman"/>
                <w:noProof/>
                <w:sz w:val="20"/>
                <w:szCs w:val="20"/>
                <w:lang w:eastAsia="en-GB"/>
              </w:rPr>
            </w:pPr>
            <w:r>
              <w:rPr>
                <w:rFonts w:eastAsia="Times New Roman"/>
                <w:noProof/>
                <w:sz w:val="20"/>
                <w:szCs w:val="20"/>
                <w:lang w:eastAsia="en-GB"/>
              </w:rPr>
              <w:t>Quantity of fish and fishery products marketed increased by 30 %</w:t>
            </w:r>
          </w:p>
        </w:tc>
        <w:tc>
          <w:tcPr>
            <w:tcW w:w="2182"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 xml:space="preserve">The ratio of value added of fisheries to GDP is increased to 6% </w:t>
            </w:r>
          </w:p>
          <w:p>
            <w:pPr>
              <w:spacing w:before="40" w:after="40"/>
              <w:jc w:val="left"/>
              <w:rPr>
                <w:rFonts w:eastAsia="Times New Roman"/>
                <w:noProof/>
                <w:sz w:val="20"/>
                <w:szCs w:val="20"/>
                <w:lang w:eastAsia="en-GB"/>
              </w:rPr>
            </w:pPr>
            <w:r>
              <w:rPr>
                <w:rFonts w:eastAsia="Times New Roman"/>
                <w:noProof/>
                <w:sz w:val="20"/>
                <w:szCs w:val="20"/>
                <w:lang w:eastAsia="en-GB"/>
              </w:rPr>
              <w:t>Quantity of fish and fishery products marketed increased by 60%</w:t>
            </w:r>
          </w:p>
        </w:tc>
        <w:tc>
          <w:tcPr>
            <w:tcW w:w="2183"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 xml:space="preserve">The ratio of value added of fisheries to GDP is increased to 13% </w:t>
            </w:r>
          </w:p>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Quantity of fish and fishery products marketed increased by 85%</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 share increase of of value added of fisheries to GDP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of quantity of fish and fisheries products produced and marketed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 in number of fish distribution outlets established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increase in number of secured markets. </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tcBorders>
              <w:top w:val="single" w:sz="4" w:space="0" w:color="auto"/>
              <w:bottom w:val="nil"/>
            </w:tcBorders>
          </w:tcPr>
          <w:p>
            <w:pPr>
              <w:spacing w:before="40" w:after="40"/>
              <w:jc w:val="left"/>
              <w:rPr>
                <w:rFonts w:eastAsia="Times New Roman"/>
                <w:noProof/>
                <w:sz w:val="20"/>
                <w:szCs w:val="20"/>
                <w:lang w:eastAsia="en-GB"/>
              </w:rPr>
            </w:pPr>
            <w:r>
              <w:rPr>
                <w:rFonts w:eastAsia="Times New Roman"/>
                <w:noProof/>
                <w:sz w:val="20"/>
                <w:szCs w:val="20"/>
                <w:lang w:eastAsia="en-GB"/>
              </w:rPr>
              <w:t>Develop, upgrade and modernize fisheries and aquaculture infrastructure</w:t>
            </w:r>
          </w:p>
        </w:tc>
        <w:tc>
          <w:tcPr>
            <w:tcW w:w="2268" w:type="dxa"/>
            <w:tcBorders>
              <w:top w:val="single" w:sz="4" w:space="0" w:color="auto"/>
              <w:bottom w:val="single" w:sz="4" w:space="0" w:color="auto"/>
            </w:tcBorders>
          </w:tcPr>
          <w:p>
            <w:pPr>
              <w:numPr>
                <w:ilvl w:val="0"/>
                <w:numId w:val="29"/>
              </w:numPr>
              <w:spacing w:before="40" w:after="40"/>
              <w:ind w:hanging="196"/>
              <w:jc w:val="left"/>
              <w:rPr>
                <w:rFonts w:eastAsia="Times New Roman"/>
                <w:noProof/>
                <w:sz w:val="20"/>
                <w:szCs w:val="20"/>
                <w:lang w:eastAsia="en-GB"/>
              </w:rPr>
            </w:pPr>
            <w:r>
              <w:rPr>
                <w:rFonts w:eastAsia="Times New Roman"/>
                <w:noProof/>
                <w:sz w:val="20"/>
                <w:szCs w:val="20"/>
                <w:lang w:eastAsia="en-GB"/>
              </w:rPr>
              <w:t>Inadequate modern fisheries infrastructure</w:t>
            </w:r>
          </w:p>
        </w:tc>
        <w:tc>
          <w:tcPr>
            <w:tcW w:w="2126" w:type="dxa"/>
            <w:tcBorders>
              <w:top w:val="single" w:sz="4" w:space="0" w:color="auto"/>
              <w:bottom w:val="single" w:sz="4" w:space="0" w:color="auto"/>
            </w:tcBorders>
          </w:tcPr>
          <w:p>
            <w:pPr>
              <w:numPr>
                <w:ilvl w:val="0"/>
                <w:numId w:val="29"/>
              </w:numPr>
              <w:spacing w:before="40" w:after="40"/>
              <w:ind w:hanging="196"/>
              <w:jc w:val="left"/>
              <w:rPr>
                <w:rFonts w:eastAsia="Times New Roman"/>
                <w:noProof/>
                <w:sz w:val="20"/>
                <w:szCs w:val="20"/>
                <w:lang w:eastAsia="en-GB"/>
              </w:rPr>
            </w:pPr>
            <w:r>
              <w:rPr>
                <w:rFonts w:eastAsia="Times New Roman"/>
                <w:noProof/>
                <w:sz w:val="20"/>
                <w:szCs w:val="20"/>
                <w:lang w:eastAsia="en-GB"/>
              </w:rPr>
              <w:t>Existing fishing, fish handling and processing infrastructure upgraded and modernized</w:t>
            </w:r>
          </w:p>
        </w:tc>
        <w:tc>
          <w:tcPr>
            <w:tcW w:w="2182" w:type="dxa"/>
            <w:tcBorders>
              <w:top w:val="single" w:sz="4" w:space="0" w:color="auto"/>
              <w:bottom w:val="single" w:sz="4" w:space="0" w:color="auto"/>
            </w:tcBorders>
          </w:tcPr>
          <w:p>
            <w:pPr>
              <w:tabs>
                <w:tab w:val="left" w:pos="0"/>
                <w:tab w:val="left" w:pos="34"/>
              </w:tabs>
              <w:autoSpaceDE w:val="0"/>
              <w:autoSpaceDN w:val="0"/>
              <w:adjustRightInd w:val="0"/>
              <w:spacing w:before="40" w:after="40"/>
              <w:ind w:left="34"/>
              <w:jc w:val="left"/>
              <w:rPr>
                <w:rFonts w:eastAsia="Times New Roman"/>
                <w:noProof/>
                <w:sz w:val="20"/>
                <w:szCs w:val="20"/>
                <w:lang w:eastAsia="en-GB"/>
              </w:rPr>
            </w:pPr>
            <w:r>
              <w:rPr>
                <w:rFonts w:eastAsia="Times New Roman"/>
                <w:noProof/>
                <w:sz w:val="20"/>
                <w:szCs w:val="20"/>
                <w:lang w:eastAsia="en-GB"/>
              </w:rPr>
              <w:t>New modern fisheries infrastructure established and equipped:</w:t>
            </w:r>
          </w:p>
          <w:p>
            <w:pPr>
              <w:numPr>
                <w:ilvl w:val="0"/>
                <w:numId w:val="29"/>
              </w:numPr>
              <w:autoSpaceDE w:val="0"/>
              <w:autoSpaceDN w:val="0"/>
              <w:adjustRightInd w:val="0"/>
              <w:spacing w:before="40" w:after="40"/>
              <w:ind w:left="196" w:hanging="304"/>
              <w:jc w:val="left"/>
              <w:rPr>
                <w:rFonts w:eastAsia="Times New Roman"/>
                <w:noProof/>
                <w:sz w:val="20"/>
                <w:szCs w:val="20"/>
                <w:lang w:eastAsia="en-GB"/>
              </w:rPr>
            </w:pP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3 fishing harbours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15 new boatyards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200 fish landing sites,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30 new fish markets,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15 fish processing industries and</w:t>
            </w:r>
          </w:p>
          <w:p>
            <w:pPr>
              <w:numPr>
                <w:ilvl w:val="0"/>
                <w:numId w:val="29"/>
              </w:numPr>
              <w:tabs>
                <w:tab w:val="left" w:pos="176"/>
              </w:tabs>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300 cold chain facilities</w:t>
            </w:r>
          </w:p>
          <w:p>
            <w:pPr>
              <w:tabs>
                <w:tab w:val="left" w:pos="176"/>
              </w:tabs>
              <w:autoSpaceDE w:val="0"/>
              <w:autoSpaceDN w:val="0"/>
              <w:adjustRightInd w:val="0"/>
              <w:spacing w:before="40" w:after="40"/>
              <w:jc w:val="left"/>
              <w:rPr>
                <w:rFonts w:eastAsia="Times New Roman"/>
                <w:noProof/>
                <w:sz w:val="20"/>
                <w:szCs w:val="20"/>
                <w:lang w:eastAsia="en-GB"/>
              </w:rPr>
            </w:pPr>
          </w:p>
          <w:p>
            <w:pPr>
              <w:tabs>
                <w:tab w:val="left" w:pos="743"/>
              </w:tabs>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Volume of inland water bodies and deep sea fishing increased by 40%</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Volume of inland water bodies and deep sea fishing increased by 60%</w:t>
            </w:r>
          </w:p>
          <w:p>
            <w:pPr>
              <w:numPr>
                <w:ilvl w:val="0"/>
                <w:numId w:val="29"/>
              </w:numPr>
              <w:autoSpaceDE w:val="0"/>
              <w:autoSpaceDN w:val="0"/>
              <w:adjustRightInd w:val="0"/>
              <w:spacing w:before="40" w:after="40"/>
              <w:ind w:hanging="196"/>
              <w:jc w:val="left"/>
              <w:rPr>
                <w:rFonts w:eastAsia="Times New Roman"/>
                <w:noProof/>
                <w:sz w:val="20"/>
                <w:szCs w:val="20"/>
                <w:lang w:eastAsia="en-GB"/>
              </w:rPr>
            </w:pPr>
            <w:r>
              <w:rPr>
                <w:rFonts w:eastAsia="Times New Roman"/>
                <w:noProof/>
                <w:sz w:val="20"/>
                <w:szCs w:val="20"/>
                <w:lang w:eastAsia="en-GB"/>
              </w:rPr>
              <w:t xml:space="preserve">;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5 new fishing harbours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25 new boatyards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400 fish landing sites</w:t>
            </w:r>
          </w:p>
          <w:p>
            <w:pPr>
              <w:numPr>
                <w:ilvl w:val="0"/>
                <w:numId w:val="29"/>
              </w:numPr>
              <w:tabs>
                <w:tab w:val="left" w:pos="185"/>
              </w:tabs>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60 new fish markets </w:t>
            </w:r>
          </w:p>
          <w:p>
            <w:pPr>
              <w:numPr>
                <w:ilvl w:val="0"/>
                <w:numId w:val="29"/>
              </w:numPr>
              <w:tabs>
                <w:tab w:val="left" w:pos="185"/>
              </w:tabs>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40 fish processing industries </w:t>
            </w:r>
          </w:p>
          <w:p>
            <w:pPr>
              <w:numPr>
                <w:ilvl w:val="0"/>
                <w:numId w:val="29"/>
              </w:numPr>
              <w:tabs>
                <w:tab w:val="left" w:pos="185"/>
              </w:tabs>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500 cold chain facilities </w:t>
            </w:r>
          </w:p>
          <w:p>
            <w:pPr>
              <w:tabs>
                <w:tab w:val="left" w:pos="185"/>
              </w:tabs>
              <w:autoSpaceDE w:val="0"/>
              <w:autoSpaceDN w:val="0"/>
              <w:adjustRightInd w:val="0"/>
              <w:spacing w:before="40" w:after="40"/>
              <w:ind w:left="196"/>
              <w:jc w:val="left"/>
              <w:rPr>
                <w:rFonts w:eastAsia="Times New Roman"/>
                <w:noProof/>
                <w:sz w:val="20"/>
                <w:szCs w:val="20"/>
                <w:lang w:eastAsia="en-GB"/>
              </w:rPr>
            </w:pPr>
          </w:p>
          <w:p>
            <w:pPr>
              <w:tabs>
                <w:tab w:val="left" w:pos="185"/>
              </w:tabs>
              <w:autoSpaceDE w:val="0"/>
              <w:autoSpaceDN w:val="0"/>
              <w:adjustRightInd w:val="0"/>
              <w:spacing w:before="40" w:after="40"/>
              <w:ind w:left="196"/>
              <w:jc w:val="left"/>
              <w:rPr>
                <w:rFonts w:eastAsia="Times New Roman"/>
                <w:noProof/>
                <w:sz w:val="20"/>
                <w:szCs w:val="20"/>
                <w:lang w:eastAsia="en-GB"/>
              </w:rPr>
            </w:pP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existing fish handling and processing infrastructure upgraded and modernized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new fishing harbours established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new landing sites established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Increase in number of inland water bodies and deep sea fishing licences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increase in number of cold chain facilities </w:t>
            </w:r>
          </w:p>
          <w:p>
            <w:pPr>
              <w:numPr>
                <w:ilvl w:val="0"/>
                <w:numId w:val="29"/>
              </w:numPr>
              <w:suppressAutoHyphens/>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 in number and type of diversified value added fish and fishery products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 of modern fishing vessels acquired</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tcBorders>
              <w:top w:val="nil"/>
              <w:bottom w:val="single" w:sz="4" w:space="0" w:color="auto"/>
            </w:tcBorders>
          </w:tcPr>
          <w:p>
            <w:pPr>
              <w:spacing w:before="40" w:after="40"/>
              <w:jc w:val="left"/>
              <w:rPr>
                <w:rFonts w:eastAsia="Times New Roman"/>
                <w:noProof/>
                <w:sz w:val="20"/>
                <w:szCs w:val="20"/>
                <w:lang w:eastAsia="en-GB"/>
              </w:rPr>
            </w:pPr>
          </w:p>
        </w:tc>
        <w:tc>
          <w:tcPr>
            <w:tcW w:w="2268"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Inadequate modern aquaculture infrastructure</w:t>
            </w:r>
          </w:p>
        </w:tc>
        <w:tc>
          <w:tcPr>
            <w:tcW w:w="2126"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Upgrade and modernize existing aqua farms, hatcheries and breeding centers so as to increase aquaculture production by 10%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Adoption of appropriate aquaculture technologies</w:t>
            </w:r>
          </w:p>
        </w:tc>
        <w:tc>
          <w:tcPr>
            <w:tcW w:w="2182"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Modernize aqua farms, hatcheries and breeding centers so as to increase aquaculture production to 20%</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Aquaculture production increased to 30% of fisheries production</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No. of new aqua farms constructed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No. of new hatcheries and breeding centers constructed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No. of existing aqua farms, hatcheries and breeding centers upgraded and modernized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Appropriate aquaculture technologies adopted and developed</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tcBorders>
              <w:top w:val="single" w:sz="4" w:space="0" w:color="auto"/>
              <w:bottom w:val="nil"/>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To ensure effective fisheries resources management, protection and conservation</w:t>
            </w:r>
          </w:p>
        </w:tc>
        <w:tc>
          <w:tcPr>
            <w:tcW w:w="2268" w:type="dxa"/>
            <w:vMerge w:val="restart"/>
            <w:tcBorders>
              <w:top w:val="single" w:sz="4" w:space="0" w:color="auto"/>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Limited data on fish stock potential and fisheries information.</w:t>
            </w:r>
          </w:p>
          <w:p>
            <w:pPr>
              <w:autoSpaceDE w:val="0"/>
              <w:autoSpaceDN w:val="0"/>
              <w:adjustRightInd w:val="0"/>
              <w:spacing w:before="40" w:after="40"/>
              <w:jc w:val="left"/>
              <w:rPr>
                <w:rFonts w:eastAsia="Times New Roman"/>
                <w:noProof/>
                <w:sz w:val="20"/>
                <w:szCs w:val="20"/>
                <w:lang w:eastAsia="en-GB"/>
              </w:rPr>
            </w:pPr>
          </w:p>
          <w:p>
            <w:pPr>
              <w:autoSpaceDE w:val="0"/>
              <w:autoSpaceDN w:val="0"/>
              <w:adjustRightInd w:val="0"/>
              <w:spacing w:before="40" w:after="40"/>
              <w:jc w:val="left"/>
              <w:rPr>
                <w:rFonts w:eastAsia="Times New Roman"/>
                <w:noProof/>
                <w:sz w:val="20"/>
                <w:szCs w:val="20"/>
                <w:lang w:eastAsia="en-GB"/>
              </w:rPr>
            </w:pPr>
          </w:p>
        </w:tc>
        <w:tc>
          <w:tcPr>
            <w:tcW w:w="2126" w:type="dxa"/>
            <w:vMerge w:val="restart"/>
            <w:tcBorders>
              <w:top w:val="single" w:sz="4" w:space="0" w:color="auto"/>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 xml:space="preserve">Policy, legal and regulatory frame work on fisheries information sharing developed </w:t>
            </w:r>
          </w:p>
          <w:p>
            <w:pPr>
              <w:autoSpaceDE w:val="0"/>
              <w:autoSpaceDN w:val="0"/>
              <w:adjustRightInd w:val="0"/>
              <w:spacing w:before="40" w:after="40"/>
              <w:jc w:val="left"/>
              <w:rPr>
                <w:rFonts w:eastAsia="Times New Roman"/>
                <w:noProof/>
                <w:sz w:val="20"/>
                <w:szCs w:val="20"/>
                <w:lang w:eastAsia="en-GB"/>
              </w:rPr>
            </w:pPr>
          </w:p>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Fish stock potential in inshore waters and major lakes determined.</w:t>
            </w:r>
          </w:p>
          <w:p>
            <w:pPr>
              <w:autoSpaceDE w:val="0"/>
              <w:autoSpaceDN w:val="0"/>
              <w:adjustRightInd w:val="0"/>
              <w:spacing w:before="40" w:after="40"/>
              <w:jc w:val="left"/>
              <w:rPr>
                <w:rFonts w:eastAsia="Times New Roman"/>
                <w:noProof/>
                <w:sz w:val="20"/>
                <w:szCs w:val="20"/>
                <w:lang w:eastAsia="en-GB"/>
              </w:rPr>
            </w:pPr>
          </w:p>
          <w:p>
            <w:pPr>
              <w:autoSpaceDE w:val="0"/>
              <w:autoSpaceDN w:val="0"/>
              <w:adjustRightInd w:val="0"/>
              <w:spacing w:before="40" w:after="40"/>
              <w:jc w:val="left"/>
              <w:rPr>
                <w:rFonts w:eastAsia="Times New Roman"/>
                <w:noProof/>
                <w:sz w:val="20"/>
                <w:szCs w:val="20"/>
                <w:lang w:eastAsia="en-GB"/>
              </w:rPr>
            </w:pPr>
          </w:p>
        </w:tc>
        <w:tc>
          <w:tcPr>
            <w:tcW w:w="2182" w:type="dxa"/>
            <w:vMerge w:val="restart"/>
            <w:tcBorders>
              <w:top w:val="single" w:sz="4" w:space="0" w:color="auto"/>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 xml:space="preserve">Acquisition of facilities for data collection, processing &amp; dissemination </w:t>
            </w:r>
          </w:p>
          <w:p>
            <w:pPr>
              <w:autoSpaceDE w:val="0"/>
              <w:autoSpaceDN w:val="0"/>
              <w:adjustRightInd w:val="0"/>
              <w:spacing w:before="40" w:after="40"/>
              <w:jc w:val="left"/>
              <w:rPr>
                <w:rFonts w:eastAsia="Times New Roman"/>
                <w:noProof/>
                <w:sz w:val="20"/>
                <w:szCs w:val="20"/>
                <w:lang w:eastAsia="en-GB"/>
              </w:rPr>
            </w:pPr>
          </w:p>
          <w:p>
            <w:pPr>
              <w:autoSpaceDE w:val="0"/>
              <w:autoSpaceDN w:val="0"/>
              <w:adjustRightInd w:val="0"/>
              <w:spacing w:before="40" w:after="40"/>
              <w:jc w:val="left"/>
              <w:rPr>
                <w:rFonts w:eastAsia="Times New Roman"/>
                <w:noProof/>
                <w:sz w:val="20"/>
                <w:szCs w:val="20"/>
                <w:lang w:eastAsia="en-GB"/>
              </w:rPr>
            </w:pPr>
          </w:p>
          <w:p>
            <w:pPr>
              <w:autoSpaceDE w:val="0"/>
              <w:autoSpaceDN w:val="0"/>
              <w:adjustRightInd w:val="0"/>
              <w:spacing w:before="40" w:after="40"/>
              <w:jc w:val="left"/>
              <w:rPr>
                <w:rFonts w:eastAsia="Times New Roman"/>
                <w:noProof/>
                <w:sz w:val="20"/>
                <w:szCs w:val="20"/>
                <w:lang w:eastAsia="en-GB"/>
              </w:rPr>
            </w:pPr>
          </w:p>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Fish stock potential in territorial and EEZ waters</w:t>
            </w:r>
          </w:p>
          <w:p>
            <w:pPr>
              <w:autoSpaceDE w:val="0"/>
              <w:autoSpaceDN w:val="0"/>
              <w:adjustRightInd w:val="0"/>
              <w:spacing w:before="40" w:after="40"/>
              <w:jc w:val="left"/>
              <w:rPr>
                <w:rFonts w:eastAsia="Times New Roman"/>
                <w:noProof/>
                <w:sz w:val="20"/>
                <w:szCs w:val="20"/>
                <w:lang w:eastAsia="en-GB"/>
              </w:rPr>
            </w:pPr>
          </w:p>
          <w:p>
            <w:pPr>
              <w:autoSpaceDE w:val="0"/>
              <w:autoSpaceDN w:val="0"/>
              <w:adjustRightInd w:val="0"/>
              <w:spacing w:before="40" w:after="40"/>
              <w:jc w:val="left"/>
              <w:rPr>
                <w:rFonts w:eastAsia="Times New Roman"/>
                <w:noProof/>
                <w:sz w:val="20"/>
                <w:szCs w:val="20"/>
                <w:lang w:eastAsia="en-GB"/>
              </w:rPr>
            </w:pPr>
          </w:p>
        </w:tc>
        <w:tc>
          <w:tcPr>
            <w:tcW w:w="2183" w:type="dxa"/>
            <w:vMerge w:val="restart"/>
            <w:tcBorders>
              <w:top w:val="single" w:sz="4" w:space="0" w:color="auto"/>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 xml:space="preserve">Creation of a reliable, operational and comprehensive fisheries database and information management system in place </w:t>
            </w:r>
          </w:p>
          <w:p>
            <w:pPr>
              <w:autoSpaceDE w:val="0"/>
              <w:autoSpaceDN w:val="0"/>
              <w:adjustRightInd w:val="0"/>
              <w:spacing w:before="40" w:after="40"/>
              <w:jc w:val="left"/>
              <w:rPr>
                <w:rFonts w:eastAsia="Times New Roman"/>
                <w:noProof/>
                <w:sz w:val="20"/>
                <w:szCs w:val="20"/>
                <w:lang w:eastAsia="en-GB"/>
              </w:rPr>
            </w:pPr>
          </w:p>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Fish stock potential in marine and inland water bodies determined.</w:t>
            </w:r>
          </w:p>
          <w:p>
            <w:pPr>
              <w:autoSpaceDE w:val="0"/>
              <w:autoSpaceDN w:val="0"/>
              <w:adjustRightInd w:val="0"/>
              <w:spacing w:before="40" w:after="40"/>
              <w:jc w:val="left"/>
              <w:rPr>
                <w:rFonts w:eastAsia="Times New Roman"/>
                <w:noProof/>
                <w:sz w:val="20"/>
                <w:szCs w:val="20"/>
                <w:lang w:eastAsia="en-GB"/>
              </w:rPr>
            </w:pP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p>
        </w:tc>
        <w:tc>
          <w:tcPr>
            <w:tcW w:w="2551" w:type="dxa"/>
            <w:vMerge w:val="restart"/>
            <w:tcBorders>
              <w:top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Functional FIS in place;</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Fisheries database established and operational</w:t>
            </w:r>
          </w:p>
          <w:p>
            <w:pPr>
              <w:numPr>
                <w:ilvl w:val="0"/>
                <w:numId w:val="35"/>
              </w:num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 xml:space="preserve">Number and type of equipment procured; Number of publications produced and disseminated </w:t>
            </w:r>
          </w:p>
          <w:p>
            <w:pPr>
              <w:numPr>
                <w:ilvl w:val="0"/>
                <w:numId w:val="35"/>
              </w:num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Number of water bodies with known fish stock potential</w:t>
            </w:r>
          </w:p>
          <w:p>
            <w:pPr>
              <w:autoSpaceDE w:val="0"/>
              <w:autoSpaceDN w:val="0"/>
              <w:adjustRightInd w:val="0"/>
              <w:spacing w:before="40" w:after="40"/>
              <w:ind w:left="196"/>
              <w:jc w:val="left"/>
              <w:rPr>
                <w:rFonts w:eastAsia="Times New Roman"/>
                <w:noProof/>
                <w:sz w:val="20"/>
                <w:szCs w:val="20"/>
                <w:lang w:eastAsia="en-GB"/>
              </w:rPr>
            </w:pP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tcBorders>
              <w:top w:val="nil"/>
              <w:bottom w:val="nil"/>
            </w:tcBorders>
          </w:tcPr>
          <w:p>
            <w:pPr>
              <w:autoSpaceDE w:val="0"/>
              <w:autoSpaceDN w:val="0"/>
              <w:adjustRightInd w:val="0"/>
              <w:spacing w:before="40" w:after="40"/>
              <w:jc w:val="left"/>
              <w:rPr>
                <w:rFonts w:eastAsia="Times New Roman"/>
                <w:noProof/>
                <w:sz w:val="20"/>
                <w:szCs w:val="20"/>
              </w:rPr>
            </w:pPr>
          </w:p>
        </w:tc>
        <w:tc>
          <w:tcPr>
            <w:tcW w:w="2268" w:type="dxa"/>
            <w:vMerge/>
            <w:tcBorders>
              <w:bottom w:val="single" w:sz="4" w:space="0" w:color="auto"/>
            </w:tcBorders>
          </w:tcPr>
          <w:p>
            <w:pPr>
              <w:autoSpaceDE w:val="0"/>
              <w:autoSpaceDN w:val="0"/>
              <w:adjustRightInd w:val="0"/>
              <w:spacing w:before="40" w:after="40"/>
              <w:jc w:val="left"/>
              <w:rPr>
                <w:rFonts w:eastAsia="Times New Roman"/>
                <w:noProof/>
                <w:sz w:val="20"/>
                <w:szCs w:val="20"/>
                <w:lang w:eastAsia="en-GB"/>
              </w:rPr>
            </w:pPr>
          </w:p>
        </w:tc>
        <w:tc>
          <w:tcPr>
            <w:tcW w:w="2126" w:type="dxa"/>
            <w:vMerge/>
            <w:tcBorders>
              <w:bottom w:val="single" w:sz="4" w:space="0" w:color="auto"/>
            </w:tcBorders>
          </w:tcPr>
          <w:p>
            <w:pPr>
              <w:autoSpaceDE w:val="0"/>
              <w:autoSpaceDN w:val="0"/>
              <w:adjustRightInd w:val="0"/>
              <w:spacing w:before="40" w:after="40"/>
              <w:jc w:val="left"/>
              <w:rPr>
                <w:rFonts w:eastAsia="Times New Roman"/>
                <w:noProof/>
                <w:sz w:val="20"/>
                <w:szCs w:val="20"/>
                <w:lang w:eastAsia="en-GB"/>
              </w:rPr>
            </w:pPr>
          </w:p>
        </w:tc>
        <w:tc>
          <w:tcPr>
            <w:tcW w:w="2182" w:type="dxa"/>
            <w:vMerge/>
            <w:tcBorders>
              <w:bottom w:val="single" w:sz="4" w:space="0" w:color="auto"/>
            </w:tcBorders>
          </w:tcPr>
          <w:p>
            <w:pPr>
              <w:autoSpaceDE w:val="0"/>
              <w:autoSpaceDN w:val="0"/>
              <w:adjustRightInd w:val="0"/>
              <w:spacing w:before="40" w:after="40"/>
              <w:jc w:val="left"/>
              <w:rPr>
                <w:rFonts w:eastAsia="Times New Roman"/>
                <w:noProof/>
                <w:sz w:val="20"/>
                <w:szCs w:val="20"/>
                <w:lang w:eastAsia="en-GB"/>
              </w:rPr>
            </w:pPr>
          </w:p>
        </w:tc>
        <w:tc>
          <w:tcPr>
            <w:tcW w:w="2183" w:type="dxa"/>
            <w:vMerge/>
            <w:tcBorders>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p>
        </w:tc>
        <w:tc>
          <w:tcPr>
            <w:tcW w:w="2551" w:type="dxa"/>
            <w:vMerge/>
            <w:tcBorders>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p>
        </w:tc>
      </w:tr>
      <w:t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lang w:val="en-US" w:eastAsia="en-GB"/>
              </w:rPr>
            </w:pPr>
          </w:p>
        </w:tc>
        <w:tc>
          <w:tcPr>
            <w:tcW w:w="2126" w:type="dxa"/>
            <w:tcBorders>
              <w:top w:val="nil"/>
              <w:bottom w:val="single" w:sz="24" w:space="0" w:color="000000"/>
            </w:tcBorders>
          </w:tcPr>
          <w:p>
            <w:pPr>
              <w:autoSpaceDE w:val="0"/>
              <w:autoSpaceDN w:val="0"/>
              <w:adjustRightInd w:val="0"/>
              <w:spacing w:before="40" w:after="40"/>
              <w:jc w:val="left"/>
              <w:rPr>
                <w:rFonts w:eastAsia="Times New Roman"/>
                <w:noProof/>
                <w:sz w:val="20"/>
                <w:szCs w:val="20"/>
              </w:rPr>
            </w:pPr>
          </w:p>
        </w:tc>
        <w:tc>
          <w:tcPr>
            <w:tcW w:w="2268"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Existence information on illegal fishing practices and trade</w:t>
            </w:r>
          </w:p>
        </w:tc>
        <w:tc>
          <w:tcPr>
            <w:tcW w:w="2126"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 xml:space="preserve">Establishment of Monitoring, Control and Surveillance (MCS) system in the region </w:t>
            </w:r>
          </w:p>
        </w:tc>
        <w:tc>
          <w:tcPr>
            <w:tcW w:w="2182"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Operationalize regional MCS systems</w:t>
            </w:r>
          </w:p>
        </w:tc>
        <w:tc>
          <w:tcPr>
            <w:tcW w:w="2183" w:type="dxa"/>
            <w:tcBorders>
              <w:top w:val="single" w:sz="4" w:space="0" w:color="auto"/>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Protection and conservation of critical habitats and aquatic biodiversity</w:t>
            </w:r>
          </w:p>
        </w:tc>
        <w:tc>
          <w:tcPr>
            <w:tcW w:w="2551" w:type="dxa"/>
            <w:tcBorders>
              <w:top w:val="single" w:sz="4" w:space="0" w:color="auto"/>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decrease in illegal fishing &amp; trade practices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critical habitats improved;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&amp; type endangered and threatened fish species conserved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and type of MCS equipment procured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Improved aquatic biodiversity</w:t>
            </w:r>
          </w:p>
          <w:p>
            <w:pPr>
              <w:autoSpaceDE w:val="0"/>
              <w:autoSpaceDN w:val="0"/>
              <w:adjustRightInd w:val="0"/>
              <w:spacing w:before="40" w:after="40"/>
              <w:ind w:left="196"/>
              <w:jc w:val="left"/>
              <w:rPr>
                <w:rFonts w:eastAsia="Times New Roman"/>
                <w:noProof/>
                <w:sz w:val="20"/>
                <w:szCs w:val="20"/>
                <w:lang w:eastAsia="en-GB"/>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vAlign w:val="center"/>
          </w:tcPr>
          <w:p>
            <w:pPr>
              <w:numPr>
                <w:ilvl w:val="0"/>
                <w:numId w:val="30"/>
              </w:numPr>
              <w:spacing w:before="40" w:after="40"/>
              <w:jc w:val="left"/>
              <w:rPr>
                <w:rFonts w:eastAsia="Times New Roman"/>
                <w:b/>
                <w:bCs/>
                <w:noProof/>
                <w:sz w:val="20"/>
                <w:szCs w:val="20"/>
                <w:u w:val="single"/>
                <w:lang w:eastAsia="en-GB"/>
              </w:rPr>
            </w:pPr>
            <w:r>
              <w:rPr>
                <w:rFonts w:eastAsia="Times New Roman"/>
                <w:b/>
                <w:bCs/>
                <w:noProof/>
                <w:sz w:val="20"/>
                <w:szCs w:val="20"/>
                <w:u w:val="single"/>
                <w:lang w:eastAsia="en-GB"/>
              </w:rPr>
              <w:t xml:space="preserve">WATER RESOURCES MANAGEMENT </w:t>
            </w:r>
          </w:p>
        </w:tc>
      </w:tr>
      <w:tr>
        <w:tc>
          <w:tcPr>
            <w:tcW w:w="2269" w:type="dxa"/>
            <w:tcBorders>
              <w:top w:val="nil"/>
              <w:left w:val="single" w:sz="24" w:space="0" w:color="000000"/>
              <w:bottom w:val="nil"/>
            </w:tcBorders>
            <w:shd w:val="clear" w:color="auto" w:fill="auto"/>
          </w:tcPr>
          <w:p>
            <w:pPr>
              <w:numPr>
                <w:ilvl w:val="1"/>
                <w:numId w:val="30"/>
              </w:numPr>
              <w:spacing w:before="40" w:after="40"/>
              <w:ind w:left="426"/>
              <w:jc w:val="left"/>
              <w:rPr>
                <w:rFonts w:eastAsia="Times New Roman"/>
                <w:b/>
                <w:bCs/>
                <w:noProof/>
                <w:sz w:val="20"/>
                <w:szCs w:val="20"/>
                <w:lang w:eastAsia="en-GB"/>
              </w:rPr>
            </w:pPr>
            <w:r>
              <w:rPr>
                <w:rFonts w:eastAsia="Times New Roman"/>
                <w:b/>
                <w:bCs/>
                <w:noProof/>
                <w:sz w:val="20"/>
                <w:szCs w:val="20"/>
                <w:lang w:eastAsia="en-GB"/>
              </w:rPr>
              <w:t>Water Resources</w:t>
            </w:r>
          </w:p>
        </w:tc>
        <w:tc>
          <w:tcPr>
            <w:tcW w:w="2126" w:type="dxa"/>
            <w:tcBorders>
              <w:top w:val="nil"/>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 xml:space="preserve">To develop sustainable use and management of water resources in the region </w:t>
            </w:r>
          </w:p>
          <w:p>
            <w:pPr>
              <w:spacing w:before="40" w:after="40"/>
              <w:jc w:val="left"/>
              <w:rPr>
                <w:rFonts w:eastAsia="Times New Roman"/>
                <w:noProof/>
                <w:sz w:val="20"/>
                <w:szCs w:val="20"/>
                <w:lang w:eastAsia="en-GB"/>
              </w:rPr>
            </w:pPr>
          </w:p>
        </w:tc>
        <w:tc>
          <w:tcPr>
            <w:tcW w:w="2268" w:type="dxa"/>
            <w:tcBorders>
              <w:top w:val="nil"/>
              <w:bottom w:val="single" w:sz="4" w:space="0" w:color="auto"/>
            </w:tcBorders>
          </w:tcPr>
          <w:p>
            <w:pPr>
              <w:spacing w:before="40" w:after="40"/>
              <w:jc w:val="left"/>
              <w:rPr>
                <w:rFonts w:eastAsia="Calibri"/>
                <w:noProof/>
                <w:sz w:val="20"/>
                <w:szCs w:val="20"/>
                <w:lang w:eastAsia="en-GB"/>
              </w:rPr>
            </w:pPr>
            <w:r>
              <w:rPr>
                <w:rFonts w:eastAsia="Calibri"/>
                <w:noProof/>
                <w:sz w:val="20"/>
                <w:szCs w:val="20"/>
                <w:lang w:eastAsia="en-GB"/>
              </w:rPr>
              <w:t>The use of water for agriculture production in the EAC is low</w:t>
            </w:r>
          </w:p>
        </w:tc>
        <w:tc>
          <w:tcPr>
            <w:tcW w:w="2126" w:type="dxa"/>
            <w:tcBorders>
              <w:top w:val="nil"/>
              <w:bottom w:val="single" w:sz="4" w:space="0" w:color="auto"/>
            </w:tcBorders>
          </w:tcPr>
          <w:p>
            <w:pPr>
              <w:tabs>
                <w:tab w:val="left" w:pos="1530"/>
              </w:tabs>
              <w:suppressAutoHyphens/>
              <w:autoSpaceDE w:val="0"/>
              <w:spacing w:before="40" w:after="40"/>
              <w:jc w:val="left"/>
              <w:rPr>
                <w:rFonts w:eastAsia="Times New Roman"/>
                <w:noProof/>
                <w:sz w:val="20"/>
                <w:szCs w:val="20"/>
                <w:lang w:eastAsia="en-GB"/>
              </w:rPr>
            </w:pPr>
            <w:r>
              <w:rPr>
                <w:rFonts w:eastAsia="Times New Roman"/>
                <w:noProof/>
                <w:sz w:val="20"/>
                <w:szCs w:val="20"/>
                <w:lang w:eastAsia="en-GB"/>
              </w:rPr>
              <w:t xml:space="preserve">Policy, legal and regulatory framework developed </w:t>
            </w:r>
          </w:p>
        </w:tc>
        <w:tc>
          <w:tcPr>
            <w:tcW w:w="2182" w:type="dxa"/>
            <w:tcBorders>
              <w:top w:val="nil"/>
              <w:bottom w:val="single" w:sz="4" w:space="0" w:color="auto"/>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 xml:space="preserve">Capacity building undertaken institution framework developed. </w:t>
            </w:r>
          </w:p>
        </w:tc>
        <w:tc>
          <w:tcPr>
            <w:tcW w:w="2183" w:type="dxa"/>
            <w:tcBorders>
              <w:top w:val="nil"/>
              <w:bottom w:val="single" w:sz="4" w:space="0" w:color="auto"/>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Sustainable use and management of water resources enforced</w:t>
            </w:r>
          </w:p>
        </w:tc>
        <w:tc>
          <w:tcPr>
            <w:tcW w:w="2551" w:type="dxa"/>
            <w:tcBorders>
              <w:top w:val="nil"/>
              <w:bottom w:val="single" w:sz="4" w:space="0" w:color="auto"/>
              <w:right w:val="single" w:sz="24" w:space="0" w:color="000000"/>
            </w:tcBorders>
          </w:tcPr>
          <w:p>
            <w:pPr>
              <w:spacing w:before="40" w:after="40"/>
              <w:ind w:left="21"/>
              <w:jc w:val="left"/>
              <w:rPr>
                <w:rFonts w:eastAsia="Times New Roman"/>
                <w:noProof/>
                <w:sz w:val="20"/>
                <w:szCs w:val="20"/>
                <w:lang w:eastAsia="en-GB"/>
              </w:rPr>
            </w:pPr>
            <w:r>
              <w:rPr>
                <w:rFonts w:eastAsia="Calibri"/>
                <w:noProof/>
                <w:sz w:val="20"/>
                <w:szCs w:val="20"/>
                <w:lang w:eastAsia="en-GB"/>
              </w:rPr>
              <w:t>Policy, legal, regulations and institutional framework in place.</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To develop water supply infrastructure for irrigation and other productive purposes</w:t>
            </w:r>
          </w:p>
          <w:p>
            <w:pPr>
              <w:spacing w:before="40" w:after="40"/>
              <w:jc w:val="left"/>
              <w:rPr>
                <w:rFonts w:eastAsia="Times New Roman"/>
                <w:noProof/>
                <w:sz w:val="20"/>
                <w:szCs w:val="20"/>
                <w:lang w:eastAsia="en-GB"/>
              </w:rPr>
            </w:pPr>
          </w:p>
        </w:tc>
        <w:tc>
          <w:tcPr>
            <w:tcW w:w="2268" w:type="dxa"/>
            <w:tcBorders>
              <w:top w:val="single" w:sz="4" w:space="0" w:color="auto"/>
              <w:bottom w:val="single" w:sz="4" w:space="0" w:color="auto"/>
            </w:tcBorders>
          </w:tcPr>
          <w:p>
            <w:pPr>
              <w:spacing w:before="40" w:after="40"/>
              <w:jc w:val="left"/>
              <w:rPr>
                <w:rFonts w:eastAsia="Times New Roman"/>
                <w:noProof/>
                <w:sz w:val="20"/>
                <w:szCs w:val="20"/>
                <w:lang w:eastAsia="en-GB"/>
              </w:rPr>
            </w:pPr>
            <w:r>
              <w:rPr>
                <w:rFonts w:eastAsia="Times New Roman"/>
                <w:noProof/>
                <w:sz w:val="20"/>
                <w:szCs w:val="20"/>
                <w:lang w:eastAsia="en-GB"/>
              </w:rPr>
              <w:t>Water supply infrastructure for irrigation purpose in the EAC region is low</w:t>
            </w:r>
          </w:p>
        </w:tc>
        <w:tc>
          <w:tcPr>
            <w:tcW w:w="2126" w:type="dxa"/>
            <w:tcBorders>
              <w:top w:val="single" w:sz="4" w:space="0" w:color="auto"/>
              <w:bottom w:val="single" w:sz="4" w:space="0" w:color="auto"/>
            </w:tcBorders>
          </w:tcPr>
          <w:p>
            <w:pPr>
              <w:numPr>
                <w:ilvl w:val="0"/>
                <w:numId w:val="32"/>
              </w:numPr>
              <w:suppressAutoHyphens/>
              <w:autoSpaceDE w:val="0"/>
              <w:spacing w:before="40" w:after="40" w:line="276" w:lineRule="auto"/>
              <w:ind w:left="176" w:right="143" w:hanging="176"/>
              <w:jc w:val="left"/>
              <w:rPr>
                <w:rFonts w:eastAsia="Times New Roman"/>
                <w:noProof/>
                <w:sz w:val="20"/>
                <w:szCs w:val="20"/>
                <w:lang w:eastAsia="en-GB"/>
              </w:rPr>
            </w:pPr>
            <w:r>
              <w:rPr>
                <w:rFonts w:eastAsia="Times New Roman"/>
                <w:noProof/>
                <w:sz w:val="20"/>
                <w:szCs w:val="20"/>
                <w:lang w:eastAsia="en-GB"/>
              </w:rPr>
              <w:t>Water supply infrastructure feasibility studies, design and procurement undertaken.</w:t>
            </w:r>
          </w:p>
        </w:tc>
        <w:tc>
          <w:tcPr>
            <w:tcW w:w="2182"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lang w:eastAsia="en-GB"/>
              </w:rPr>
            </w:pPr>
          </w:p>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atleast 5 water supply schemes constructed and operationalized</w:t>
            </w:r>
          </w:p>
        </w:tc>
        <w:tc>
          <w:tcPr>
            <w:tcW w:w="2183" w:type="dxa"/>
            <w:tcBorders>
              <w:top w:val="single" w:sz="4" w:space="0" w:color="auto"/>
              <w:bottom w:val="single" w:sz="4" w:space="0" w:color="auto"/>
            </w:tcBorders>
          </w:tcPr>
          <w:p>
            <w:pPr>
              <w:autoSpaceDE w:val="0"/>
              <w:autoSpaceDN w:val="0"/>
              <w:adjustRightInd w:val="0"/>
              <w:spacing w:before="40" w:after="40"/>
              <w:ind w:right="114" w:hanging="720"/>
              <w:jc w:val="left"/>
              <w:rPr>
                <w:rFonts w:eastAsia="Times New Roman"/>
                <w:noProof/>
                <w:sz w:val="20"/>
                <w:szCs w:val="20"/>
                <w:lang w:eastAsia="en-GB"/>
              </w:rPr>
            </w:pPr>
          </w:p>
          <w:p>
            <w:pPr>
              <w:numPr>
                <w:ilvl w:val="0"/>
                <w:numId w:val="33"/>
              </w:numPr>
              <w:autoSpaceDE w:val="0"/>
              <w:autoSpaceDN w:val="0"/>
              <w:adjustRightInd w:val="0"/>
              <w:spacing w:before="40" w:after="40"/>
              <w:ind w:left="152" w:right="114" w:hanging="152"/>
              <w:jc w:val="left"/>
              <w:rPr>
                <w:rFonts w:eastAsia="Times New Roman"/>
                <w:noProof/>
                <w:sz w:val="20"/>
                <w:szCs w:val="20"/>
                <w:lang w:eastAsia="en-GB"/>
              </w:rPr>
            </w:pPr>
            <w:r>
              <w:rPr>
                <w:rFonts w:eastAsia="Times New Roman"/>
                <w:noProof/>
                <w:sz w:val="20"/>
                <w:szCs w:val="20"/>
                <w:lang w:eastAsia="en-GB"/>
              </w:rPr>
              <w:t>atleast 10 water supply schemes constructed and operationalized</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feasibility studies undertaken</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water supply plants constructed and operationalized</w:t>
            </w:r>
          </w:p>
        </w:tc>
      </w:tr>
      <w:tr>
        <w:trPr>
          <w:trHeight w:val="1533"/>
        </w:trP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lang w:eastAsia="en-GB"/>
              </w:rPr>
            </w:pPr>
          </w:p>
        </w:tc>
        <w:tc>
          <w:tcPr>
            <w:tcW w:w="2126" w:type="dxa"/>
            <w:tcBorders>
              <w:top w:val="single" w:sz="4" w:space="0" w:color="auto"/>
              <w:bottom w:val="single" w:sz="24" w:space="0" w:color="000000"/>
            </w:tcBorders>
          </w:tcPr>
          <w:p>
            <w:pPr>
              <w:spacing w:before="40" w:after="40"/>
              <w:jc w:val="left"/>
              <w:rPr>
                <w:rFonts w:eastAsia="Times New Roman"/>
                <w:noProof/>
                <w:sz w:val="20"/>
                <w:szCs w:val="20"/>
                <w:lang w:eastAsia="en-GB"/>
              </w:rPr>
            </w:pPr>
            <w:r>
              <w:rPr>
                <w:rFonts w:eastAsia="Times New Roman"/>
                <w:noProof/>
                <w:sz w:val="20"/>
                <w:szCs w:val="20"/>
                <w:lang w:eastAsia="en-GB"/>
              </w:rPr>
              <w:t>To promote regional cooperation for the sustainable utilization of trans-boundary water resources</w:t>
            </w:r>
          </w:p>
        </w:tc>
        <w:tc>
          <w:tcPr>
            <w:tcW w:w="2268" w:type="dxa"/>
            <w:tcBorders>
              <w:top w:val="single" w:sz="4" w:space="0" w:color="auto"/>
              <w:bottom w:val="single" w:sz="24" w:space="0" w:color="000000"/>
            </w:tcBorders>
          </w:tcPr>
          <w:p>
            <w:pPr>
              <w:spacing w:before="40" w:after="40"/>
              <w:jc w:val="left"/>
              <w:rPr>
                <w:rFonts w:eastAsia="Times New Roman"/>
                <w:noProof/>
                <w:sz w:val="20"/>
                <w:szCs w:val="20"/>
                <w:lang w:eastAsia="en-GB"/>
              </w:rPr>
            </w:pPr>
            <w:r>
              <w:rPr>
                <w:rFonts w:eastAsia="Times New Roman"/>
                <w:noProof/>
                <w:sz w:val="20"/>
                <w:szCs w:val="20"/>
                <w:lang w:eastAsia="en-GB"/>
              </w:rPr>
              <w:t xml:space="preserve">EAC regional cooperation on the utilization of common water resources in place </w:t>
            </w:r>
          </w:p>
        </w:tc>
        <w:tc>
          <w:tcPr>
            <w:tcW w:w="2126" w:type="dxa"/>
            <w:tcBorders>
              <w:top w:val="single" w:sz="4" w:space="0" w:color="auto"/>
              <w:bottom w:val="single" w:sz="24" w:space="0" w:color="000000"/>
            </w:tcBorders>
          </w:tcPr>
          <w:p>
            <w:pPr>
              <w:numPr>
                <w:ilvl w:val="0"/>
                <w:numId w:val="34"/>
              </w:numPr>
              <w:spacing w:before="40" w:after="40" w:line="276" w:lineRule="auto"/>
              <w:ind w:left="176" w:hanging="142"/>
              <w:jc w:val="left"/>
              <w:rPr>
                <w:rFonts w:eastAsia="Times New Roman"/>
                <w:noProof/>
                <w:sz w:val="20"/>
                <w:szCs w:val="20"/>
                <w:lang w:eastAsia="en-GB"/>
              </w:rPr>
            </w:pPr>
            <w:r>
              <w:rPr>
                <w:rFonts w:eastAsia="Times New Roman"/>
                <w:noProof/>
                <w:sz w:val="20"/>
                <w:szCs w:val="20"/>
                <w:lang w:eastAsia="en-GB"/>
              </w:rPr>
              <w:t>Review of policy, legal and regulatory framework</w:t>
            </w:r>
          </w:p>
          <w:p>
            <w:pPr>
              <w:spacing w:before="40" w:after="40"/>
              <w:jc w:val="left"/>
              <w:rPr>
                <w:rFonts w:eastAsia="Times New Roman"/>
                <w:noProof/>
                <w:sz w:val="20"/>
                <w:szCs w:val="20"/>
                <w:lang w:eastAsia="en-GB"/>
              </w:rPr>
            </w:pPr>
          </w:p>
          <w:p>
            <w:pPr>
              <w:spacing w:before="40" w:after="40"/>
              <w:jc w:val="left"/>
              <w:rPr>
                <w:rFonts w:eastAsia="Times New Roman"/>
                <w:noProof/>
                <w:sz w:val="20"/>
                <w:szCs w:val="20"/>
                <w:lang w:eastAsia="en-GB"/>
              </w:rPr>
            </w:pPr>
          </w:p>
        </w:tc>
        <w:tc>
          <w:tcPr>
            <w:tcW w:w="2182" w:type="dxa"/>
            <w:tcBorders>
              <w:top w:val="single" w:sz="4" w:space="0" w:color="auto"/>
              <w:bottom w:val="single" w:sz="24" w:space="0" w:color="000000"/>
            </w:tcBorders>
          </w:tcPr>
          <w:p>
            <w:pPr>
              <w:numPr>
                <w:ilvl w:val="0"/>
                <w:numId w:val="34"/>
              </w:numPr>
              <w:spacing w:before="40" w:after="40" w:line="276" w:lineRule="auto"/>
              <w:ind w:left="176" w:hanging="142"/>
              <w:jc w:val="left"/>
              <w:rPr>
                <w:rFonts w:eastAsia="Times New Roman"/>
                <w:noProof/>
                <w:sz w:val="20"/>
                <w:szCs w:val="20"/>
                <w:lang w:eastAsia="en-GB"/>
              </w:rPr>
            </w:pPr>
            <w:r>
              <w:rPr>
                <w:rFonts w:eastAsia="Times New Roman"/>
                <w:noProof/>
                <w:sz w:val="20"/>
                <w:szCs w:val="20"/>
                <w:lang w:eastAsia="en-GB"/>
              </w:rPr>
              <w:t xml:space="preserve">Undertake capacity building on institution framework </w:t>
            </w:r>
          </w:p>
        </w:tc>
        <w:tc>
          <w:tcPr>
            <w:tcW w:w="2183"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Operationalized policies</w:t>
            </w:r>
          </w:p>
        </w:tc>
        <w:tc>
          <w:tcPr>
            <w:tcW w:w="2551" w:type="dxa"/>
            <w:tcBorders>
              <w:top w:val="single" w:sz="4" w:space="0" w:color="auto"/>
              <w:bottom w:val="single" w:sz="24" w:space="0" w:color="000000"/>
              <w:right w:val="single" w:sz="24" w:space="0" w:color="000000"/>
            </w:tcBorders>
          </w:tcPr>
          <w:p>
            <w:pPr>
              <w:spacing w:before="40" w:after="40"/>
              <w:ind w:left="21"/>
              <w:jc w:val="left"/>
              <w:rPr>
                <w:rFonts w:eastAsia="Calibri"/>
                <w:noProof/>
                <w:sz w:val="20"/>
                <w:szCs w:val="20"/>
                <w:lang w:eastAsia="en-GB"/>
              </w:rPr>
            </w:pPr>
            <w:r>
              <w:rPr>
                <w:rFonts w:eastAsia="Calibri"/>
                <w:noProof/>
                <w:sz w:val="20"/>
                <w:szCs w:val="20"/>
                <w:lang w:eastAsia="en-GB"/>
              </w:rPr>
              <w:t>Policy, legal, regulations and institutional framework in place and operational.</w:t>
            </w:r>
          </w:p>
        </w:tc>
      </w:tr>
      <w:tr>
        <w:tc>
          <w:tcPr>
            <w:tcW w:w="15705" w:type="dxa"/>
            <w:gridSpan w:val="7"/>
            <w:tcBorders>
              <w:top w:val="single" w:sz="24" w:space="0" w:color="000000"/>
              <w:left w:val="single" w:sz="24" w:space="0" w:color="000000"/>
              <w:bottom w:val="nil"/>
              <w:right w:val="single" w:sz="24" w:space="0" w:color="000000"/>
            </w:tcBorders>
            <w:shd w:val="clear" w:color="auto" w:fill="auto"/>
            <w:vAlign w:val="center"/>
          </w:tcPr>
          <w:p>
            <w:pPr>
              <w:numPr>
                <w:ilvl w:val="0"/>
                <w:numId w:val="30"/>
              </w:numPr>
              <w:spacing w:before="40" w:after="40"/>
              <w:jc w:val="left"/>
              <w:rPr>
                <w:rFonts w:eastAsia="Times New Roman"/>
                <w:b/>
                <w:noProof/>
                <w:sz w:val="20"/>
                <w:szCs w:val="20"/>
                <w:u w:val="single"/>
                <w:lang w:eastAsia="en-GB"/>
              </w:rPr>
            </w:pPr>
            <w:r>
              <w:rPr>
                <w:rFonts w:eastAsia="Times New Roman"/>
                <w:b/>
                <w:noProof/>
                <w:sz w:val="20"/>
                <w:szCs w:val="20"/>
                <w:u w:val="single"/>
                <w:lang w:eastAsia="en-GB"/>
              </w:rPr>
              <w:t>PRIVATE</w:t>
            </w:r>
            <w:r>
              <w:rPr>
                <w:rFonts w:eastAsia="Times New Roman"/>
                <w:b/>
                <w:bCs/>
                <w:noProof/>
                <w:sz w:val="20"/>
                <w:szCs w:val="20"/>
                <w:u w:val="single"/>
                <w:lang w:eastAsia="en-GB"/>
              </w:rPr>
              <w:t xml:space="preserve"> </w:t>
            </w:r>
            <w:r>
              <w:rPr>
                <w:rFonts w:eastAsia="Times New Roman"/>
                <w:b/>
                <w:noProof/>
                <w:sz w:val="20"/>
                <w:szCs w:val="20"/>
                <w:u w:val="single"/>
                <w:lang w:eastAsia="en-GB"/>
              </w:rPr>
              <w:t>SECTOR</w:t>
            </w:r>
            <w:r>
              <w:rPr>
                <w:rFonts w:eastAsia="Times New Roman"/>
                <w:b/>
                <w:bCs/>
                <w:noProof/>
                <w:sz w:val="20"/>
                <w:szCs w:val="20"/>
                <w:u w:val="single"/>
                <w:lang w:eastAsia="en-GB"/>
              </w:rPr>
              <w:t xml:space="preserve"> DEVELOPMENT</w:t>
            </w:r>
          </w:p>
        </w:tc>
      </w:tr>
      <w:tr>
        <w:trPr>
          <w:trHeight w:val="1848"/>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vMerge w:val="restart"/>
            <w:tcBorders>
              <w:top w:val="nil"/>
            </w:tcBorders>
          </w:tcPr>
          <w:p>
            <w:pPr>
              <w:spacing w:before="40" w:after="40"/>
              <w:jc w:val="left"/>
              <w:rPr>
                <w:rFonts w:eastAsia="Times New Roman"/>
                <w:noProof/>
                <w:sz w:val="20"/>
                <w:szCs w:val="20"/>
                <w:lang w:eastAsia="en-GB"/>
              </w:rPr>
            </w:pPr>
            <w:r>
              <w:rPr>
                <w:rFonts w:eastAsia="Times New Roman"/>
                <w:noProof/>
                <w:sz w:val="20"/>
                <w:szCs w:val="20"/>
                <w:lang w:eastAsia="en-GB"/>
              </w:rPr>
              <w:t>To enhance private sector development, investment, supply capacities and competitiveness</w:t>
            </w:r>
          </w:p>
        </w:tc>
        <w:tc>
          <w:tcPr>
            <w:tcW w:w="2268"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EAC Private Sector Development Strategy </w:t>
            </w:r>
          </w:p>
        </w:tc>
        <w:tc>
          <w:tcPr>
            <w:tcW w:w="2126"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Relevant reforms in the institutional, policies, legal and regulatory frameworks made;</w:t>
            </w:r>
          </w:p>
        </w:tc>
        <w:tc>
          <w:tcPr>
            <w:tcW w:w="2182"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MSMEs (%) integrated into the mainstream business activities;</w:t>
            </w:r>
          </w:p>
        </w:tc>
        <w:tc>
          <w:tcPr>
            <w:tcW w:w="2183"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 number of EAC firms exporting products made in the EAC region to the EU market</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EAC Investment Code operational.</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vMerge/>
            <w:tcBorders>
              <w:bottom w:val="nil"/>
            </w:tcBorders>
          </w:tcPr>
          <w:p>
            <w:pPr>
              <w:spacing w:before="40" w:after="40"/>
              <w:jc w:val="left"/>
              <w:rPr>
                <w:rFonts w:eastAsia="Times New Roman"/>
                <w:noProof/>
                <w:sz w:val="20"/>
                <w:szCs w:val="20"/>
                <w:lang w:eastAsia="en-GB"/>
              </w:rPr>
            </w:pPr>
          </w:p>
        </w:tc>
        <w:tc>
          <w:tcPr>
            <w:tcW w:w="2268"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EAC Investment Code Model</w:t>
            </w:r>
          </w:p>
        </w:tc>
        <w:tc>
          <w:tcPr>
            <w:tcW w:w="2126"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Capacity for institutional support for private sector development and investment promotion built</w:t>
            </w:r>
          </w:p>
        </w:tc>
        <w:tc>
          <w:tcPr>
            <w:tcW w:w="2182"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New industries introduced and existing ones transformed</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FDI flows.</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enhanced investment promotion and enterprise development </w:t>
            </w:r>
          </w:p>
          <w:p>
            <w:pPr>
              <w:autoSpaceDE w:val="0"/>
              <w:autoSpaceDN w:val="0"/>
              <w:adjustRightInd w:val="0"/>
              <w:spacing w:before="40" w:after="40"/>
              <w:jc w:val="left"/>
              <w:rPr>
                <w:rFonts w:eastAsia="Times New Roman"/>
                <w:noProof/>
                <w:sz w:val="20"/>
                <w:szCs w:val="20"/>
                <w:lang w:eastAsia="en-GB"/>
              </w:rPr>
            </w:pP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supply capacities, competitiveness, diversification and value addition</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lang w:val="en-US" w:eastAsia="en-GB"/>
              </w:rPr>
            </w:pPr>
          </w:p>
        </w:tc>
        <w:tc>
          <w:tcPr>
            <w:tcW w:w="2126" w:type="dxa"/>
            <w:tcBorders>
              <w:top w:val="nil"/>
              <w:bottom w:val="nil"/>
            </w:tcBorders>
          </w:tcPr>
          <w:p>
            <w:pPr>
              <w:spacing w:before="40" w:after="40"/>
              <w:jc w:val="left"/>
              <w:rPr>
                <w:rFonts w:eastAsia="Times New Roman"/>
                <w:noProof/>
                <w:sz w:val="20"/>
                <w:szCs w:val="20"/>
                <w:lang w:eastAsia="en-GB"/>
              </w:rPr>
            </w:pPr>
          </w:p>
        </w:tc>
        <w:tc>
          <w:tcPr>
            <w:tcW w:w="2268" w:type="dxa"/>
            <w:vMerge w:val="restart"/>
            <w:tcBorders>
              <w:top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Regional Competition Policy</w:t>
            </w:r>
          </w:p>
        </w:tc>
        <w:tc>
          <w:tcPr>
            <w:tcW w:w="2126"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Framework for creating and strengthening partnerships, joint ventures, sub-contracting, outsourcing and linkages created.</w:t>
            </w:r>
          </w:p>
        </w:tc>
        <w:tc>
          <w:tcPr>
            <w:tcW w:w="2182"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EAC Private Sector access to resources from EC financing institutions such as the EIB, CDE and CTA enhanced</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export volumes and earnings</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Public-Private Partnership policy and regulatory framework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in FDI and % increase in partnerships attained</w:t>
            </w:r>
          </w:p>
        </w:tc>
      </w:tr>
      <w:t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lang w:val="en-US" w:eastAsia="en-GB"/>
              </w:rPr>
            </w:pPr>
          </w:p>
        </w:tc>
        <w:tc>
          <w:tcPr>
            <w:tcW w:w="2126" w:type="dxa"/>
            <w:tcBorders>
              <w:top w:val="nil"/>
              <w:bottom w:val="single" w:sz="24" w:space="0" w:color="000000"/>
            </w:tcBorders>
          </w:tcPr>
          <w:p>
            <w:pPr>
              <w:spacing w:before="40" w:after="40"/>
              <w:jc w:val="left"/>
              <w:rPr>
                <w:rFonts w:eastAsia="Times New Roman"/>
                <w:noProof/>
                <w:sz w:val="20"/>
                <w:szCs w:val="20"/>
                <w:lang w:eastAsia="en-GB"/>
              </w:rPr>
            </w:pPr>
          </w:p>
        </w:tc>
        <w:tc>
          <w:tcPr>
            <w:tcW w:w="2268" w:type="dxa"/>
            <w:vMerge/>
            <w:tcBorders>
              <w:bottom w:val="single" w:sz="24" w:space="0" w:color="000000"/>
            </w:tcBorders>
          </w:tcPr>
          <w:p>
            <w:pPr>
              <w:spacing w:before="40" w:after="40"/>
              <w:jc w:val="left"/>
              <w:rPr>
                <w:rFonts w:eastAsia="Times New Roman"/>
                <w:noProof/>
                <w:sz w:val="20"/>
                <w:szCs w:val="20"/>
                <w:lang w:eastAsia="en-GB"/>
              </w:rPr>
            </w:pPr>
          </w:p>
        </w:tc>
        <w:tc>
          <w:tcPr>
            <w:tcW w:w="2126" w:type="dxa"/>
            <w:tcBorders>
              <w:top w:val="single" w:sz="4" w:space="0" w:color="auto"/>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Establish appropriate administrative structures, including one-stop shops to support investments;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EAC Public-Private Partnership Framework established </w:t>
            </w:r>
          </w:p>
          <w:p>
            <w:pPr>
              <w:spacing w:before="40" w:after="40"/>
              <w:ind w:left="196" w:hanging="196"/>
              <w:jc w:val="left"/>
              <w:rPr>
                <w:rFonts w:eastAsia="Times New Roman"/>
                <w:noProof/>
                <w:sz w:val="20"/>
                <w:szCs w:val="20"/>
                <w:lang w:eastAsia="en-GB"/>
              </w:rPr>
            </w:pPr>
          </w:p>
        </w:tc>
        <w:tc>
          <w:tcPr>
            <w:tcW w:w="2182" w:type="dxa"/>
            <w:tcBorders>
              <w:top w:val="single" w:sz="4" w:space="0" w:color="auto"/>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Access to affordable credit at lower interest rates</w:t>
            </w:r>
          </w:p>
          <w:p>
            <w:pPr>
              <w:autoSpaceDE w:val="0"/>
              <w:autoSpaceDN w:val="0"/>
              <w:adjustRightInd w:val="0"/>
              <w:spacing w:before="40" w:after="40"/>
              <w:ind w:left="196" w:hanging="196"/>
              <w:jc w:val="left"/>
              <w:rPr>
                <w:rFonts w:eastAsia="Times New Roman"/>
                <w:noProof/>
                <w:sz w:val="20"/>
                <w:szCs w:val="20"/>
                <w:lang w:eastAsia="en-GB"/>
              </w:rPr>
            </w:pPr>
          </w:p>
        </w:tc>
        <w:tc>
          <w:tcPr>
            <w:tcW w:w="2183" w:type="dxa"/>
            <w:tcBorders>
              <w:top w:val="single" w:sz="4" w:space="0" w:color="auto"/>
              <w:bottom w:val="single" w:sz="24" w:space="0" w:color="000000"/>
            </w:tcBorders>
          </w:tcPr>
          <w:p>
            <w:pPr>
              <w:autoSpaceDE w:val="0"/>
              <w:autoSpaceDN w:val="0"/>
              <w:adjustRightInd w:val="0"/>
              <w:spacing w:before="40" w:after="40"/>
              <w:ind w:left="196" w:hanging="196"/>
              <w:jc w:val="left"/>
              <w:rPr>
                <w:rFonts w:eastAsia="Times New Roman"/>
                <w:noProof/>
                <w:sz w:val="20"/>
                <w:szCs w:val="20"/>
                <w:lang w:eastAsia="en-GB"/>
              </w:rPr>
            </w:pPr>
          </w:p>
        </w:tc>
        <w:tc>
          <w:tcPr>
            <w:tcW w:w="2551" w:type="dxa"/>
            <w:tcBorders>
              <w:top w:val="single" w:sz="4" w:space="0" w:color="auto"/>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 increase in annual export earnings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in investment and business financing sourced from EU financial institutions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Special funds created and accessed by the private sector to finance investment projects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in EU investments in the EAC;</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in firm capacity utilization;</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in EAC exports to the EU market</w:t>
            </w:r>
          </w:p>
          <w:p>
            <w:pPr>
              <w:autoSpaceDE w:val="0"/>
              <w:autoSpaceDN w:val="0"/>
              <w:adjustRightInd w:val="0"/>
              <w:spacing w:before="40" w:after="40"/>
              <w:ind w:left="196"/>
              <w:jc w:val="left"/>
              <w:rPr>
                <w:rFonts w:eastAsia="Times New Roman"/>
                <w:noProof/>
                <w:sz w:val="20"/>
                <w:szCs w:val="20"/>
                <w:lang w:eastAsia="en-GB"/>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noProof/>
                <w:sz w:val="20"/>
                <w:szCs w:val="20"/>
                <w:u w:val="single"/>
                <w:lang w:eastAsia="en-GB"/>
              </w:rPr>
            </w:pPr>
            <w:r>
              <w:rPr>
                <w:rFonts w:eastAsia="Times New Roman"/>
                <w:b/>
                <w:noProof/>
                <w:sz w:val="20"/>
                <w:szCs w:val="20"/>
                <w:u w:val="single"/>
                <w:lang w:eastAsia="en-GB"/>
              </w:rPr>
              <w:t>MARKET ACCESS ISSUES</w:t>
            </w:r>
          </w:p>
        </w:tc>
      </w:tr>
      <w:tr>
        <w:tc>
          <w:tcPr>
            <w:tcW w:w="2269" w:type="dxa"/>
            <w:tcBorders>
              <w:top w:val="nil"/>
              <w:left w:val="single" w:sz="24" w:space="0" w:color="000000"/>
              <w:bottom w:val="nil"/>
            </w:tcBorders>
            <w:shd w:val="clear" w:color="auto" w:fill="auto"/>
          </w:tcPr>
          <w:p>
            <w:pPr>
              <w:numPr>
                <w:ilvl w:val="1"/>
                <w:numId w:val="30"/>
              </w:numPr>
              <w:spacing w:before="40" w:after="40"/>
              <w:ind w:left="426"/>
              <w:jc w:val="left"/>
              <w:rPr>
                <w:rFonts w:eastAsia="Times New Roman"/>
                <w:b/>
                <w:bCs/>
                <w:noProof/>
                <w:sz w:val="20"/>
                <w:szCs w:val="20"/>
                <w:lang w:eastAsia="en-GB"/>
              </w:rPr>
            </w:pPr>
            <w:r>
              <w:rPr>
                <w:rFonts w:eastAsia="Times New Roman"/>
                <w:b/>
                <w:bCs/>
                <w:noProof/>
                <w:sz w:val="20"/>
                <w:szCs w:val="20"/>
                <w:lang w:eastAsia="en-GB"/>
              </w:rPr>
              <w:t xml:space="preserve">SPS,TBT </w:t>
            </w:r>
          </w:p>
        </w:tc>
        <w:tc>
          <w:tcPr>
            <w:tcW w:w="2126" w:type="dxa"/>
            <w:tcBorders>
              <w:top w:val="nil"/>
              <w:bottom w:val="nil"/>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Develop capacity for compliance with trade related agreements</w:t>
            </w:r>
          </w:p>
        </w:tc>
        <w:tc>
          <w:tcPr>
            <w:tcW w:w="2268" w:type="dxa"/>
            <w:tcBorders>
              <w:top w:val="nil"/>
              <w:bottom w:val="single" w:sz="4" w:space="0" w:color="auto"/>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EAC SPS Protocol concluded</w:t>
            </w:r>
          </w:p>
        </w:tc>
        <w:tc>
          <w:tcPr>
            <w:tcW w:w="2126"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EAC SPS Protocol and measures domesticated by all the EAC PartnerStates.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Agricultural product identification, registration and traceability systems established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share of EAC intra-regional trade to 30 %</w:t>
            </w:r>
          </w:p>
        </w:tc>
        <w:tc>
          <w:tcPr>
            <w:tcW w:w="2182"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EAC SPS Protocol operationalized</w:t>
            </w:r>
          </w:p>
          <w:p>
            <w:pPr>
              <w:autoSpaceDE w:val="0"/>
              <w:autoSpaceDN w:val="0"/>
              <w:adjustRightInd w:val="0"/>
              <w:spacing w:before="40" w:after="40"/>
              <w:jc w:val="left"/>
              <w:rPr>
                <w:rFonts w:eastAsia="Times New Roman"/>
                <w:noProof/>
                <w:sz w:val="20"/>
                <w:szCs w:val="20"/>
                <w:lang w:eastAsia="en-GB"/>
              </w:rPr>
            </w:pP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Increased share of EAC intra-regional trade to 50% </w:t>
            </w:r>
          </w:p>
        </w:tc>
        <w:tc>
          <w:tcPr>
            <w:tcW w:w="2183"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Establishment of SPS centres of excellence for Food safety, animal &amp; plant health</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Increased share of EAC intra regional trade to 80%</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increase in Animal, Plant and Food safety through effective alert systems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 increase in share of EAC intra-regional trade </w:t>
            </w:r>
          </w:p>
        </w:tc>
      </w:tr>
      <w:tr>
        <w:tc>
          <w:tcPr>
            <w:tcW w:w="2269" w:type="dxa"/>
            <w:tcBorders>
              <w:top w:val="nil"/>
              <w:left w:val="single" w:sz="24" w:space="0" w:color="000000"/>
              <w:bottom w:val="single" w:sz="4" w:space="0" w:color="000000"/>
            </w:tcBorders>
            <w:shd w:val="clear" w:color="auto" w:fill="auto"/>
          </w:tcPr>
          <w:p>
            <w:pPr>
              <w:autoSpaceDE w:val="0"/>
              <w:autoSpaceDN w:val="0"/>
              <w:adjustRightInd w:val="0"/>
              <w:spacing w:before="40" w:after="40"/>
              <w:jc w:val="left"/>
              <w:rPr>
                <w:rFonts w:eastAsia="Times New Roman"/>
                <w:noProof/>
                <w:sz w:val="20"/>
                <w:szCs w:val="20"/>
                <w:lang w:eastAsia="en-GB"/>
              </w:rPr>
            </w:pPr>
          </w:p>
        </w:tc>
        <w:tc>
          <w:tcPr>
            <w:tcW w:w="2126" w:type="dxa"/>
            <w:tcBorders>
              <w:top w:val="nil"/>
              <w:bottom w:val="single" w:sz="4" w:space="0" w:color="000000"/>
            </w:tcBorders>
          </w:tcPr>
          <w:p>
            <w:pPr>
              <w:autoSpaceDE w:val="0"/>
              <w:autoSpaceDN w:val="0"/>
              <w:adjustRightInd w:val="0"/>
              <w:spacing w:before="40" w:after="40"/>
              <w:jc w:val="left"/>
              <w:rPr>
                <w:rFonts w:eastAsia="Times New Roman"/>
                <w:noProof/>
                <w:sz w:val="20"/>
                <w:szCs w:val="20"/>
                <w:lang w:eastAsia="en-GB"/>
              </w:rPr>
            </w:pPr>
          </w:p>
        </w:tc>
        <w:tc>
          <w:tcPr>
            <w:tcW w:w="2268" w:type="dxa"/>
            <w:tcBorders>
              <w:top w:val="single" w:sz="4" w:space="0" w:color="auto"/>
              <w:bottom w:val="single" w:sz="4" w:space="0" w:color="000000"/>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1500 EAC standards benchmarked to international level harmonized out of 2500</w:t>
            </w:r>
          </w:p>
        </w:tc>
        <w:tc>
          <w:tcPr>
            <w:tcW w:w="2126" w:type="dxa"/>
            <w:tcBorders>
              <w:top w:val="single" w:sz="4" w:space="0" w:color="auto"/>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1000 standards harmonized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EAC participation in standards setting bodies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Develop EAC Technical Regulations regime</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Joint TBT monitoring committees established within 2 years of implementation of EPA</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Capacity building in TBT and SPS soft and hard infrastructure including: traceability, inspection, accreditation,risk analysis, standards and Certification</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Harmonisation and notification of EAC Technical Regulations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Information exchange</w:t>
            </w:r>
          </w:p>
        </w:tc>
        <w:tc>
          <w:tcPr>
            <w:tcW w:w="2182" w:type="dxa"/>
            <w:tcBorders>
              <w:top w:val="single" w:sz="4" w:space="0" w:color="auto"/>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Adoption of International Standards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System and product Certification</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Technology transfer</w:t>
            </w:r>
          </w:p>
          <w:p>
            <w:pPr>
              <w:autoSpaceDE w:val="0"/>
              <w:autoSpaceDN w:val="0"/>
              <w:adjustRightInd w:val="0"/>
              <w:spacing w:before="40" w:after="40"/>
              <w:ind w:left="196"/>
              <w:jc w:val="left"/>
              <w:rPr>
                <w:rFonts w:eastAsia="Times New Roman"/>
                <w:noProof/>
                <w:sz w:val="20"/>
                <w:szCs w:val="20"/>
                <w:lang w:eastAsia="en-GB"/>
              </w:rPr>
            </w:pPr>
          </w:p>
        </w:tc>
        <w:tc>
          <w:tcPr>
            <w:tcW w:w="2183" w:type="dxa"/>
            <w:tcBorders>
              <w:top w:val="single" w:sz="4" w:space="0" w:color="auto"/>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Accredited conformity assessment institutions </w:t>
            </w:r>
          </w:p>
        </w:tc>
        <w:tc>
          <w:tcPr>
            <w:tcW w:w="2551" w:type="dxa"/>
            <w:tcBorders>
              <w:top w:val="single" w:sz="4" w:space="0" w:color="auto"/>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number of technical barriers reduced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Mutual recognition tests and Certificates.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Increased information disclosures in EAC Portal </w:t>
            </w:r>
          </w:p>
        </w:tc>
      </w:tr>
      <w:tr>
        <w:tc>
          <w:tcPr>
            <w:tcW w:w="2269" w:type="dxa"/>
            <w:tcBorders>
              <w:top w:val="single" w:sz="4" w:space="0" w:color="000000"/>
              <w:left w:val="single" w:sz="24" w:space="0" w:color="000000"/>
              <w:bottom w:val="single" w:sz="24" w:space="0" w:color="000000"/>
            </w:tcBorders>
            <w:shd w:val="clear" w:color="auto" w:fill="auto"/>
          </w:tcPr>
          <w:p>
            <w:pPr>
              <w:numPr>
                <w:ilvl w:val="1"/>
                <w:numId w:val="30"/>
              </w:numPr>
              <w:spacing w:before="40" w:after="40"/>
              <w:ind w:left="426"/>
              <w:jc w:val="left"/>
              <w:rPr>
                <w:rFonts w:eastAsia="Times New Roman"/>
                <w:b/>
                <w:bCs/>
                <w:noProof/>
                <w:sz w:val="20"/>
                <w:szCs w:val="20"/>
                <w:lang w:eastAsia="en-GB"/>
              </w:rPr>
            </w:pPr>
            <w:r>
              <w:rPr>
                <w:rFonts w:eastAsia="Times New Roman"/>
                <w:b/>
                <w:bCs/>
                <w:noProof/>
                <w:sz w:val="20"/>
                <w:szCs w:val="20"/>
                <w:lang w:eastAsia="en-GB"/>
              </w:rPr>
              <w:t>Customs and Trade Facilitation</w:t>
            </w:r>
          </w:p>
        </w:tc>
        <w:tc>
          <w:tcPr>
            <w:tcW w:w="2126"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Harmonization &amp; implementation of customs legislation &amp; procedures</w:t>
            </w:r>
          </w:p>
        </w:tc>
        <w:tc>
          <w:tcPr>
            <w:tcW w:w="2268"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EAC Customs Management Act in place</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All EAC Partner states are WCO members</w:t>
            </w:r>
          </w:p>
        </w:tc>
        <w:tc>
          <w:tcPr>
            <w:tcW w:w="2126"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Capacity building in customs soft infrastructure, systems and processes undertaken</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Decreased turn –around period for ships from 11-14 days in 2011 to 6 days in 2017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Average dwell time of loaded import container decreased to4 days </w:t>
            </w:r>
          </w:p>
        </w:tc>
        <w:tc>
          <w:tcPr>
            <w:tcW w:w="2182"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Customs procedures and processes harmonized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One stop border posts established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Decreased turn –around period for ships to 3 days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Average dwell time of loaded import container decreased to 2 days</w:t>
            </w:r>
          </w:p>
          <w:p>
            <w:pPr>
              <w:autoSpaceDE w:val="0"/>
              <w:autoSpaceDN w:val="0"/>
              <w:adjustRightInd w:val="0"/>
              <w:spacing w:before="40" w:after="40"/>
              <w:ind w:left="196"/>
              <w:jc w:val="left"/>
              <w:rPr>
                <w:rFonts w:eastAsia="Times New Roman"/>
                <w:noProof/>
                <w:sz w:val="20"/>
                <w:szCs w:val="20"/>
                <w:lang w:eastAsia="en-GB"/>
              </w:rPr>
            </w:pPr>
          </w:p>
        </w:tc>
        <w:tc>
          <w:tcPr>
            <w:tcW w:w="2183"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turn-around time at border entry points shortened to 1 day. </w:t>
            </w:r>
          </w:p>
          <w:p>
            <w:pPr>
              <w:autoSpaceDE w:val="0"/>
              <w:autoSpaceDN w:val="0"/>
              <w:adjustRightInd w:val="0"/>
              <w:spacing w:before="40" w:after="40"/>
              <w:ind w:left="196"/>
              <w:jc w:val="left"/>
              <w:rPr>
                <w:rFonts w:eastAsia="Times New Roman"/>
                <w:noProof/>
                <w:sz w:val="20"/>
                <w:szCs w:val="20"/>
                <w:lang w:eastAsia="en-GB"/>
              </w:rPr>
            </w:pP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Average dwell time of loaded import container decreased1 day</w:t>
            </w:r>
          </w:p>
          <w:p>
            <w:pPr>
              <w:autoSpaceDE w:val="0"/>
              <w:autoSpaceDN w:val="0"/>
              <w:adjustRightInd w:val="0"/>
              <w:spacing w:before="40" w:after="40"/>
              <w:ind w:left="196"/>
              <w:jc w:val="left"/>
              <w:rPr>
                <w:rFonts w:eastAsia="Times New Roman"/>
                <w:noProof/>
                <w:sz w:val="20"/>
                <w:szCs w:val="20"/>
                <w:lang w:eastAsia="en-GB"/>
              </w:rPr>
            </w:pPr>
          </w:p>
        </w:tc>
        <w:tc>
          <w:tcPr>
            <w:tcW w:w="2551" w:type="dxa"/>
            <w:tcBorders>
              <w:top w:val="single" w:sz="4" w:space="0" w:color="000000"/>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Increase in number of Load/offload of containers per hour </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Reduce ship turn around time</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customs legislation &amp; procedures fully harmonized and implemented</w:t>
            </w:r>
          </w:p>
          <w:p>
            <w:pPr>
              <w:autoSpaceDE w:val="0"/>
              <w:autoSpaceDN w:val="0"/>
              <w:adjustRightInd w:val="0"/>
              <w:spacing w:before="40" w:after="40"/>
              <w:ind w:left="196"/>
              <w:jc w:val="left"/>
              <w:rPr>
                <w:rFonts w:eastAsia="Times New Roman"/>
                <w:noProof/>
                <w:sz w:val="20"/>
                <w:szCs w:val="20"/>
                <w:lang w:eastAsia="en-GB"/>
              </w:rPr>
            </w:pPr>
          </w:p>
          <w:p>
            <w:pPr>
              <w:autoSpaceDE w:val="0"/>
              <w:autoSpaceDN w:val="0"/>
              <w:adjustRightInd w:val="0"/>
              <w:spacing w:before="40" w:after="40"/>
              <w:ind w:left="196"/>
              <w:jc w:val="left"/>
              <w:rPr>
                <w:rFonts w:eastAsia="Times New Roman"/>
                <w:noProof/>
                <w:sz w:val="20"/>
                <w:szCs w:val="20"/>
                <w:lang w:eastAsia="en-GB"/>
              </w:rPr>
            </w:pPr>
          </w:p>
          <w:p>
            <w:pPr>
              <w:autoSpaceDE w:val="0"/>
              <w:autoSpaceDN w:val="0"/>
              <w:adjustRightInd w:val="0"/>
              <w:spacing w:before="40" w:after="40"/>
              <w:ind w:left="196"/>
              <w:jc w:val="left"/>
              <w:rPr>
                <w:rFonts w:eastAsia="Times New Roman"/>
                <w:noProof/>
                <w:sz w:val="20"/>
                <w:szCs w:val="20"/>
                <w:lang w:eastAsia="en-GB"/>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noProof/>
                <w:sz w:val="20"/>
                <w:szCs w:val="20"/>
                <w:u w:val="single"/>
                <w:lang w:eastAsia="en-GB"/>
              </w:rPr>
            </w:pPr>
            <w:r>
              <w:rPr>
                <w:rFonts w:eastAsia="Times New Roman"/>
                <w:b/>
                <w:noProof/>
                <w:sz w:val="20"/>
                <w:szCs w:val="20"/>
                <w:u w:val="single"/>
                <w:lang w:eastAsia="en-GB"/>
              </w:rPr>
              <w:t>EPA ADJUSTMENT COST</w:t>
            </w:r>
          </w:p>
        </w:tc>
      </w:tr>
      <w:tr>
        <w:tc>
          <w:tcPr>
            <w:tcW w:w="2269" w:type="dxa"/>
            <w:tcBorders>
              <w:top w:val="nil"/>
              <w:left w:val="single" w:sz="24" w:space="0" w:color="000000"/>
              <w:bottom w:val="single" w:sz="4" w:space="0" w:color="000000"/>
            </w:tcBorders>
            <w:shd w:val="clear" w:color="auto" w:fill="auto"/>
          </w:tcPr>
          <w:p>
            <w:pPr>
              <w:numPr>
                <w:ilvl w:val="1"/>
                <w:numId w:val="30"/>
              </w:numPr>
              <w:spacing w:before="40" w:after="40"/>
              <w:ind w:left="426"/>
              <w:jc w:val="left"/>
              <w:rPr>
                <w:rFonts w:eastAsia="Times New Roman"/>
                <w:b/>
                <w:bCs/>
                <w:noProof/>
                <w:sz w:val="20"/>
                <w:szCs w:val="20"/>
                <w:lang w:eastAsia="en-GB"/>
              </w:rPr>
            </w:pPr>
            <w:r>
              <w:rPr>
                <w:rFonts w:eastAsia="Times New Roman"/>
                <w:b/>
                <w:bCs/>
                <w:noProof/>
                <w:sz w:val="20"/>
                <w:szCs w:val="20"/>
                <w:lang w:eastAsia="en-GB"/>
              </w:rPr>
              <w:t xml:space="preserve">EPA adjustment Measures </w:t>
            </w:r>
          </w:p>
        </w:tc>
        <w:tc>
          <w:tcPr>
            <w:tcW w:w="2126" w:type="dxa"/>
            <w:tcBorders>
              <w:top w:val="nil"/>
              <w:bottom w:val="single" w:sz="4" w:space="0" w:color="000000"/>
            </w:tcBorders>
          </w:tcPr>
          <w:p>
            <w:pPr>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To address actual and potential EPA adjustment challenges resulting from the implementation of the EPA</w:t>
            </w:r>
          </w:p>
        </w:tc>
        <w:tc>
          <w:tcPr>
            <w:tcW w:w="2268" w:type="dxa"/>
            <w:tcBorders>
              <w:top w:val="nil"/>
              <w:bottom w:val="single" w:sz="4" w:space="0" w:color="000000"/>
            </w:tcBorders>
          </w:tcPr>
          <w:p>
            <w:pPr>
              <w:shd w:val="clear" w:color="auto" w:fill="FFFFFF"/>
              <w:spacing w:before="40" w:after="40"/>
              <w:jc w:val="left"/>
              <w:rPr>
                <w:rFonts w:eastAsia="Times New Roman"/>
                <w:noProof/>
                <w:sz w:val="20"/>
                <w:szCs w:val="20"/>
                <w:lang w:eastAsia="en-GB"/>
              </w:rPr>
            </w:pPr>
            <w:r>
              <w:rPr>
                <w:rFonts w:eastAsia="Times New Roman"/>
                <w:noProof/>
                <w:sz w:val="20"/>
                <w:szCs w:val="20"/>
                <w:lang w:eastAsia="en-GB"/>
              </w:rPr>
              <w:t>EPA adjustment fund not established</w:t>
            </w:r>
          </w:p>
        </w:tc>
        <w:tc>
          <w:tcPr>
            <w:tcW w:w="2126"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EPA Adjustment fund established to cover transitionally the potential losses of government revenue arising from elimination and or substantial reduction in customs tariffs.</w:t>
            </w:r>
          </w:p>
        </w:tc>
        <w:tc>
          <w:tcPr>
            <w:tcW w:w="2182"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Assessment study on the potential losses of government revenues undertaken</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Agreed losses compensated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Assessment for compensation for NFIC undertaken</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Assessment of compensation for loss of export earnings in the EAC undertaken</w:t>
            </w: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Enhanced capacity for macro-economic stability.</w:t>
            </w:r>
          </w:p>
        </w:tc>
        <w:tc>
          <w:tcPr>
            <w:tcW w:w="2551" w:type="dxa"/>
            <w:tcBorders>
              <w:top w:val="nil"/>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Amount of adjustment funds disbursed to cover losses of government revenues</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Compliance with macro-economic indicators of over 7% GDP gowth, sustainable budget deficit and inflation rates</w:t>
            </w:r>
          </w:p>
        </w:tc>
      </w:tr>
      <w:tr>
        <w:tc>
          <w:tcPr>
            <w:tcW w:w="2269" w:type="dxa"/>
            <w:tcBorders>
              <w:top w:val="single" w:sz="4" w:space="0" w:color="000000"/>
              <w:left w:val="single" w:sz="24" w:space="0" w:color="000000"/>
              <w:bottom w:val="single" w:sz="24" w:space="0" w:color="000000"/>
            </w:tcBorders>
            <w:shd w:val="clear" w:color="auto" w:fill="auto"/>
          </w:tcPr>
          <w:p>
            <w:pPr>
              <w:numPr>
                <w:ilvl w:val="1"/>
                <w:numId w:val="30"/>
              </w:numPr>
              <w:spacing w:before="40" w:after="40"/>
              <w:ind w:left="426"/>
              <w:jc w:val="left"/>
              <w:rPr>
                <w:rFonts w:eastAsia="Times New Roman"/>
                <w:b/>
                <w:bCs/>
                <w:noProof/>
                <w:sz w:val="20"/>
                <w:szCs w:val="20"/>
                <w:lang w:eastAsia="en-GB"/>
              </w:rPr>
            </w:pPr>
            <w:r>
              <w:rPr>
                <w:rFonts w:eastAsia="Times New Roman"/>
                <w:b/>
                <w:bCs/>
                <w:noProof/>
                <w:sz w:val="20"/>
                <w:szCs w:val="20"/>
                <w:lang w:eastAsia="en-GB"/>
              </w:rPr>
              <w:t>Resource mobilization</w:t>
            </w:r>
          </w:p>
        </w:tc>
        <w:tc>
          <w:tcPr>
            <w:tcW w:w="2126" w:type="dxa"/>
            <w:tcBorders>
              <w:top w:val="single" w:sz="4" w:space="0" w:color="000000"/>
              <w:bottom w:val="single" w:sz="24" w:space="0" w:color="000000"/>
            </w:tcBorders>
          </w:tcPr>
          <w:p>
            <w:pPr>
              <w:widowControl w:val="0"/>
              <w:tabs>
                <w:tab w:val="left" w:pos="220"/>
                <w:tab w:val="left" w:pos="720"/>
              </w:tabs>
              <w:autoSpaceDE w:val="0"/>
              <w:autoSpaceDN w:val="0"/>
              <w:adjustRightInd w:val="0"/>
              <w:spacing w:before="0" w:after="240"/>
              <w:contextualSpacing/>
              <w:jc w:val="left"/>
              <w:rPr>
                <w:rFonts w:eastAsia="Times New Roman"/>
                <w:bCs/>
                <w:noProof/>
                <w:kern w:val="32"/>
                <w:sz w:val="20"/>
                <w:szCs w:val="20"/>
                <w:lang w:val="en-US" w:eastAsia="fr-BE"/>
              </w:rPr>
            </w:pPr>
            <w:r>
              <w:rPr>
                <w:rFonts w:eastAsia="Times New Roman"/>
                <w:noProof/>
                <w:sz w:val="20"/>
                <w:szCs w:val="20"/>
                <w:lang w:val="en-US" w:eastAsia="en-GB"/>
              </w:rPr>
              <w:t xml:space="preserve"> To mobilize jointly and individually funding for regional integration and the EPA development strategies</w:t>
            </w:r>
          </w:p>
        </w:tc>
        <w:tc>
          <w:tcPr>
            <w:tcW w:w="2268" w:type="dxa"/>
            <w:tcBorders>
              <w:top w:val="single" w:sz="4" w:space="0" w:color="000000"/>
              <w:bottom w:val="single" w:sz="24" w:space="0" w:color="000000"/>
            </w:tcBorders>
          </w:tcPr>
          <w:p>
            <w:pPr>
              <w:tabs>
                <w:tab w:val="left" w:pos="993"/>
              </w:tabs>
              <w:spacing w:before="0" w:after="0"/>
              <w:jc w:val="left"/>
              <w:rPr>
                <w:rFonts w:eastAsia="Times New Roman"/>
                <w:noProof/>
                <w:sz w:val="20"/>
                <w:szCs w:val="20"/>
                <w:lang w:val="en-US" w:eastAsia="en-GB"/>
              </w:rPr>
            </w:pPr>
            <w:r>
              <w:rPr>
                <w:rFonts w:eastAsia="Times New Roman"/>
                <w:noProof/>
                <w:sz w:val="20"/>
                <w:szCs w:val="20"/>
                <w:lang w:val="en-US" w:eastAsia="en-GB"/>
              </w:rPr>
              <w:t xml:space="preserve">EDF, EU Member States, other development Partners, Private sector, and EAC Partner States contributions </w:t>
            </w:r>
          </w:p>
        </w:tc>
        <w:tc>
          <w:tcPr>
            <w:tcW w:w="2126"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 EAC EPA fund established.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Funds jointly and individually mobilized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Feasibility studies conducted</w:t>
            </w:r>
          </w:p>
        </w:tc>
        <w:tc>
          <w:tcPr>
            <w:tcW w:w="2182" w:type="dxa"/>
            <w:tcBorders>
              <w:top w:val="single" w:sz="4" w:space="0" w:color="000000"/>
              <w:bottom w:val="single" w:sz="24" w:space="0" w:color="000000"/>
            </w:tcBorders>
          </w:tcPr>
          <w:p>
            <w:pPr>
              <w:tabs>
                <w:tab w:val="left" w:pos="66"/>
              </w:tabs>
              <w:autoSpaceDE w:val="0"/>
              <w:autoSpaceDN w:val="0"/>
              <w:adjustRightInd w:val="0"/>
              <w:spacing w:before="40" w:after="40"/>
              <w:jc w:val="left"/>
              <w:rPr>
                <w:rFonts w:eastAsia="Times New Roman"/>
                <w:noProof/>
                <w:sz w:val="20"/>
                <w:szCs w:val="20"/>
                <w:lang w:eastAsia="en-GB"/>
              </w:rPr>
            </w:pPr>
            <w:r>
              <w:rPr>
                <w:rFonts w:eastAsia="Times New Roman"/>
                <w:noProof/>
                <w:sz w:val="20"/>
                <w:szCs w:val="20"/>
                <w:lang w:eastAsia="en-GB"/>
              </w:rPr>
              <w:t xml:space="preserve">EAC EPA Development projects (contained in the EPA Development Matrix) funded and implemented </w:t>
            </w:r>
          </w:p>
          <w:p>
            <w:pPr>
              <w:autoSpaceDE w:val="0"/>
              <w:autoSpaceDN w:val="0"/>
              <w:adjustRightInd w:val="0"/>
              <w:spacing w:before="40" w:after="40"/>
              <w:jc w:val="left"/>
              <w:rPr>
                <w:rFonts w:eastAsia="Times New Roman"/>
                <w:noProof/>
                <w:sz w:val="20"/>
                <w:szCs w:val="20"/>
                <w:lang w:eastAsia="en-GB"/>
              </w:rPr>
            </w:pPr>
          </w:p>
        </w:tc>
        <w:tc>
          <w:tcPr>
            <w:tcW w:w="2183"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Trade related infrastructure developed</w:t>
            </w:r>
          </w:p>
        </w:tc>
        <w:tc>
          <w:tcPr>
            <w:tcW w:w="2551" w:type="dxa"/>
            <w:tcBorders>
              <w:top w:val="single" w:sz="4" w:space="0" w:color="000000"/>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Amount of financial resources committed by EAC Partner States, EU,</w:t>
            </w:r>
            <w:r>
              <w:rPr>
                <w:rFonts w:eastAsia="Times New Roman"/>
                <w:noProof/>
                <w:sz w:val="20"/>
                <w:szCs w:val="20"/>
                <w:lang w:val="en-US" w:eastAsia="en-GB"/>
              </w:rPr>
              <w:t xml:space="preserve"> EU Member States, other development Partners, and the private sector.</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Amount of resources utilized</w:t>
            </w:r>
          </w:p>
          <w:p>
            <w:pPr>
              <w:numPr>
                <w:ilvl w:val="0"/>
                <w:numId w:val="29"/>
              </w:numPr>
              <w:autoSpaceDE w:val="0"/>
              <w:autoSpaceDN w:val="0"/>
              <w:adjustRightInd w:val="0"/>
              <w:spacing w:before="40" w:after="40"/>
              <w:ind w:left="196" w:hanging="196"/>
              <w:jc w:val="left"/>
              <w:rPr>
                <w:rFonts w:eastAsia="Times New Roman"/>
                <w:noProof/>
                <w:sz w:val="20"/>
                <w:szCs w:val="20"/>
                <w:lang w:eastAsia="en-GB"/>
              </w:rPr>
            </w:pPr>
            <w:r>
              <w:rPr>
                <w:rFonts w:eastAsia="Times New Roman"/>
                <w:noProof/>
                <w:sz w:val="20"/>
                <w:szCs w:val="20"/>
                <w:lang w:eastAsia="en-GB"/>
              </w:rPr>
              <w:t xml:space="preserve">Number of projects and programmes implemented </w:t>
            </w:r>
          </w:p>
        </w:tc>
      </w:tr>
    </w:tbl>
    <w:p>
      <w:pPr>
        <w:spacing w:before="0" w:after="0"/>
        <w:jc w:val="left"/>
        <w:rPr>
          <w:rFonts w:eastAsia="Times New Roman"/>
          <w:noProof/>
          <w:szCs w:val="24"/>
          <w:u w:val="single"/>
          <w:lang w:eastAsia="en-GB"/>
        </w:rPr>
      </w:pPr>
    </w:p>
    <w:p>
      <w:pPr>
        <w:spacing w:before="0" w:after="0"/>
        <w:jc w:val="center"/>
        <w:outlineLvl w:val="0"/>
        <w:rPr>
          <w:rFonts w:eastAsia="Times New Roman"/>
          <w:noProof/>
          <w:szCs w:val="24"/>
          <w:lang w:eastAsia="en-GB"/>
        </w:rPr>
      </w:pPr>
      <w:r>
        <w:rPr>
          <w:rFonts w:eastAsia="Times New Roman"/>
          <w:noProof/>
          <w:szCs w:val="24"/>
          <w:lang w:eastAsia="en-GB"/>
        </w:rPr>
        <w:t>Table of abbreviations used in Annex III(a) and III(b)</w:t>
      </w:r>
    </w:p>
    <w:tbl>
      <w:tblPr>
        <w:tblStyle w:val="TableGrid"/>
        <w:tblW w:w="0" w:type="auto"/>
        <w:tblLook w:val="04A0" w:firstRow="1" w:lastRow="0" w:firstColumn="1" w:lastColumn="0" w:noHBand="0" w:noVBand="1"/>
      </w:tblPr>
      <w:tblGrid>
        <w:gridCol w:w="3510"/>
        <w:gridCol w:w="11278"/>
      </w:tblGrid>
      <w:tr>
        <w:tc>
          <w:tcPr>
            <w:tcW w:w="3510" w:type="dxa"/>
          </w:tcPr>
          <w:p>
            <w:pPr>
              <w:spacing w:before="0" w:after="0"/>
              <w:jc w:val="center"/>
              <w:outlineLvl w:val="0"/>
              <w:rPr>
                <w:noProof/>
                <w:sz w:val="20"/>
                <w:lang w:eastAsia="en-GB"/>
              </w:rPr>
            </w:pPr>
            <w:r>
              <w:rPr>
                <w:noProof/>
                <w:sz w:val="20"/>
                <w:lang w:eastAsia="en-GB"/>
              </w:rPr>
              <w:t>Abbreviation</w:t>
            </w:r>
          </w:p>
        </w:tc>
        <w:tc>
          <w:tcPr>
            <w:tcW w:w="11278" w:type="dxa"/>
          </w:tcPr>
          <w:p>
            <w:pPr>
              <w:spacing w:before="0" w:after="0"/>
              <w:jc w:val="right"/>
              <w:outlineLvl w:val="0"/>
              <w:rPr>
                <w:noProof/>
                <w:sz w:val="20"/>
                <w:lang w:eastAsia="en-GB"/>
              </w:rPr>
            </w:pPr>
          </w:p>
        </w:tc>
      </w:tr>
      <w:tr>
        <w:trPr>
          <w:trHeight w:hRule="exact" w:val="340"/>
        </w:trPr>
        <w:tc>
          <w:tcPr>
            <w:tcW w:w="3510" w:type="dxa"/>
            <w:hideMark/>
          </w:tcPr>
          <w:p>
            <w:pPr>
              <w:jc w:val="center"/>
              <w:rPr>
                <w:noProof/>
                <w:sz w:val="20"/>
              </w:rPr>
            </w:pPr>
            <w:r>
              <w:rPr>
                <w:noProof/>
                <w:sz w:val="20"/>
              </w:rPr>
              <w:t>WB</w:t>
            </w:r>
          </w:p>
        </w:tc>
        <w:tc>
          <w:tcPr>
            <w:tcW w:w="11278" w:type="dxa"/>
            <w:hideMark/>
          </w:tcPr>
          <w:p>
            <w:pPr>
              <w:jc w:val="center"/>
              <w:rPr>
                <w:noProof/>
                <w:sz w:val="20"/>
              </w:rPr>
            </w:pPr>
            <w:r>
              <w:rPr>
                <w:noProof/>
                <w:sz w:val="20"/>
              </w:rPr>
              <w:t>World Bank</w:t>
            </w:r>
          </w:p>
        </w:tc>
      </w:tr>
      <w:tr>
        <w:trPr>
          <w:trHeight w:hRule="exact" w:val="340"/>
        </w:trPr>
        <w:tc>
          <w:tcPr>
            <w:tcW w:w="3510" w:type="dxa"/>
            <w:hideMark/>
          </w:tcPr>
          <w:p>
            <w:pPr>
              <w:jc w:val="center"/>
              <w:rPr>
                <w:noProof/>
                <w:sz w:val="20"/>
              </w:rPr>
            </w:pPr>
            <w:r>
              <w:rPr>
                <w:noProof/>
                <w:sz w:val="20"/>
              </w:rPr>
              <w:t>TMEA</w:t>
            </w:r>
          </w:p>
        </w:tc>
        <w:tc>
          <w:tcPr>
            <w:tcW w:w="11278" w:type="dxa"/>
            <w:hideMark/>
          </w:tcPr>
          <w:p>
            <w:pPr>
              <w:jc w:val="center"/>
              <w:rPr>
                <w:noProof/>
                <w:sz w:val="20"/>
              </w:rPr>
            </w:pPr>
            <w:r>
              <w:rPr>
                <w:noProof/>
                <w:sz w:val="20"/>
              </w:rPr>
              <w:t>TradeMark East Africa</w:t>
            </w:r>
          </w:p>
        </w:tc>
      </w:tr>
      <w:tr>
        <w:trPr>
          <w:trHeight w:hRule="exact" w:val="340"/>
        </w:trPr>
        <w:tc>
          <w:tcPr>
            <w:tcW w:w="3510" w:type="dxa"/>
            <w:hideMark/>
          </w:tcPr>
          <w:p>
            <w:pPr>
              <w:jc w:val="center"/>
              <w:rPr>
                <w:noProof/>
                <w:sz w:val="20"/>
              </w:rPr>
            </w:pPr>
            <w:r>
              <w:rPr>
                <w:noProof/>
                <w:sz w:val="20"/>
              </w:rPr>
              <w:t>GoR</w:t>
            </w:r>
          </w:p>
        </w:tc>
        <w:tc>
          <w:tcPr>
            <w:tcW w:w="11278" w:type="dxa"/>
            <w:hideMark/>
          </w:tcPr>
          <w:p>
            <w:pPr>
              <w:jc w:val="center"/>
              <w:rPr>
                <w:noProof/>
                <w:sz w:val="20"/>
              </w:rPr>
            </w:pPr>
            <w:r>
              <w:rPr>
                <w:noProof/>
                <w:sz w:val="20"/>
              </w:rPr>
              <w:t>Government of Rwanda</w:t>
            </w:r>
          </w:p>
        </w:tc>
      </w:tr>
      <w:tr>
        <w:trPr>
          <w:trHeight w:hRule="exact" w:val="340"/>
        </w:trPr>
        <w:tc>
          <w:tcPr>
            <w:tcW w:w="3510" w:type="dxa"/>
            <w:hideMark/>
          </w:tcPr>
          <w:p>
            <w:pPr>
              <w:jc w:val="center"/>
              <w:rPr>
                <w:noProof/>
                <w:sz w:val="20"/>
              </w:rPr>
            </w:pPr>
            <w:r>
              <w:rPr>
                <w:noProof/>
                <w:sz w:val="20"/>
              </w:rPr>
              <w:t>ToR</w:t>
            </w:r>
          </w:p>
        </w:tc>
        <w:tc>
          <w:tcPr>
            <w:tcW w:w="11278" w:type="dxa"/>
            <w:hideMark/>
          </w:tcPr>
          <w:p>
            <w:pPr>
              <w:jc w:val="center"/>
              <w:rPr>
                <w:noProof/>
                <w:sz w:val="20"/>
              </w:rPr>
            </w:pPr>
            <w:r>
              <w:rPr>
                <w:noProof/>
                <w:sz w:val="20"/>
              </w:rPr>
              <w:t>Terms of Reference</w:t>
            </w:r>
          </w:p>
        </w:tc>
      </w:tr>
      <w:tr>
        <w:trPr>
          <w:trHeight w:hRule="exact" w:val="340"/>
        </w:trPr>
        <w:tc>
          <w:tcPr>
            <w:tcW w:w="3510" w:type="dxa"/>
            <w:hideMark/>
          </w:tcPr>
          <w:p>
            <w:pPr>
              <w:jc w:val="center"/>
              <w:rPr>
                <w:noProof/>
                <w:sz w:val="20"/>
              </w:rPr>
            </w:pPr>
            <w:r>
              <w:rPr>
                <w:noProof/>
                <w:sz w:val="20"/>
              </w:rPr>
              <w:t>BAD</w:t>
            </w:r>
          </w:p>
        </w:tc>
        <w:tc>
          <w:tcPr>
            <w:tcW w:w="11278" w:type="dxa"/>
            <w:hideMark/>
          </w:tcPr>
          <w:p>
            <w:pPr>
              <w:jc w:val="center"/>
              <w:rPr>
                <w:noProof/>
                <w:sz w:val="20"/>
                <w:lang w:val="fr-BE"/>
              </w:rPr>
            </w:pPr>
            <w:r>
              <w:rPr>
                <w:noProof/>
                <w:sz w:val="20"/>
                <w:lang w:val="fr-BE"/>
              </w:rPr>
              <w:t>Banque Africaine de Développement (same as AfDB)</w:t>
            </w:r>
          </w:p>
        </w:tc>
      </w:tr>
      <w:tr>
        <w:trPr>
          <w:trHeight w:hRule="exact" w:val="340"/>
        </w:trPr>
        <w:tc>
          <w:tcPr>
            <w:tcW w:w="3510" w:type="dxa"/>
            <w:hideMark/>
          </w:tcPr>
          <w:p>
            <w:pPr>
              <w:jc w:val="center"/>
              <w:rPr>
                <w:noProof/>
                <w:sz w:val="20"/>
              </w:rPr>
            </w:pPr>
            <w:r>
              <w:rPr>
                <w:noProof/>
                <w:sz w:val="20"/>
              </w:rPr>
              <w:t>AfDB</w:t>
            </w:r>
          </w:p>
        </w:tc>
        <w:tc>
          <w:tcPr>
            <w:tcW w:w="11278" w:type="dxa"/>
            <w:hideMark/>
          </w:tcPr>
          <w:p>
            <w:pPr>
              <w:jc w:val="center"/>
              <w:rPr>
                <w:noProof/>
                <w:sz w:val="20"/>
              </w:rPr>
            </w:pPr>
            <w:r>
              <w:rPr>
                <w:noProof/>
                <w:sz w:val="20"/>
              </w:rPr>
              <w:t>African Development Bank</w:t>
            </w:r>
          </w:p>
        </w:tc>
      </w:tr>
      <w:tr>
        <w:trPr>
          <w:trHeight w:hRule="exact" w:val="340"/>
        </w:trPr>
        <w:tc>
          <w:tcPr>
            <w:tcW w:w="3510" w:type="dxa"/>
            <w:hideMark/>
          </w:tcPr>
          <w:p>
            <w:pPr>
              <w:jc w:val="center"/>
              <w:rPr>
                <w:noProof/>
                <w:sz w:val="20"/>
              </w:rPr>
            </w:pPr>
            <w:r>
              <w:rPr>
                <w:noProof/>
                <w:sz w:val="20"/>
              </w:rPr>
              <w:t>BNSF</w:t>
            </w:r>
          </w:p>
        </w:tc>
        <w:tc>
          <w:tcPr>
            <w:tcW w:w="11278" w:type="dxa"/>
            <w:hideMark/>
          </w:tcPr>
          <w:p>
            <w:pPr>
              <w:jc w:val="center"/>
              <w:rPr>
                <w:noProof/>
                <w:sz w:val="20"/>
              </w:rPr>
            </w:pPr>
            <w:r>
              <w:rPr>
                <w:noProof/>
                <w:sz w:val="20"/>
              </w:rPr>
              <w:t>BNSF Railway (formerly Burlington Northern and Santa Fe Railway)</w:t>
            </w:r>
          </w:p>
        </w:tc>
      </w:tr>
      <w:tr>
        <w:trPr>
          <w:trHeight w:hRule="exact" w:val="340"/>
        </w:trPr>
        <w:tc>
          <w:tcPr>
            <w:tcW w:w="3510" w:type="dxa"/>
            <w:hideMark/>
          </w:tcPr>
          <w:p>
            <w:pPr>
              <w:jc w:val="center"/>
              <w:rPr>
                <w:noProof/>
                <w:sz w:val="20"/>
              </w:rPr>
            </w:pPr>
            <w:r>
              <w:rPr>
                <w:noProof/>
                <w:sz w:val="20"/>
              </w:rPr>
              <w:t>USTDA</w:t>
            </w:r>
          </w:p>
        </w:tc>
        <w:tc>
          <w:tcPr>
            <w:tcW w:w="11278" w:type="dxa"/>
            <w:hideMark/>
          </w:tcPr>
          <w:p>
            <w:pPr>
              <w:jc w:val="center"/>
              <w:rPr>
                <w:noProof/>
                <w:sz w:val="20"/>
              </w:rPr>
            </w:pPr>
            <w:r>
              <w:rPr>
                <w:noProof/>
                <w:sz w:val="20"/>
              </w:rPr>
              <w:t>US Trade and Development Agency</w:t>
            </w:r>
          </w:p>
        </w:tc>
      </w:tr>
      <w:tr>
        <w:trPr>
          <w:trHeight w:hRule="exact" w:val="340"/>
        </w:trPr>
        <w:tc>
          <w:tcPr>
            <w:tcW w:w="3510" w:type="dxa"/>
            <w:hideMark/>
          </w:tcPr>
          <w:p>
            <w:pPr>
              <w:jc w:val="center"/>
              <w:rPr>
                <w:noProof/>
                <w:sz w:val="20"/>
              </w:rPr>
            </w:pPr>
            <w:r>
              <w:rPr>
                <w:noProof/>
                <w:sz w:val="20"/>
              </w:rPr>
              <w:t>CPSC</w:t>
            </w:r>
          </w:p>
        </w:tc>
        <w:tc>
          <w:tcPr>
            <w:tcW w:w="11278" w:type="dxa"/>
            <w:hideMark/>
          </w:tcPr>
          <w:p>
            <w:pPr>
              <w:jc w:val="center"/>
              <w:rPr>
                <w:noProof/>
                <w:sz w:val="20"/>
              </w:rPr>
            </w:pPr>
            <w:r>
              <w:rPr>
                <w:noProof/>
                <w:sz w:val="20"/>
              </w:rPr>
              <w:t>CPCS - Canadian Pacific Consulting Services</w:t>
            </w:r>
          </w:p>
        </w:tc>
      </w:tr>
      <w:tr>
        <w:trPr>
          <w:trHeight w:hRule="exact" w:val="340"/>
        </w:trPr>
        <w:tc>
          <w:tcPr>
            <w:tcW w:w="3510" w:type="dxa"/>
            <w:hideMark/>
          </w:tcPr>
          <w:p>
            <w:pPr>
              <w:jc w:val="center"/>
              <w:rPr>
                <w:noProof/>
                <w:sz w:val="20"/>
              </w:rPr>
            </w:pPr>
            <w:r>
              <w:rPr>
                <w:noProof/>
                <w:sz w:val="20"/>
              </w:rPr>
              <w:t>EoI</w:t>
            </w:r>
          </w:p>
        </w:tc>
        <w:tc>
          <w:tcPr>
            <w:tcW w:w="11278" w:type="dxa"/>
            <w:hideMark/>
          </w:tcPr>
          <w:p>
            <w:pPr>
              <w:jc w:val="center"/>
              <w:rPr>
                <w:noProof/>
                <w:sz w:val="20"/>
              </w:rPr>
            </w:pPr>
            <w:r>
              <w:rPr>
                <w:noProof/>
                <w:sz w:val="20"/>
              </w:rPr>
              <w:t>Expression of Interest</w:t>
            </w:r>
          </w:p>
        </w:tc>
      </w:tr>
      <w:tr>
        <w:trPr>
          <w:trHeight w:hRule="exact" w:val="340"/>
        </w:trPr>
        <w:tc>
          <w:tcPr>
            <w:tcW w:w="3510" w:type="dxa"/>
            <w:hideMark/>
          </w:tcPr>
          <w:p>
            <w:pPr>
              <w:jc w:val="center"/>
              <w:rPr>
                <w:noProof/>
                <w:sz w:val="20"/>
              </w:rPr>
            </w:pPr>
            <w:r>
              <w:rPr>
                <w:noProof/>
                <w:sz w:val="20"/>
              </w:rPr>
              <w:t>Tz</w:t>
            </w:r>
          </w:p>
        </w:tc>
        <w:tc>
          <w:tcPr>
            <w:tcW w:w="11278" w:type="dxa"/>
            <w:hideMark/>
          </w:tcPr>
          <w:p>
            <w:pPr>
              <w:jc w:val="center"/>
              <w:rPr>
                <w:noProof/>
                <w:sz w:val="20"/>
              </w:rPr>
            </w:pPr>
            <w:r>
              <w:rPr>
                <w:noProof/>
                <w:sz w:val="20"/>
              </w:rPr>
              <w:t>Tanzania</w:t>
            </w:r>
          </w:p>
        </w:tc>
      </w:tr>
      <w:tr>
        <w:trPr>
          <w:trHeight w:hRule="exact" w:val="340"/>
        </w:trPr>
        <w:tc>
          <w:tcPr>
            <w:tcW w:w="3510" w:type="dxa"/>
            <w:hideMark/>
          </w:tcPr>
          <w:p>
            <w:pPr>
              <w:jc w:val="center"/>
              <w:rPr>
                <w:noProof/>
                <w:sz w:val="20"/>
              </w:rPr>
            </w:pPr>
            <w:r>
              <w:rPr>
                <w:noProof/>
                <w:sz w:val="20"/>
              </w:rPr>
              <w:t>GOT/GoT</w:t>
            </w:r>
          </w:p>
        </w:tc>
        <w:tc>
          <w:tcPr>
            <w:tcW w:w="11278" w:type="dxa"/>
            <w:hideMark/>
          </w:tcPr>
          <w:p>
            <w:pPr>
              <w:jc w:val="center"/>
              <w:rPr>
                <w:noProof/>
                <w:sz w:val="20"/>
              </w:rPr>
            </w:pPr>
            <w:r>
              <w:rPr>
                <w:noProof/>
                <w:sz w:val="20"/>
              </w:rPr>
              <w:t>Government of Tanzania</w:t>
            </w:r>
          </w:p>
        </w:tc>
      </w:tr>
      <w:tr>
        <w:trPr>
          <w:trHeight w:hRule="exact" w:val="340"/>
        </w:trPr>
        <w:tc>
          <w:tcPr>
            <w:tcW w:w="3510" w:type="dxa"/>
            <w:hideMark/>
          </w:tcPr>
          <w:p>
            <w:pPr>
              <w:jc w:val="center"/>
              <w:rPr>
                <w:noProof/>
                <w:sz w:val="20"/>
              </w:rPr>
            </w:pPr>
            <w:r>
              <w:rPr>
                <w:noProof/>
                <w:sz w:val="20"/>
              </w:rPr>
              <w:t>JICA</w:t>
            </w:r>
          </w:p>
        </w:tc>
        <w:tc>
          <w:tcPr>
            <w:tcW w:w="11278" w:type="dxa"/>
            <w:hideMark/>
          </w:tcPr>
          <w:p>
            <w:pPr>
              <w:jc w:val="center"/>
              <w:rPr>
                <w:noProof/>
                <w:sz w:val="20"/>
              </w:rPr>
            </w:pPr>
            <w:r>
              <w:rPr>
                <w:noProof/>
                <w:sz w:val="20"/>
              </w:rPr>
              <w:t>Japan International Cooperation Agency</w:t>
            </w:r>
          </w:p>
        </w:tc>
      </w:tr>
      <w:tr>
        <w:trPr>
          <w:trHeight w:hRule="exact" w:val="340"/>
        </w:trPr>
        <w:tc>
          <w:tcPr>
            <w:tcW w:w="3510" w:type="dxa"/>
            <w:hideMark/>
          </w:tcPr>
          <w:p>
            <w:pPr>
              <w:jc w:val="center"/>
              <w:rPr>
                <w:noProof/>
                <w:sz w:val="20"/>
              </w:rPr>
            </w:pPr>
            <w:r>
              <w:rPr>
                <w:noProof/>
                <w:sz w:val="20"/>
              </w:rPr>
              <w:t>NEPAD-IPPF</w:t>
            </w:r>
          </w:p>
        </w:tc>
        <w:tc>
          <w:tcPr>
            <w:tcW w:w="11278" w:type="dxa"/>
            <w:hideMark/>
          </w:tcPr>
          <w:p>
            <w:pPr>
              <w:jc w:val="center"/>
              <w:rPr>
                <w:noProof/>
                <w:sz w:val="20"/>
              </w:rPr>
            </w:pPr>
            <w:r>
              <w:rPr>
                <w:noProof/>
                <w:sz w:val="20"/>
              </w:rPr>
              <w:t>New Partnership for Africa's Development – Infrastructure Project Preparation Facility</w:t>
            </w:r>
          </w:p>
        </w:tc>
      </w:tr>
      <w:tr>
        <w:trPr>
          <w:trHeight w:hRule="exact" w:val="340"/>
        </w:trPr>
        <w:tc>
          <w:tcPr>
            <w:tcW w:w="3510" w:type="dxa"/>
            <w:hideMark/>
          </w:tcPr>
          <w:p>
            <w:pPr>
              <w:jc w:val="center"/>
              <w:rPr>
                <w:noProof/>
                <w:sz w:val="20"/>
              </w:rPr>
            </w:pPr>
            <w:r>
              <w:rPr>
                <w:noProof/>
                <w:sz w:val="20"/>
              </w:rPr>
              <w:t>CDE</w:t>
            </w:r>
          </w:p>
        </w:tc>
        <w:tc>
          <w:tcPr>
            <w:tcW w:w="11278" w:type="dxa"/>
            <w:hideMark/>
          </w:tcPr>
          <w:p>
            <w:pPr>
              <w:jc w:val="center"/>
              <w:rPr>
                <w:noProof/>
                <w:sz w:val="20"/>
              </w:rPr>
            </w:pPr>
            <w:r>
              <w:rPr>
                <w:noProof/>
                <w:sz w:val="20"/>
              </w:rPr>
              <w:t>Centre for the Development of Enterprise</w:t>
            </w:r>
          </w:p>
        </w:tc>
      </w:tr>
      <w:tr>
        <w:trPr>
          <w:trHeight w:hRule="exact" w:val="340"/>
        </w:trPr>
        <w:tc>
          <w:tcPr>
            <w:tcW w:w="3510" w:type="dxa"/>
            <w:hideMark/>
          </w:tcPr>
          <w:p>
            <w:pPr>
              <w:jc w:val="center"/>
              <w:rPr>
                <w:noProof/>
                <w:sz w:val="20"/>
              </w:rPr>
            </w:pPr>
            <w:r>
              <w:rPr>
                <w:noProof/>
                <w:sz w:val="20"/>
              </w:rPr>
              <w:t>CTA</w:t>
            </w:r>
          </w:p>
        </w:tc>
        <w:tc>
          <w:tcPr>
            <w:tcW w:w="11278" w:type="dxa"/>
            <w:hideMark/>
          </w:tcPr>
          <w:p>
            <w:pPr>
              <w:jc w:val="center"/>
              <w:rPr>
                <w:noProof/>
                <w:sz w:val="20"/>
              </w:rPr>
            </w:pPr>
            <w:r>
              <w:rPr>
                <w:noProof/>
                <w:sz w:val="20"/>
              </w:rPr>
              <w:t>Technical Centre for Agricultural and Rural Cooperation</w:t>
            </w:r>
          </w:p>
        </w:tc>
      </w:tr>
      <w:tr>
        <w:trPr>
          <w:trHeight w:hRule="exact" w:val="340"/>
        </w:trPr>
        <w:tc>
          <w:tcPr>
            <w:tcW w:w="3510" w:type="dxa"/>
            <w:hideMark/>
          </w:tcPr>
          <w:p>
            <w:pPr>
              <w:jc w:val="center"/>
              <w:rPr>
                <w:noProof/>
                <w:sz w:val="20"/>
              </w:rPr>
            </w:pPr>
            <w:r>
              <w:rPr>
                <w:noProof/>
                <w:sz w:val="20"/>
              </w:rPr>
              <w:t>NFIC</w:t>
            </w:r>
          </w:p>
        </w:tc>
        <w:tc>
          <w:tcPr>
            <w:tcW w:w="11278" w:type="dxa"/>
            <w:hideMark/>
          </w:tcPr>
          <w:p>
            <w:pPr>
              <w:jc w:val="center"/>
              <w:rPr>
                <w:noProof/>
                <w:sz w:val="20"/>
              </w:rPr>
            </w:pPr>
            <w:r>
              <w:rPr>
                <w:noProof/>
                <w:sz w:val="20"/>
              </w:rPr>
              <w:t>Net Food Importing Countries</w:t>
            </w:r>
          </w:p>
        </w:tc>
      </w:tr>
      <w:tr>
        <w:trPr>
          <w:trHeight w:hRule="exact" w:val="340"/>
        </w:trPr>
        <w:tc>
          <w:tcPr>
            <w:tcW w:w="3510" w:type="dxa"/>
          </w:tcPr>
          <w:p>
            <w:pPr>
              <w:jc w:val="center"/>
              <w:rPr>
                <w:noProof/>
                <w:sz w:val="20"/>
              </w:rPr>
            </w:pPr>
            <w:r>
              <w:rPr>
                <w:noProof/>
                <w:sz w:val="20"/>
              </w:rPr>
              <w:t>TPA</w:t>
            </w:r>
          </w:p>
        </w:tc>
        <w:tc>
          <w:tcPr>
            <w:tcW w:w="11278" w:type="dxa"/>
          </w:tcPr>
          <w:p>
            <w:pPr>
              <w:jc w:val="center"/>
              <w:rPr>
                <w:noProof/>
                <w:sz w:val="20"/>
              </w:rPr>
            </w:pPr>
            <w:r>
              <w:rPr>
                <w:noProof/>
                <w:sz w:val="20"/>
              </w:rPr>
              <w:t>Tanzania Ports Authority</w:t>
            </w:r>
          </w:p>
        </w:tc>
      </w:tr>
      <w:tr>
        <w:trPr>
          <w:trHeight w:hRule="exact" w:val="340"/>
        </w:trPr>
        <w:tc>
          <w:tcPr>
            <w:tcW w:w="3510" w:type="dxa"/>
          </w:tcPr>
          <w:p>
            <w:pPr>
              <w:jc w:val="center"/>
              <w:rPr>
                <w:noProof/>
                <w:sz w:val="20"/>
              </w:rPr>
            </w:pPr>
            <w:r>
              <w:rPr>
                <w:noProof/>
                <w:sz w:val="20"/>
              </w:rPr>
              <w:t>HLI</w:t>
            </w:r>
          </w:p>
        </w:tc>
        <w:tc>
          <w:tcPr>
            <w:tcW w:w="11278" w:type="dxa"/>
          </w:tcPr>
          <w:p>
            <w:pPr>
              <w:jc w:val="center"/>
              <w:rPr>
                <w:noProof/>
                <w:sz w:val="20"/>
              </w:rPr>
            </w:pPr>
            <w:r>
              <w:rPr>
                <w:noProof/>
                <w:sz w:val="20"/>
              </w:rPr>
              <w:t>High Learning Institutions</w:t>
            </w:r>
          </w:p>
        </w:tc>
      </w:tr>
    </w:tbl>
    <w:p>
      <w:pPr>
        <w:spacing w:before="0" w:after="0"/>
        <w:jc w:val="right"/>
        <w:outlineLvl w:val="0"/>
        <w:rPr>
          <w:rFonts w:eastAsia="Times New Roman"/>
          <w:noProof/>
          <w:szCs w:val="24"/>
          <w:lang w:eastAsia="en-GB"/>
        </w:rPr>
        <w:sectPr>
          <w:footnotePr>
            <w:numRestart w:val="eachPage"/>
          </w:footnotePr>
          <w:endnotePr>
            <w:numFmt w:val="decimal"/>
          </w:endnotePr>
          <w:pgSz w:w="16840" w:h="11907" w:orient="landscape" w:code="9"/>
          <w:pgMar w:top="1134" w:right="1134" w:bottom="1134" w:left="1134" w:header="1134" w:footer="1134" w:gutter="0"/>
          <w:cols w:space="720"/>
          <w:docGrid w:linePitch="326"/>
        </w:sectPr>
      </w:pPr>
      <w:r>
        <w:rPr>
          <w:rFonts w:eastAsia="Times New Roman"/>
          <w:noProof/>
          <w:szCs w:val="24"/>
          <w:lang w:eastAsia="en-GB"/>
        </w:rPr>
        <w:t xml:space="preserve"> </w:t>
      </w:r>
    </w:p>
    <w:p>
      <w:pPr>
        <w:spacing w:before="0" w:after="0"/>
        <w:jc w:val="left"/>
        <w:rPr>
          <w:rFonts w:eastAsia="Times New Roman"/>
          <w:noProof/>
          <w:sz w:val="2"/>
          <w:szCs w:val="2"/>
          <w:lang w:eastAsia="en-GB"/>
        </w:rPr>
      </w:pPr>
    </w:p>
    <w:p>
      <w:pPr>
        <w:keepNext/>
        <w:spacing w:before="360" w:after="0"/>
        <w:jc w:val="center"/>
        <w:outlineLvl w:val="0"/>
        <w:rPr>
          <w:rFonts w:eastAsia="Times New Roman" w:cs="Arial"/>
          <w:b/>
          <w:bCs/>
          <w:smallCaps/>
          <w:noProof/>
          <w:szCs w:val="20"/>
          <w:lang w:eastAsia="fr-BE"/>
        </w:rPr>
      </w:pPr>
      <w:r>
        <w:rPr>
          <w:rFonts w:eastAsia="Times New Roman" w:cs="Arial"/>
          <w:b/>
          <w:bCs/>
          <w:smallCaps/>
          <w:noProof/>
          <w:szCs w:val="20"/>
          <w:lang w:eastAsia="fr-BE"/>
        </w:rPr>
        <w:t>ANNEX IV</w:t>
      </w:r>
    </w:p>
    <w:p>
      <w:pPr>
        <w:keepNext/>
        <w:spacing w:before="360" w:after="360"/>
        <w:jc w:val="center"/>
        <w:outlineLvl w:val="0"/>
        <w:rPr>
          <w:rFonts w:eastAsia="Arial"/>
          <w:b/>
          <w:noProof/>
          <w:szCs w:val="24"/>
          <w:lang w:eastAsia="en-GB"/>
        </w:rPr>
      </w:pPr>
      <w:r>
        <w:rPr>
          <w:rFonts w:eastAsia="Arial"/>
          <w:b/>
          <w:noProof/>
          <w:szCs w:val="24"/>
          <w:lang w:eastAsia="en-GB"/>
        </w:rPr>
        <w:t>JOINT DECLARATION REGARDING COUNTRIES WHICH HAVE ESTABLISHED A CUSTOMS UNION WITH EUROPEAN UNION</w:t>
      </w:r>
    </w:p>
    <w:p>
      <w:pPr>
        <w:rPr>
          <w:rFonts w:eastAsia="Times New Roman"/>
          <w:noProof/>
          <w:lang w:eastAsia="en-GB"/>
        </w:rPr>
      </w:pPr>
      <w:r>
        <w:rPr>
          <w:noProof/>
          <w:lang w:eastAsia="en-GB"/>
        </w:rPr>
        <w:t xml:space="preserve">The EU recalls the obligations of those States that have established a Customs Union with the EU to align their trade regime to the one of the EU and for certain of them to conclude preferential agreements with the countries having preferential agreements with the EU. </w:t>
      </w:r>
    </w:p>
    <w:p>
      <w:pPr>
        <w:rPr>
          <w:rFonts w:eastAsia="Times New Roman"/>
          <w:noProof/>
          <w:lang w:eastAsia="en-GB"/>
        </w:rPr>
      </w:pPr>
      <w:r>
        <w:rPr>
          <w:noProof/>
          <w:lang w:eastAsia="en-GB"/>
        </w:rPr>
        <w:t xml:space="preserve">In this context, the Parties note that the EAC Partner States shall start negotiations with those States which: </w:t>
      </w:r>
    </w:p>
    <w:p>
      <w:pPr>
        <w:pStyle w:val="Point0"/>
        <w:rPr>
          <w:rFonts w:eastAsia="Times New Roman"/>
          <w:noProof/>
          <w:lang w:eastAsia="en-GB"/>
        </w:rPr>
      </w:pPr>
      <w:r>
        <w:rPr>
          <w:noProof/>
          <w:lang w:eastAsia="en-GB"/>
        </w:rPr>
        <w:t>(a)</w:t>
      </w:r>
      <w:r>
        <w:rPr>
          <w:noProof/>
          <w:lang w:eastAsia="en-GB"/>
        </w:rPr>
        <w:tab/>
        <w:t xml:space="preserve">have established a Customs Union with the EU; and </w:t>
      </w:r>
    </w:p>
    <w:p>
      <w:pPr>
        <w:pStyle w:val="Point0"/>
        <w:rPr>
          <w:rFonts w:eastAsia="Times New Roman"/>
          <w:noProof/>
          <w:lang w:eastAsia="en-GB"/>
        </w:rPr>
      </w:pPr>
      <w:r>
        <w:rPr>
          <w:noProof/>
          <w:lang w:eastAsia="en-GB"/>
        </w:rPr>
        <w:t>(b)</w:t>
      </w:r>
      <w:r>
        <w:rPr>
          <w:noProof/>
          <w:lang w:eastAsia="en-GB"/>
        </w:rPr>
        <w:tab/>
        <w:t xml:space="preserve">whose products do not benefit from the tariff concessions under this Agreement, </w:t>
      </w:r>
    </w:p>
    <w:p>
      <w:pPr>
        <w:rPr>
          <w:rFonts w:eastAsia="Times New Roman"/>
          <w:noProof/>
          <w:lang w:eastAsia="en-GB"/>
        </w:rPr>
      </w:pPr>
      <w:r>
        <w:rPr>
          <w:noProof/>
          <w:lang w:eastAsia="en-GB"/>
        </w:rPr>
        <w:t xml:space="preserve">with the view of concluding a bilateral agreement establishing a free trade area in accordance with Article XXIV of the GATT. </w:t>
      </w:r>
    </w:p>
    <w:p>
      <w:pPr>
        <w:rPr>
          <w:noProof/>
        </w:rPr>
      </w:pPr>
      <w:r>
        <w:rPr>
          <w:noProof/>
          <w:lang w:eastAsia="en-GB"/>
        </w:rPr>
        <w:t>The EAC Partner States agree to negotiate this in the future.</w:t>
      </w:r>
      <w:r>
        <w:rPr>
          <w:rStyle w:val="CommentReference"/>
          <w:rFonts w:eastAsia="Times New Roman"/>
          <w:noProof/>
          <w:lang w:eastAsia="en-GB"/>
        </w:rPr>
        <w:t xml:space="preserve"> </w:t>
      </w:r>
    </w:p>
    <w:sectPr>
      <w:headerReference w:type="default"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D2579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0DD7FBB"/>
    <w:multiLevelType w:val="hybridMultilevel"/>
    <w:tmpl w:val="8850E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B4B22D5"/>
    <w:multiLevelType w:val="hybridMultilevel"/>
    <w:tmpl w:val="1292D572"/>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8">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9">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0010DF"/>
    <w:multiLevelType w:val="hybridMultilevel"/>
    <w:tmpl w:val="CDD4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4">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5BF169F"/>
    <w:multiLevelType w:val="hybridMultilevel"/>
    <w:tmpl w:val="10864AB2"/>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nsid w:val="696E7323"/>
    <w:multiLevelType w:val="hybridMultilevel"/>
    <w:tmpl w:val="9780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1">
    <w:nsid w:val="6F88000C"/>
    <w:multiLevelType w:val="multilevel"/>
    <w:tmpl w:val="9236CECE"/>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3">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5">
    <w:nsid w:val="7C483669"/>
    <w:multiLevelType w:val="hybridMultilevel"/>
    <w:tmpl w:val="BF6C470A"/>
    <w:lvl w:ilvl="0" w:tplc="080C0001">
      <w:start w:val="1"/>
      <w:numFmt w:val="bullet"/>
      <w:lvlText w:val=""/>
      <w:lvlJc w:val="left"/>
      <w:pPr>
        <w:ind w:left="720" w:hanging="360"/>
      </w:pPr>
      <w:rPr>
        <w:rFonts w:ascii="Symbol" w:hAnsi="Symbol" w:hint="default"/>
      </w:rPr>
    </w:lvl>
    <w:lvl w:ilvl="1" w:tplc="080C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7">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8">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6"/>
  </w:num>
  <w:num w:numId="5">
    <w:abstractNumId w:val="18"/>
  </w:num>
  <w:num w:numId="6">
    <w:abstractNumId w:val="44"/>
  </w:num>
  <w:num w:numId="7">
    <w:abstractNumId w:val="9"/>
  </w:num>
  <w:num w:numId="8">
    <w:abstractNumId w:val="25"/>
  </w:num>
  <w:num w:numId="9">
    <w:abstractNumId w:val="17"/>
  </w:num>
  <w:num w:numId="10">
    <w:abstractNumId w:val="20"/>
  </w:num>
  <w:num w:numId="11">
    <w:abstractNumId w:val="40"/>
  </w:num>
  <w:num w:numId="12">
    <w:abstractNumId w:val="15"/>
  </w:num>
  <w:num w:numId="13">
    <w:abstractNumId w:val="5"/>
  </w:num>
  <w:num w:numId="14">
    <w:abstractNumId w:val="27"/>
  </w:num>
  <w:num w:numId="15">
    <w:abstractNumId w:val="39"/>
  </w:num>
  <w:num w:numId="16">
    <w:abstractNumId w:val="6"/>
  </w:num>
  <w:num w:numId="17">
    <w:abstractNumId w:val="19"/>
  </w:num>
  <w:num w:numId="18">
    <w:abstractNumId w:val="48"/>
  </w:num>
  <w:num w:numId="19">
    <w:abstractNumId w:val="22"/>
  </w:num>
  <w:num w:numId="20">
    <w:abstractNumId w:val="34"/>
  </w:num>
  <w:num w:numId="21">
    <w:abstractNumId w:val="29"/>
  </w:num>
  <w:num w:numId="22">
    <w:abstractNumId w:val="42"/>
  </w:num>
  <w:num w:numId="23">
    <w:abstractNumId w:val="47"/>
  </w:num>
  <w:num w:numId="24">
    <w:abstractNumId w:val="43"/>
  </w:num>
  <w:num w:numId="25">
    <w:abstractNumId w:val="11"/>
  </w:num>
  <w:num w:numId="26">
    <w:abstractNumId w:val="4"/>
  </w:num>
  <w:num w:numId="27">
    <w:abstractNumId w:val="3"/>
  </w:num>
  <w:num w:numId="28">
    <w:abstractNumId w:val="33"/>
  </w:num>
  <w:num w:numId="29">
    <w:abstractNumId w:val="45"/>
  </w:num>
  <w:num w:numId="30">
    <w:abstractNumId w:val="41"/>
  </w:num>
  <w:num w:numId="31">
    <w:abstractNumId w:val="38"/>
  </w:num>
  <w:num w:numId="32">
    <w:abstractNumId w:val="21"/>
  </w:num>
  <w:num w:numId="33">
    <w:abstractNumId w:val="12"/>
  </w:num>
  <w:num w:numId="34">
    <w:abstractNumId w:val="36"/>
  </w:num>
  <w:num w:numId="35">
    <w:abstractNumId w:val="8"/>
  </w:num>
  <w:num w:numId="36">
    <w:abstractNumId w:val="32"/>
  </w:num>
  <w:num w:numId="37">
    <w:abstractNumId w:val="23"/>
  </w:num>
  <w:num w:numId="38">
    <w:abstractNumId w:val="37"/>
  </w:num>
  <w:num w:numId="39">
    <w:abstractNumId w:val="14"/>
  </w:num>
  <w:num w:numId="40">
    <w:abstractNumId w:val="24"/>
  </w:num>
  <w:num w:numId="41">
    <w:abstractNumId w:val="10"/>
  </w:num>
  <w:num w:numId="42">
    <w:abstractNumId w:val="35"/>
  </w:num>
  <w:num w:numId="43">
    <w:abstractNumId w:val="7"/>
  </w:num>
  <w:num w:numId="44">
    <w:abstractNumId w:val="26"/>
  </w:num>
  <w:num w:numId="45">
    <w:abstractNumId w:val="30"/>
  </w:num>
  <w:num w:numId="46">
    <w:abstractNumId w:val="31"/>
  </w:num>
  <w:num w:numId="47">
    <w:abstractNumId w:val="13"/>
  </w:num>
  <w:num w:numId="48">
    <w:abstractNumId w:val="28"/>
  </w:num>
  <w:num w:numId="49">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5"/>
  <w:displayBackgroundShape/>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42: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4"/>
    <w:docVar w:name="LW_ANNEX_NBR_LAST" w:val="4"/>
    <w:docVar w:name="LW_CONFIDENCE" w:val=" "/>
    <w:docVar w:name="LW_CONST_RESTREINT_UE" w:val="RESTREINT UE"/>
    <w:docVar w:name="LW_CORRIGENDUM" w:val="&lt;UNUSED&gt;"/>
    <w:docVar w:name="LW_COVERPAGE_GUID" w:val="FC488CD8236541888E768EF02D90868B"/>
    <w:docVar w:name="LW_CROSSREFERENCE" w:val="&lt;UNUSED&gt;"/>
    <w:docVar w:name="LW_DocType" w:val="ANNEX"/>
    <w:docVar w:name="LW_EMISSION" w:val="11.2.2016"/>
    <w:docVar w:name="LW_EMISSION_ISODATE" w:val="2016-02-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signature and provisional application of the Economic Partnership Agreement (EPA) between the East African Community (EAC) Partner States,&lt;LWCR:NBS&gt;of the one part, and the European Union and its Member States, of the other part"/>
    <w:docVar w:name="LW_OBJETACTEPRINCIPAL.CP" w:val="on the signature and provisional application of the Economic Partnership Agreement (EPA) between the East African Community (EAC) Partner States, of the one part, and the European Union and its Member States, of the other part"/>
    <w:docVar w:name="LW_PART_NBR" w:val="1"/>
    <w:docVar w:name="LW_PART_NBR_TOTAL" w:val="1"/>
    <w:docVar w:name="LW_REF.INST.NEW" w:val="COM"/>
    <w:docVar w:name="LW_REF.INST.NEW_ADOPTED" w:val="final"/>
    <w:docVar w:name="LW_REF.INST.NEW_TEXT" w:val="(2016) 63"/>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40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2CC2-D8E0-4579-BBEF-DE6FBA34F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50</Pages>
  <Words>7260</Words>
  <Characters>41023</Characters>
  <Application>Microsoft Office Word</Application>
  <DocSecurity>0</DocSecurity>
  <Lines>4102</Lines>
  <Paragraphs>1379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2016-02-02T08:55:00Z</dcterms:created>
  <dcterms:modified xsi:type="dcterms:W3CDTF">2016-02-11T10:42:00Z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4</vt:lpwstr>
  </property>
  <property fmtid="{D5CDD505-2E9C-101B-9397-08002B2CF9AE}" pid="8" name="Last annex">
    <vt:lpwstr>4</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