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DD4ACF23D42444DBDE5C8A63B8CA897"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 xml:space="preserve">ПРОТОКОЛИ 1 И </w:t>
      </w:r>
      <w:bookmarkEnd w:id="0"/>
      <w:r>
        <w:rPr>
          <w:noProof/>
        </w:rPr>
        <w:t>2</w:t>
      </w:r>
    </w:p>
    <w:p>
      <w:pPr>
        <w:spacing w:after="840"/>
        <w:jc w:val="center"/>
        <w:rPr>
          <w:b/>
          <w:noProof/>
        </w:rPr>
      </w:pPr>
      <w:r>
        <w:rPr>
          <w:b/>
          <w:noProof/>
        </w:rPr>
        <w:t>ПРОТОКОЛ 1</w:t>
      </w:r>
    </w:p>
    <w:p>
      <w:pPr>
        <w:jc w:val="center"/>
        <w:rPr>
          <w:b/>
          <w:noProof/>
        </w:rPr>
      </w:pPr>
      <w:r>
        <w:rPr>
          <w:b/>
          <w:noProof/>
        </w:rPr>
        <w:t>ОТНОСНО ОПРЕДЕЛЕНИЕ НА ПОНЯТИЕТО „ПРОДУКТИ С ПРОИЗХОД“ И МЕТОДИТЕ НА АДМИНИСТРАТИВНО СЪТРУДНИЧЕСТВО</w:t>
      </w:r>
    </w:p>
    <w:p>
      <w:pPr>
        <w:jc w:val="center"/>
        <w:rPr>
          <w:noProof/>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p>
    <w:p>
      <w:pPr>
        <w:spacing w:after="240"/>
        <w:jc w:val="center"/>
        <w:rPr>
          <w:b/>
          <w:noProof/>
        </w:rPr>
      </w:pPr>
      <w:r>
        <w:rPr>
          <w:b/>
          <w:noProof/>
        </w:rPr>
        <w:lastRenderedPageBreak/>
        <w:t>Съдържание</w:t>
      </w:r>
    </w:p>
    <w:p>
      <w:pPr>
        <w:spacing w:after="240"/>
        <w:rPr>
          <w:b/>
          <w:noProof/>
        </w:rPr>
      </w:pPr>
      <w:r>
        <w:rPr>
          <w:b/>
          <w:noProof/>
        </w:rPr>
        <w:t>ДЯЛ I: Общи разпоредби</w:t>
      </w:r>
    </w:p>
    <w:p>
      <w:pPr>
        <w:rPr>
          <w:b/>
          <w:noProof/>
        </w:rPr>
      </w:pPr>
      <w:r>
        <w:rPr>
          <w:b/>
          <w:noProof/>
        </w:rPr>
        <w:t>ЧЛЕН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w:t>
            </w:r>
          </w:p>
        </w:tc>
        <w:tc>
          <w:tcPr>
            <w:tcW w:w="8000" w:type="dxa"/>
          </w:tcPr>
          <w:p>
            <w:pPr>
              <w:rPr>
                <w:noProof/>
              </w:rPr>
            </w:pPr>
            <w:r>
              <w:rPr>
                <w:noProof/>
              </w:rPr>
              <w:t>Определения</w:t>
            </w:r>
          </w:p>
        </w:tc>
      </w:tr>
    </w:tbl>
    <w:p>
      <w:pPr>
        <w:spacing w:before="240" w:after="240"/>
        <w:rPr>
          <w:b/>
          <w:noProof/>
        </w:rPr>
      </w:pPr>
      <w:r>
        <w:rPr>
          <w:b/>
          <w:noProof/>
        </w:rPr>
        <w:t>ДЯЛ II: Определение на понятието „продукти с произход“</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2.</w:t>
            </w:r>
          </w:p>
        </w:tc>
        <w:tc>
          <w:tcPr>
            <w:tcW w:w="8000" w:type="dxa"/>
          </w:tcPr>
          <w:p>
            <w:pPr>
              <w:rPr>
                <w:noProof/>
              </w:rPr>
            </w:pPr>
            <w:r>
              <w:rPr>
                <w:noProof/>
              </w:rPr>
              <w:t>Общи изисквания</w:t>
            </w:r>
          </w:p>
        </w:tc>
      </w:tr>
      <w:tr>
        <w:tc>
          <w:tcPr>
            <w:tcW w:w="1000" w:type="dxa"/>
          </w:tcPr>
          <w:p>
            <w:pPr>
              <w:rPr>
                <w:noProof/>
              </w:rPr>
            </w:pPr>
            <w:r>
              <w:rPr>
                <w:noProof/>
              </w:rPr>
              <w:t>3.</w:t>
            </w:r>
          </w:p>
        </w:tc>
        <w:tc>
          <w:tcPr>
            <w:tcW w:w="8000" w:type="dxa"/>
          </w:tcPr>
          <w:p>
            <w:pPr>
              <w:rPr>
                <w:noProof/>
              </w:rPr>
            </w:pPr>
            <w:r>
              <w:rPr>
                <w:noProof/>
              </w:rPr>
              <w:t>Обработка или преработка на материали, чийто внос в ЕС е освободен от мита за най-облагодетелствана нация и от квоти</w:t>
            </w:r>
          </w:p>
        </w:tc>
      </w:tr>
      <w:tr>
        <w:tc>
          <w:tcPr>
            <w:tcW w:w="1000" w:type="dxa"/>
          </w:tcPr>
          <w:p>
            <w:pPr>
              <w:rPr>
                <w:noProof/>
              </w:rPr>
            </w:pPr>
            <w:r>
              <w:rPr>
                <w:noProof/>
              </w:rPr>
              <w:t>4.</w:t>
            </w:r>
          </w:p>
        </w:tc>
        <w:tc>
          <w:tcPr>
            <w:tcW w:w="8000" w:type="dxa"/>
          </w:tcPr>
          <w:p>
            <w:pPr>
              <w:rPr>
                <w:bCs/>
                <w:noProof/>
              </w:rPr>
            </w:pPr>
            <w:r>
              <w:rPr>
                <w:noProof/>
              </w:rPr>
              <w:t>Кумулация в държавите партньори от ИАО</w:t>
            </w:r>
          </w:p>
        </w:tc>
      </w:tr>
      <w:tr>
        <w:tc>
          <w:tcPr>
            <w:tcW w:w="1000" w:type="dxa"/>
          </w:tcPr>
          <w:p>
            <w:pPr>
              <w:rPr>
                <w:noProof/>
              </w:rPr>
            </w:pPr>
            <w:r>
              <w:rPr>
                <w:noProof/>
              </w:rPr>
              <w:t>5.</w:t>
            </w:r>
          </w:p>
        </w:tc>
        <w:tc>
          <w:tcPr>
            <w:tcW w:w="8000" w:type="dxa"/>
          </w:tcPr>
          <w:p>
            <w:pPr>
              <w:rPr>
                <w:noProof/>
              </w:rPr>
            </w:pPr>
            <w:r>
              <w:rPr>
                <w:noProof/>
              </w:rPr>
              <w:t>Кумулация в ЕС</w:t>
            </w:r>
          </w:p>
        </w:tc>
      </w:tr>
      <w:tr>
        <w:tc>
          <w:tcPr>
            <w:tcW w:w="1000" w:type="dxa"/>
          </w:tcPr>
          <w:p>
            <w:pPr>
              <w:rPr>
                <w:noProof/>
              </w:rPr>
            </w:pPr>
            <w:r>
              <w:rPr>
                <w:noProof/>
              </w:rPr>
              <w:t>6.</w:t>
            </w:r>
          </w:p>
        </w:tc>
        <w:tc>
          <w:tcPr>
            <w:tcW w:w="8000" w:type="dxa"/>
          </w:tcPr>
          <w:p>
            <w:pPr>
              <w:rPr>
                <w:noProof/>
              </w:rPr>
            </w:pPr>
            <w:r>
              <w:rPr>
                <w:noProof/>
              </w:rPr>
              <w:t>Кумулация с други държави, които се ползват от безмитен и безквотен достъп до пазара на ЕС</w:t>
            </w:r>
          </w:p>
        </w:tc>
      </w:tr>
      <w:tr>
        <w:tc>
          <w:tcPr>
            <w:tcW w:w="1000" w:type="dxa"/>
          </w:tcPr>
          <w:p>
            <w:pPr>
              <w:rPr>
                <w:noProof/>
              </w:rPr>
            </w:pPr>
            <w:r>
              <w:rPr>
                <w:noProof/>
              </w:rPr>
              <w:t>7.</w:t>
            </w:r>
          </w:p>
        </w:tc>
        <w:tc>
          <w:tcPr>
            <w:tcW w:w="8000" w:type="dxa"/>
          </w:tcPr>
          <w:p>
            <w:pPr>
              <w:rPr>
                <w:bCs/>
                <w:noProof/>
              </w:rPr>
            </w:pPr>
            <w:r>
              <w:rPr>
                <w:noProof/>
              </w:rPr>
              <w:t>Изцяло получени продукти</w:t>
            </w:r>
          </w:p>
        </w:tc>
      </w:tr>
      <w:tr>
        <w:tc>
          <w:tcPr>
            <w:tcW w:w="1000" w:type="dxa"/>
          </w:tcPr>
          <w:p>
            <w:pPr>
              <w:rPr>
                <w:noProof/>
              </w:rPr>
            </w:pPr>
            <w:r>
              <w:rPr>
                <w:noProof/>
              </w:rPr>
              <w:t>8.</w:t>
            </w:r>
          </w:p>
        </w:tc>
        <w:tc>
          <w:tcPr>
            <w:tcW w:w="8000" w:type="dxa"/>
          </w:tcPr>
          <w:p>
            <w:pPr>
              <w:rPr>
                <w:noProof/>
              </w:rPr>
            </w:pPr>
            <w:r>
              <w:rPr>
                <w:noProof/>
              </w:rPr>
              <w:t>Достатъчно обработени или преработени продукти</w:t>
            </w:r>
          </w:p>
        </w:tc>
      </w:tr>
      <w:tr>
        <w:tc>
          <w:tcPr>
            <w:tcW w:w="1000" w:type="dxa"/>
          </w:tcPr>
          <w:p>
            <w:pPr>
              <w:rPr>
                <w:noProof/>
              </w:rPr>
            </w:pPr>
            <w:r>
              <w:rPr>
                <w:noProof/>
              </w:rPr>
              <w:t>9.</w:t>
            </w:r>
          </w:p>
        </w:tc>
        <w:tc>
          <w:tcPr>
            <w:tcW w:w="8000" w:type="dxa"/>
          </w:tcPr>
          <w:p>
            <w:pPr>
              <w:rPr>
                <w:noProof/>
              </w:rPr>
            </w:pPr>
            <w:r>
              <w:rPr>
                <w:noProof/>
              </w:rPr>
              <w:t>Операции, представляващи недостатъчна обработка или преработка</w:t>
            </w:r>
          </w:p>
        </w:tc>
      </w:tr>
      <w:tr>
        <w:tc>
          <w:tcPr>
            <w:tcW w:w="1000" w:type="dxa"/>
          </w:tcPr>
          <w:p>
            <w:pPr>
              <w:rPr>
                <w:noProof/>
              </w:rPr>
            </w:pPr>
            <w:r>
              <w:rPr>
                <w:noProof/>
              </w:rPr>
              <w:t>10.</w:t>
            </w:r>
          </w:p>
        </w:tc>
        <w:tc>
          <w:tcPr>
            <w:tcW w:w="8000" w:type="dxa"/>
          </w:tcPr>
          <w:p>
            <w:pPr>
              <w:rPr>
                <w:noProof/>
              </w:rPr>
            </w:pPr>
            <w:r>
              <w:rPr>
                <w:noProof/>
              </w:rPr>
              <w:t>Единица за оценка</w:t>
            </w:r>
          </w:p>
        </w:tc>
      </w:tr>
      <w:tr>
        <w:tc>
          <w:tcPr>
            <w:tcW w:w="1000" w:type="dxa"/>
          </w:tcPr>
          <w:p>
            <w:pPr>
              <w:rPr>
                <w:noProof/>
              </w:rPr>
            </w:pPr>
            <w:r>
              <w:rPr>
                <w:noProof/>
              </w:rPr>
              <w:t>11.</w:t>
            </w:r>
          </w:p>
        </w:tc>
        <w:tc>
          <w:tcPr>
            <w:tcW w:w="8000" w:type="dxa"/>
          </w:tcPr>
          <w:p>
            <w:pPr>
              <w:rPr>
                <w:noProof/>
              </w:rPr>
            </w:pPr>
            <w:r>
              <w:rPr>
                <w:noProof/>
              </w:rPr>
              <w:t>Принадлежности, резервни части и инструменти</w:t>
            </w:r>
          </w:p>
        </w:tc>
      </w:tr>
      <w:tr>
        <w:tc>
          <w:tcPr>
            <w:tcW w:w="1000" w:type="dxa"/>
          </w:tcPr>
          <w:p>
            <w:pPr>
              <w:rPr>
                <w:noProof/>
              </w:rPr>
            </w:pPr>
            <w:r>
              <w:rPr>
                <w:noProof/>
              </w:rPr>
              <w:t>12.</w:t>
            </w:r>
          </w:p>
        </w:tc>
        <w:tc>
          <w:tcPr>
            <w:tcW w:w="8000" w:type="dxa"/>
          </w:tcPr>
          <w:p>
            <w:pPr>
              <w:rPr>
                <w:noProof/>
              </w:rPr>
            </w:pPr>
            <w:r>
              <w:rPr>
                <w:noProof/>
              </w:rPr>
              <w:t>Koмплекти</w:t>
            </w:r>
          </w:p>
        </w:tc>
      </w:tr>
      <w:tr>
        <w:tc>
          <w:tcPr>
            <w:tcW w:w="1000" w:type="dxa"/>
          </w:tcPr>
          <w:p>
            <w:pPr>
              <w:rPr>
                <w:noProof/>
              </w:rPr>
            </w:pPr>
            <w:r>
              <w:rPr>
                <w:noProof/>
              </w:rPr>
              <w:t>13.</w:t>
            </w:r>
          </w:p>
        </w:tc>
        <w:tc>
          <w:tcPr>
            <w:tcW w:w="8000" w:type="dxa"/>
          </w:tcPr>
          <w:p>
            <w:pPr>
              <w:rPr>
                <w:noProof/>
              </w:rPr>
            </w:pPr>
            <w:r>
              <w:rPr>
                <w:noProof/>
              </w:rPr>
              <w:t>Неутрални елементи</w:t>
            </w:r>
          </w:p>
        </w:tc>
      </w:tr>
    </w:tbl>
    <w:p>
      <w:pPr>
        <w:spacing w:before="240" w:after="240"/>
        <w:rPr>
          <w:b/>
          <w:noProof/>
        </w:rPr>
      </w:pPr>
      <w:r>
        <w:rPr>
          <w:b/>
          <w:noProof/>
        </w:rPr>
        <w:t>ДЯЛ III: Териториални изисквания</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14.</w:t>
            </w:r>
          </w:p>
        </w:tc>
        <w:tc>
          <w:tcPr>
            <w:tcW w:w="8000" w:type="dxa"/>
          </w:tcPr>
          <w:p>
            <w:pPr>
              <w:rPr>
                <w:noProof/>
              </w:rPr>
            </w:pPr>
            <w:r>
              <w:rPr>
                <w:noProof/>
              </w:rPr>
              <w:t>Принцип на териториалност</w:t>
            </w:r>
          </w:p>
        </w:tc>
      </w:tr>
      <w:tr>
        <w:tc>
          <w:tcPr>
            <w:tcW w:w="1000" w:type="dxa"/>
          </w:tcPr>
          <w:p>
            <w:pPr>
              <w:rPr>
                <w:noProof/>
              </w:rPr>
            </w:pPr>
            <w:r>
              <w:rPr>
                <w:noProof/>
              </w:rPr>
              <w:t>15.</w:t>
            </w:r>
          </w:p>
        </w:tc>
        <w:tc>
          <w:tcPr>
            <w:tcW w:w="8000" w:type="dxa"/>
          </w:tcPr>
          <w:p>
            <w:pPr>
              <w:rPr>
                <w:noProof/>
              </w:rPr>
            </w:pPr>
            <w:r>
              <w:rPr>
                <w:noProof/>
              </w:rPr>
              <w:t>Забрана за промяна</w:t>
            </w:r>
          </w:p>
        </w:tc>
      </w:tr>
      <w:tr>
        <w:tc>
          <w:tcPr>
            <w:tcW w:w="1000" w:type="dxa"/>
          </w:tcPr>
          <w:p>
            <w:pPr>
              <w:rPr>
                <w:noProof/>
              </w:rPr>
            </w:pPr>
            <w:r>
              <w:rPr>
                <w:noProof/>
              </w:rPr>
              <w:lastRenderedPageBreak/>
              <w:t>16.</w:t>
            </w:r>
          </w:p>
        </w:tc>
        <w:tc>
          <w:tcPr>
            <w:tcW w:w="8000" w:type="dxa"/>
          </w:tcPr>
          <w:p>
            <w:pPr>
              <w:rPr>
                <w:noProof/>
              </w:rPr>
            </w:pPr>
            <w:r>
              <w:rPr>
                <w:noProof/>
              </w:rPr>
              <w:t>Изложения</w:t>
            </w:r>
          </w:p>
        </w:tc>
      </w:tr>
    </w:tbl>
    <w:p>
      <w:pPr>
        <w:spacing w:before="240" w:after="240"/>
        <w:rPr>
          <w:b/>
          <w:noProof/>
        </w:rPr>
      </w:pPr>
      <w:r>
        <w:rPr>
          <w:b/>
          <w:noProof/>
        </w:rPr>
        <w:t>ДЯЛ IV: Доказателство за произход</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17.</w:t>
            </w:r>
          </w:p>
        </w:tc>
        <w:tc>
          <w:tcPr>
            <w:tcW w:w="8000" w:type="dxa"/>
          </w:tcPr>
          <w:p>
            <w:pPr>
              <w:rPr>
                <w:noProof/>
              </w:rPr>
            </w:pPr>
            <w:r>
              <w:rPr>
                <w:noProof/>
              </w:rPr>
              <w:t>Общи изисквания</w:t>
            </w:r>
          </w:p>
        </w:tc>
      </w:tr>
      <w:tr>
        <w:tc>
          <w:tcPr>
            <w:tcW w:w="1000" w:type="dxa"/>
          </w:tcPr>
          <w:p>
            <w:pPr>
              <w:rPr>
                <w:noProof/>
              </w:rPr>
            </w:pPr>
            <w:r>
              <w:rPr>
                <w:noProof/>
              </w:rPr>
              <w:t>18.</w:t>
            </w:r>
          </w:p>
        </w:tc>
        <w:tc>
          <w:tcPr>
            <w:tcW w:w="8000" w:type="dxa"/>
          </w:tcPr>
          <w:p>
            <w:pPr>
              <w:rPr>
                <w:noProof/>
              </w:rPr>
            </w:pPr>
            <w:r>
              <w:rPr>
                <w:noProof/>
              </w:rPr>
              <w:t>Процедура по издаване на сертификат за движение EUR 1</w:t>
            </w:r>
          </w:p>
        </w:tc>
      </w:tr>
      <w:tr>
        <w:tc>
          <w:tcPr>
            <w:tcW w:w="1000" w:type="dxa"/>
          </w:tcPr>
          <w:p>
            <w:pPr>
              <w:rPr>
                <w:noProof/>
              </w:rPr>
            </w:pPr>
            <w:r>
              <w:rPr>
                <w:noProof/>
              </w:rPr>
              <w:t>19.</w:t>
            </w:r>
          </w:p>
        </w:tc>
        <w:tc>
          <w:tcPr>
            <w:tcW w:w="8000" w:type="dxa"/>
          </w:tcPr>
          <w:p>
            <w:pPr>
              <w:rPr>
                <w:noProof/>
              </w:rPr>
            </w:pPr>
            <w:r>
              <w:rPr>
                <w:noProof/>
              </w:rPr>
              <w:t>Сертификати за движение EUR 1, издадени впоследствие</w:t>
            </w:r>
          </w:p>
        </w:tc>
      </w:tr>
      <w:tr>
        <w:tc>
          <w:tcPr>
            <w:tcW w:w="1000" w:type="dxa"/>
          </w:tcPr>
          <w:p>
            <w:pPr>
              <w:rPr>
                <w:noProof/>
              </w:rPr>
            </w:pPr>
            <w:r>
              <w:rPr>
                <w:noProof/>
              </w:rPr>
              <w:t>20.</w:t>
            </w:r>
          </w:p>
        </w:tc>
        <w:tc>
          <w:tcPr>
            <w:tcW w:w="8000" w:type="dxa"/>
          </w:tcPr>
          <w:p>
            <w:pPr>
              <w:rPr>
                <w:noProof/>
              </w:rPr>
            </w:pPr>
            <w:r>
              <w:rPr>
                <w:noProof/>
              </w:rPr>
              <w:t>Издаване на дубликат на сертификат за движение EUR 1</w:t>
            </w:r>
          </w:p>
        </w:tc>
      </w:tr>
      <w:tr>
        <w:tc>
          <w:tcPr>
            <w:tcW w:w="1000" w:type="dxa"/>
          </w:tcPr>
          <w:p>
            <w:pPr>
              <w:rPr>
                <w:noProof/>
              </w:rPr>
            </w:pPr>
            <w:r>
              <w:rPr>
                <w:noProof/>
              </w:rPr>
              <w:t>21.</w:t>
            </w:r>
          </w:p>
        </w:tc>
        <w:tc>
          <w:tcPr>
            <w:tcW w:w="8000" w:type="dxa"/>
          </w:tcPr>
          <w:p>
            <w:pPr>
              <w:rPr>
                <w:noProof/>
              </w:rPr>
            </w:pPr>
            <w:r>
              <w:rPr>
                <w:noProof/>
              </w:rPr>
              <w:t>Издаване на сертификати за движение EUR 1 въз основа на предварително издадено или изготвено доказателство за произход</w:t>
            </w:r>
          </w:p>
        </w:tc>
      </w:tr>
      <w:tr>
        <w:tc>
          <w:tcPr>
            <w:tcW w:w="1000" w:type="dxa"/>
          </w:tcPr>
          <w:p>
            <w:pPr>
              <w:rPr>
                <w:noProof/>
              </w:rPr>
            </w:pPr>
            <w:r>
              <w:rPr>
                <w:noProof/>
              </w:rPr>
              <w:t>22.</w:t>
            </w:r>
          </w:p>
        </w:tc>
        <w:tc>
          <w:tcPr>
            <w:tcW w:w="8000" w:type="dxa"/>
          </w:tcPr>
          <w:p>
            <w:pPr>
              <w:rPr>
                <w:noProof/>
              </w:rPr>
            </w:pPr>
            <w:r>
              <w:rPr>
                <w:noProof/>
              </w:rPr>
              <w:t>Условия за изготвяне на декларация за произход</w:t>
            </w:r>
          </w:p>
        </w:tc>
      </w:tr>
      <w:tr>
        <w:tc>
          <w:tcPr>
            <w:tcW w:w="1000" w:type="dxa"/>
          </w:tcPr>
          <w:p>
            <w:pPr>
              <w:rPr>
                <w:noProof/>
              </w:rPr>
            </w:pPr>
            <w:r>
              <w:rPr>
                <w:noProof/>
              </w:rPr>
              <w:t>23.</w:t>
            </w:r>
          </w:p>
        </w:tc>
        <w:tc>
          <w:tcPr>
            <w:tcW w:w="8000" w:type="dxa"/>
          </w:tcPr>
          <w:p>
            <w:pPr>
              <w:rPr>
                <w:noProof/>
              </w:rPr>
            </w:pPr>
            <w:r>
              <w:rPr>
                <w:noProof/>
              </w:rPr>
              <w:t>Одобрен износител</w:t>
            </w:r>
          </w:p>
        </w:tc>
      </w:tr>
      <w:tr>
        <w:tc>
          <w:tcPr>
            <w:tcW w:w="1000" w:type="dxa"/>
          </w:tcPr>
          <w:p>
            <w:pPr>
              <w:rPr>
                <w:noProof/>
              </w:rPr>
            </w:pPr>
            <w:r>
              <w:rPr>
                <w:noProof/>
              </w:rPr>
              <w:t>24.</w:t>
            </w:r>
          </w:p>
        </w:tc>
        <w:tc>
          <w:tcPr>
            <w:tcW w:w="8000" w:type="dxa"/>
          </w:tcPr>
          <w:p>
            <w:pPr>
              <w:rPr>
                <w:noProof/>
              </w:rPr>
            </w:pPr>
            <w:r>
              <w:rPr>
                <w:noProof/>
              </w:rPr>
              <w:t>Валидност на доказателството за произход</w:t>
            </w:r>
          </w:p>
        </w:tc>
      </w:tr>
      <w:tr>
        <w:tc>
          <w:tcPr>
            <w:tcW w:w="1000" w:type="dxa"/>
          </w:tcPr>
          <w:p>
            <w:pPr>
              <w:rPr>
                <w:noProof/>
              </w:rPr>
            </w:pPr>
            <w:r>
              <w:rPr>
                <w:noProof/>
              </w:rPr>
              <w:t>25.</w:t>
            </w:r>
          </w:p>
        </w:tc>
        <w:tc>
          <w:tcPr>
            <w:tcW w:w="8000" w:type="dxa"/>
          </w:tcPr>
          <w:p>
            <w:pPr>
              <w:rPr>
                <w:noProof/>
              </w:rPr>
            </w:pPr>
            <w:r>
              <w:rPr>
                <w:noProof/>
              </w:rPr>
              <w:t>Представяне на доказателството за произход</w:t>
            </w:r>
          </w:p>
        </w:tc>
      </w:tr>
      <w:tr>
        <w:tc>
          <w:tcPr>
            <w:tcW w:w="1000" w:type="dxa"/>
          </w:tcPr>
          <w:p>
            <w:pPr>
              <w:rPr>
                <w:noProof/>
              </w:rPr>
            </w:pPr>
            <w:r>
              <w:rPr>
                <w:noProof/>
              </w:rPr>
              <w:t>26.</w:t>
            </w:r>
          </w:p>
        </w:tc>
        <w:tc>
          <w:tcPr>
            <w:tcW w:w="8000" w:type="dxa"/>
          </w:tcPr>
          <w:p>
            <w:pPr>
              <w:rPr>
                <w:noProof/>
              </w:rPr>
            </w:pPr>
            <w:r>
              <w:rPr>
                <w:noProof/>
              </w:rPr>
              <w:t>Внос, осъществяван чрез поредица от доставки</w:t>
            </w:r>
          </w:p>
        </w:tc>
      </w:tr>
      <w:tr>
        <w:tc>
          <w:tcPr>
            <w:tcW w:w="1000" w:type="dxa"/>
          </w:tcPr>
          <w:p>
            <w:pPr>
              <w:rPr>
                <w:noProof/>
              </w:rPr>
            </w:pPr>
            <w:r>
              <w:rPr>
                <w:noProof/>
              </w:rPr>
              <w:t>27.</w:t>
            </w:r>
          </w:p>
        </w:tc>
        <w:tc>
          <w:tcPr>
            <w:tcW w:w="8000" w:type="dxa"/>
          </w:tcPr>
          <w:p>
            <w:pPr>
              <w:rPr>
                <w:noProof/>
              </w:rPr>
            </w:pPr>
            <w:r>
              <w:rPr>
                <w:noProof/>
              </w:rPr>
              <w:t>Освобождаване от изискването за представяне на доказателство за произход</w:t>
            </w:r>
          </w:p>
        </w:tc>
      </w:tr>
      <w:tr>
        <w:tc>
          <w:tcPr>
            <w:tcW w:w="1000" w:type="dxa"/>
          </w:tcPr>
          <w:p>
            <w:pPr>
              <w:rPr>
                <w:noProof/>
              </w:rPr>
            </w:pPr>
            <w:r>
              <w:rPr>
                <w:noProof/>
              </w:rPr>
              <w:t>28.</w:t>
            </w:r>
          </w:p>
        </w:tc>
        <w:tc>
          <w:tcPr>
            <w:tcW w:w="8000" w:type="dxa"/>
          </w:tcPr>
          <w:p>
            <w:pPr>
              <w:rPr>
                <w:noProof/>
              </w:rPr>
            </w:pPr>
            <w:r>
              <w:rPr>
                <w:noProof/>
              </w:rPr>
              <w:t>Информационна процедура за целите на кумулацията</w:t>
            </w:r>
          </w:p>
        </w:tc>
      </w:tr>
      <w:tr>
        <w:tc>
          <w:tcPr>
            <w:tcW w:w="1000" w:type="dxa"/>
          </w:tcPr>
          <w:p>
            <w:pPr>
              <w:rPr>
                <w:noProof/>
              </w:rPr>
            </w:pPr>
            <w:r>
              <w:rPr>
                <w:noProof/>
              </w:rPr>
              <w:t>29.</w:t>
            </w:r>
          </w:p>
        </w:tc>
        <w:tc>
          <w:tcPr>
            <w:tcW w:w="8000" w:type="dxa"/>
          </w:tcPr>
          <w:p>
            <w:pPr>
              <w:rPr>
                <w:noProof/>
              </w:rPr>
            </w:pPr>
            <w:r>
              <w:rPr>
                <w:noProof/>
              </w:rPr>
              <w:t>Подкрепящи документи</w:t>
            </w:r>
          </w:p>
        </w:tc>
      </w:tr>
      <w:tr>
        <w:tc>
          <w:tcPr>
            <w:tcW w:w="1000" w:type="dxa"/>
          </w:tcPr>
          <w:p>
            <w:pPr>
              <w:rPr>
                <w:noProof/>
              </w:rPr>
            </w:pPr>
            <w:r>
              <w:rPr>
                <w:noProof/>
              </w:rPr>
              <w:t>30.</w:t>
            </w:r>
          </w:p>
        </w:tc>
        <w:tc>
          <w:tcPr>
            <w:tcW w:w="8000" w:type="dxa"/>
          </w:tcPr>
          <w:p>
            <w:pPr>
              <w:rPr>
                <w:noProof/>
              </w:rPr>
            </w:pPr>
            <w:r>
              <w:rPr>
                <w:noProof/>
              </w:rPr>
              <w:t>Съхранение на доказателствата за произход и на подкрепящите документи</w:t>
            </w:r>
          </w:p>
        </w:tc>
      </w:tr>
      <w:tr>
        <w:tc>
          <w:tcPr>
            <w:tcW w:w="1000" w:type="dxa"/>
          </w:tcPr>
          <w:p>
            <w:pPr>
              <w:rPr>
                <w:noProof/>
              </w:rPr>
            </w:pPr>
            <w:r>
              <w:rPr>
                <w:noProof/>
              </w:rPr>
              <w:t>31.</w:t>
            </w:r>
          </w:p>
        </w:tc>
        <w:tc>
          <w:tcPr>
            <w:tcW w:w="8000" w:type="dxa"/>
          </w:tcPr>
          <w:p>
            <w:pPr>
              <w:rPr>
                <w:noProof/>
              </w:rPr>
            </w:pPr>
            <w:r>
              <w:rPr>
                <w:noProof/>
              </w:rPr>
              <w:t>Несъответствия и технически грешки</w:t>
            </w:r>
          </w:p>
        </w:tc>
      </w:tr>
      <w:tr>
        <w:tc>
          <w:tcPr>
            <w:tcW w:w="1000" w:type="dxa"/>
          </w:tcPr>
          <w:p>
            <w:pPr>
              <w:rPr>
                <w:noProof/>
              </w:rPr>
            </w:pPr>
            <w:r>
              <w:rPr>
                <w:noProof/>
              </w:rPr>
              <w:t>32.</w:t>
            </w:r>
          </w:p>
        </w:tc>
        <w:tc>
          <w:tcPr>
            <w:tcW w:w="8000" w:type="dxa"/>
          </w:tcPr>
          <w:p>
            <w:pPr>
              <w:rPr>
                <w:noProof/>
              </w:rPr>
            </w:pPr>
            <w:r>
              <w:rPr>
                <w:noProof/>
              </w:rPr>
              <w:t>Суми, изразени в евро</w:t>
            </w:r>
          </w:p>
        </w:tc>
      </w:tr>
    </w:tbl>
    <w:p>
      <w:pPr>
        <w:spacing w:before="240" w:after="240"/>
        <w:rPr>
          <w:b/>
          <w:noProof/>
        </w:rPr>
      </w:pPr>
      <w:r>
        <w:rPr>
          <w:b/>
          <w:noProof/>
        </w:rPr>
        <w:t>ДЯЛ V: Договорености за административно сътрудничество</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33.</w:t>
            </w:r>
          </w:p>
        </w:tc>
        <w:tc>
          <w:tcPr>
            <w:tcW w:w="8000" w:type="dxa"/>
          </w:tcPr>
          <w:p>
            <w:pPr>
              <w:rPr>
                <w:noProof/>
              </w:rPr>
            </w:pPr>
            <w:r>
              <w:rPr>
                <w:noProof/>
              </w:rPr>
              <w:t>Административни условия, на които трябва да отговарят продуктите, за да могат да се ползват от разпоредбите на настоящото споразумение</w:t>
            </w:r>
          </w:p>
        </w:tc>
      </w:tr>
      <w:tr>
        <w:tc>
          <w:tcPr>
            <w:tcW w:w="1000" w:type="dxa"/>
          </w:tcPr>
          <w:p>
            <w:pPr>
              <w:rPr>
                <w:noProof/>
              </w:rPr>
            </w:pPr>
            <w:r>
              <w:rPr>
                <w:noProof/>
              </w:rPr>
              <w:lastRenderedPageBreak/>
              <w:t>34.</w:t>
            </w:r>
          </w:p>
        </w:tc>
        <w:tc>
          <w:tcPr>
            <w:tcW w:w="8000" w:type="dxa"/>
          </w:tcPr>
          <w:p>
            <w:pPr>
              <w:rPr>
                <w:noProof/>
              </w:rPr>
            </w:pPr>
            <w:r>
              <w:rPr>
                <w:noProof/>
              </w:rPr>
              <w:t>Съобщаване на информация на митническите органи</w:t>
            </w:r>
          </w:p>
        </w:tc>
      </w:tr>
      <w:tr>
        <w:tc>
          <w:tcPr>
            <w:tcW w:w="1000" w:type="dxa"/>
          </w:tcPr>
          <w:p>
            <w:pPr>
              <w:rPr>
                <w:noProof/>
              </w:rPr>
            </w:pPr>
            <w:r>
              <w:rPr>
                <w:noProof/>
              </w:rPr>
              <w:t>35.</w:t>
            </w:r>
          </w:p>
        </w:tc>
        <w:tc>
          <w:tcPr>
            <w:tcW w:w="8000" w:type="dxa"/>
          </w:tcPr>
          <w:p>
            <w:pPr>
              <w:rPr>
                <w:noProof/>
              </w:rPr>
            </w:pPr>
            <w:r>
              <w:rPr>
                <w:noProof/>
              </w:rPr>
              <w:t>Методи на административно сътрудничество</w:t>
            </w:r>
          </w:p>
        </w:tc>
      </w:tr>
      <w:tr>
        <w:tc>
          <w:tcPr>
            <w:tcW w:w="1000" w:type="dxa"/>
          </w:tcPr>
          <w:p>
            <w:pPr>
              <w:rPr>
                <w:noProof/>
              </w:rPr>
            </w:pPr>
            <w:r>
              <w:rPr>
                <w:noProof/>
              </w:rPr>
              <w:t>36.</w:t>
            </w:r>
          </w:p>
        </w:tc>
        <w:tc>
          <w:tcPr>
            <w:tcW w:w="8000" w:type="dxa"/>
          </w:tcPr>
          <w:p>
            <w:pPr>
              <w:rPr>
                <w:noProof/>
              </w:rPr>
            </w:pPr>
            <w:r>
              <w:rPr>
                <w:noProof/>
              </w:rPr>
              <w:t>Проверка на доказателството за произход</w:t>
            </w:r>
          </w:p>
        </w:tc>
      </w:tr>
      <w:tr>
        <w:tc>
          <w:tcPr>
            <w:tcW w:w="1000" w:type="dxa"/>
          </w:tcPr>
          <w:p>
            <w:pPr>
              <w:rPr>
                <w:noProof/>
              </w:rPr>
            </w:pPr>
            <w:r>
              <w:rPr>
                <w:noProof/>
              </w:rPr>
              <w:t>37.</w:t>
            </w:r>
          </w:p>
        </w:tc>
        <w:tc>
          <w:tcPr>
            <w:tcW w:w="8000" w:type="dxa"/>
          </w:tcPr>
          <w:p>
            <w:pPr>
              <w:rPr>
                <w:noProof/>
              </w:rPr>
            </w:pPr>
            <w:r>
              <w:rPr>
                <w:noProof/>
              </w:rPr>
              <w:t>Проверка на декларациите на доставчика</w:t>
            </w:r>
          </w:p>
        </w:tc>
      </w:tr>
      <w:tr>
        <w:tc>
          <w:tcPr>
            <w:tcW w:w="1000" w:type="dxa"/>
          </w:tcPr>
          <w:p>
            <w:pPr>
              <w:rPr>
                <w:noProof/>
              </w:rPr>
            </w:pPr>
            <w:r>
              <w:rPr>
                <w:noProof/>
              </w:rPr>
              <w:t>38.</w:t>
            </w:r>
          </w:p>
        </w:tc>
        <w:tc>
          <w:tcPr>
            <w:tcW w:w="8000" w:type="dxa"/>
          </w:tcPr>
          <w:p>
            <w:pPr>
              <w:rPr>
                <w:noProof/>
              </w:rPr>
            </w:pPr>
            <w:r>
              <w:rPr>
                <w:noProof/>
              </w:rPr>
              <w:t>Уреждане на спорове</w:t>
            </w:r>
          </w:p>
        </w:tc>
      </w:tr>
      <w:tr>
        <w:tc>
          <w:tcPr>
            <w:tcW w:w="1000" w:type="dxa"/>
          </w:tcPr>
          <w:p>
            <w:pPr>
              <w:rPr>
                <w:noProof/>
              </w:rPr>
            </w:pPr>
            <w:r>
              <w:rPr>
                <w:noProof/>
              </w:rPr>
              <w:t>39.</w:t>
            </w:r>
          </w:p>
        </w:tc>
        <w:tc>
          <w:tcPr>
            <w:tcW w:w="8000" w:type="dxa"/>
          </w:tcPr>
          <w:p>
            <w:pPr>
              <w:rPr>
                <w:noProof/>
              </w:rPr>
            </w:pPr>
            <w:r>
              <w:rPr>
                <w:noProof/>
              </w:rPr>
              <w:t>Санкции</w:t>
            </w:r>
          </w:p>
        </w:tc>
      </w:tr>
      <w:tr>
        <w:tc>
          <w:tcPr>
            <w:tcW w:w="1000" w:type="dxa"/>
          </w:tcPr>
          <w:p>
            <w:pPr>
              <w:rPr>
                <w:noProof/>
              </w:rPr>
            </w:pPr>
            <w:r>
              <w:rPr>
                <w:noProof/>
              </w:rPr>
              <w:t>40.</w:t>
            </w:r>
          </w:p>
        </w:tc>
        <w:tc>
          <w:tcPr>
            <w:tcW w:w="8000" w:type="dxa"/>
          </w:tcPr>
          <w:p>
            <w:pPr>
              <w:rPr>
                <w:noProof/>
              </w:rPr>
            </w:pPr>
            <w:r>
              <w:rPr>
                <w:noProof/>
              </w:rPr>
              <w:t>Дерогации</w:t>
            </w:r>
          </w:p>
        </w:tc>
      </w:tr>
    </w:tbl>
    <w:p>
      <w:pPr>
        <w:spacing w:before="240" w:after="240"/>
        <w:rPr>
          <w:b/>
          <w:noProof/>
        </w:rPr>
      </w:pPr>
      <w:r>
        <w:rPr>
          <w:b/>
          <w:noProof/>
        </w:rPr>
        <w:t>ДЯЛ VI: Сеута и Мелила</w:t>
      </w:r>
    </w:p>
    <w:p>
      <w:pPr>
        <w:spacing w:after="240"/>
        <w:rPr>
          <w:b/>
          <w:noProof/>
        </w:rPr>
      </w:pPr>
      <w:r>
        <w:rPr>
          <w:b/>
          <w:noProof/>
        </w:rPr>
        <w:t>ЧЛЕН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41.</w:t>
            </w:r>
          </w:p>
        </w:tc>
        <w:tc>
          <w:tcPr>
            <w:tcW w:w="8000" w:type="dxa"/>
          </w:tcPr>
          <w:p>
            <w:pPr>
              <w:rPr>
                <w:noProof/>
              </w:rPr>
            </w:pPr>
            <w:r>
              <w:rPr>
                <w:noProof/>
              </w:rPr>
              <w:t>Специални условия</w:t>
            </w:r>
          </w:p>
        </w:tc>
      </w:tr>
    </w:tbl>
    <w:p>
      <w:pPr>
        <w:spacing w:before="240" w:after="240"/>
        <w:rPr>
          <w:b/>
          <w:noProof/>
        </w:rPr>
      </w:pPr>
      <w:r>
        <w:rPr>
          <w:b/>
          <w:noProof/>
        </w:rPr>
        <w:t>ДЯЛ VII: Заключителни разпоредби</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42.</w:t>
            </w:r>
          </w:p>
        </w:tc>
        <w:tc>
          <w:tcPr>
            <w:tcW w:w="8000" w:type="dxa"/>
          </w:tcPr>
          <w:p>
            <w:pPr>
              <w:rPr>
                <w:noProof/>
              </w:rPr>
            </w:pPr>
            <w:r>
              <w:rPr>
                <w:noProof/>
              </w:rPr>
              <w:t>Преразглеждане и прилагане на правилата за произход</w:t>
            </w:r>
          </w:p>
        </w:tc>
      </w:tr>
      <w:tr>
        <w:tc>
          <w:tcPr>
            <w:tcW w:w="1000" w:type="dxa"/>
          </w:tcPr>
          <w:p>
            <w:pPr>
              <w:rPr>
                <w:noProof/>
              </w:rPr>
            </w:pPr>
            <w:r>
              <w:rPr>
                <w:noProof/>
              </w:rPr>
              <w:t>43.</w:t>
            </w:r>
          </w:p>
        </w:tc>
        <w:tc>
          <w:tcPr>
            <w:tcW w:w="8000" w:type="dxa"/>
          </w:tcPr>
          <w:p>
            <w:pPr>
              <w:rPr>
                <w:noProof/>
              </w:rPr>
            </w:pPr>
            <w:r>
              <w:rPr>
                <w:noProof/>
              </w:rPr>
              <w:t>Изменение на протокола</w:t>
            </w:r>
          </w:p>
        </w:tc>
      </w:tr>
      <w:tr>
        <w:tc>
          <w:tcPr>
            <w:tcW w:w="1000" w:type="dxa"/>
          </w:tcPr>
          <w:p>
            <w:pPr>
              <w:rPr>
                <w:noProof/>
              </w:rPr>
            </w:pPr>
            <w:r>
              <w:rPr>
                <w:noProof/>
              </w:rPr>
              <w:t>44.</w:t>
            </w:r>
          </w:p>
        </w:tc>
        <w:tc>
          <w:tcPr>
            <w:tcW w:w="8000" w:type="dxa"/>
          </w:tcPr>
          <w:p>
            <w:pPr>
              <w:rPr>
                <w:noProof/>
              </w:rPr>
            </w:pPr>
            <w:r>
              <w:rPr>
                <w:noProof/>
              </w:rPr>
              <w:t>Приложения</w:t>
            </w:r>
          </w:p>
        </w:tc>
      </w:tr>
      <w:tr>
        <w:tc>
          <w:tcPr>
            <w:tcW w:w="1000" w:type="dxa"/>
          </w:tcPr>
          <w:p>
            <w:pPr>
              <w:rPr>
                <w:noProof/>
              </w:rPr>
            </w:pPr>
            <w:r>
              <w:rPr>
                <w:noProof/>
              </w:rPr>
              <w:t>45.</w:t>
            </w:r>
          </w:p>
        </w:tc>
        <w:tc>
          <w:tcPr>
            <w:tcW w:w="8000" w:type="dxa"/>
          </w:tcPr>
          <w:p>
            <w:pPr>
              <w:rPr>
                <w:noProof/>
              </w:rPr>
            </w:pPr>
            <w:r>
              <w:rPr>
                <w:noProof/>
              </w:rPr>
              <w:t>Прилагане на протокола</w:t>
            </w:r>
          </w:p>
        </w:tc>
      </w:tr>
    </w:tbl>
    <w:p>
      <w:pPr>
        <w:spacing w:before="360" w:after="240"/>
        <w:rPr>
          <w:b/>
          <w:noProof/>
          <w:szCs w:val="24"/>
        </w:rPr>
      </w:pPr>
      <w:r>
        <w:rPr>
          <w:b/>
          <w:noProof/>
        </w:rPr>
        <w:t>ПРИЛОЖЕНИЯ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0"/>
        <w:gridCol w:w="6000"/>
      </w:tblGrid>
      <w:tr>
        <w:tc>
          <w:tcPr>
            <w:tcW w:w="4000" w:type="dxa"/>
          </w:tcPr>
          <w:p>
            <w:pPr>
              <w:jc w:val="left"/>
              <w:rPr>
                <w:b/>
                <w:noProof/>
                <w:szCs w:val="24"/>
              </w:rPr>
            </w:pPr>
            <w:r>
              <w:rPr>
                <w:b/>
                <w:noProof/>
              </w:rPr>
              <w:t>ПРИЛОЖЕНИЕ I КЪМ ПРОТОКОЛ 1:</w:t>
            </w:r>
          </w:p>
        </w:tc>
        <w:tc>
          <w:tcPr>
            <w:tcW w:w="6000" w:type="dxa"/>
          </w:tcPr>
          <w:p>
            <w:pPr>
              <w:jc w:val="left"/>
              <w:rPr>
                <w:b/>
                <w:noProof/>
                <w:szCs w:val="24"/>
              </w:rPr>
            </w:pPr>
            <w:r>
              <w:rPr>
                <w:b/>
                <w:noProof/>
              </w:rPr>
              <w:t>УВОДНИ БЕЛЕЖКИ КЪМ СПИСЪКА В ПРИЛОЖЕНИЕ II</w:t>
            </w:r>
          </w:p>
        </w:tc>
      </w:tr>
      <w:tr>
        <w:tc>
          <w:tcPr>
            <w:tcW w:w="4000" w:type="dxa"/>
          </w:tcPr>
          <w:p>
            <w:pPr>
              <w:jc w:val="left"/>
              <w:rPr>
                <w:b/>
                <w:noProof/>
                <w:szCs w:val="24"/>
              </w:rPr>
            </w:pPr>
            <w:r>
              <w:rPr>
                <w:b/>
                <w:noProof/>
              </w:rPr>
              <w:t>ПРИЛОЖЕНИЕ II КЪМ ПРОТОКОЛ 1:</w:t>
            </w:r>
          </w:p>
        </w:tc>
        <w:tc>
          <w:tcPr>
            <w:tcW w:w="6000" w:type="dxa"/>
          </w:tcPr>
          <w:p>
            <w:pPr>
              <w:jc w:val="left"/>
              <w:rPr>
                <w:b/>
                <w:noProof/>
                <w:szCs w:val="24"/>
              </w:rPr>
            </w:pPr>
            <w:r>
              <w:rPr>
                <w:b/>
                <w:noProof/>
              </w:rPr>
              <w:t>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w:t>
            </w:r>
          </w:p>
        </w:tc>
      </w:tr>
      <w:tr>
        <w:tc>
          <w:tcPr>
            <w:tcW w:w="4000" w:type="dxa"/>
          </w:tcPr>
          <w:p>
            <w:pPr>
              <w:jc w:val="left"/>
              <w:rPr>
                <w:b/>
                <w:noProof/>
                <w:szCs w:val="24"/>
              </w:rPr>
            </w:pPr>
            <w:r>
              <w:rPr>
                <w:b/>
                <w:noProof/>
              </w:rPr>
              <w:lastRenderedPageBreak/>
              <w:t>ПРИЛОЖЕНИЕ III КЪМ ПРОТОКОЛ 1:</w:t>
            </w:r>
          </w:p>
        </w:tc>
        <w:tc>
          <w:tcPr>
            <w:tcW w:w="6000" w:type="dxa"/>
          </w:tcPr>
          <w:p>
            <w:pPr>
              <w:jc w:val="left"/>
              <w:rPr>
                <w:b/>
                <w:noProof/>
                <w:szCs w:val="24"/>
              </w:rPr>
            </w:pPr>
            <w:r>
              <w:rPr>
                <w:b/>
                <w:noProof/>
              </w:rPr>
              <w:t>ФОРМУЛЯР НА СЕРТИФИКАТ ЗА ДВИЖЕНИЕ</w:t>
            </w:r>
          </w:p>
        </w:tc>
      </w:tr>
      <w:tr>
        <w:tc>
          <w:tcPr>
            <w:tcW w:w="4000" w:type="dxa"/>
          </w:tcPr>
          <w:p>
            <w:pPr>
              <w:jc w:val="left"/>
              <w:rPr>
                <w:b/>
                <w:noProof/>
                <w:szCs w:val="24"/>
              </w:rPr>
            </w:pPr>
            <w:r>
              <w:rPr>
                <w:b/>
                <w:noProof/>
              </w:rPr>
              <w:t>ПРИЛОЖЕНИЕ IV КЪМ ПРОТОКОЛ 1:</w:t>
            </w:r>
          </w:p>
        </w:tc>
        <w:tc>
          <w:tcPr>
            <w:tcW w:w="6000" w:type="dxa"/>
          </w:tcPr>
          <w:p>
            <w:pPr>
              <w:jc w:val="left"/>
              <w:rPr>
                <w:b/>
                <w:noProof/>
                <w:szCs w:val="24"/>
              </w:rPr>
            </w:pPr>
            <w:r>
              <w:rPr>
                <w:b/>
                <w:noProof/>
              </w:rPr>
              <w:t>ДЕКЛАРАЦИЯ ЗА ПРОИЗХОД</w:t>
            </w:r>
          </w:p>
        </w:tc>
      </w:tr>
      <w:tr>
        <w:tc>
          <w:tcPr>
            <w:tcW w:w="4000" w:type="dxa"/>
          </w:tcPr>
          <w:p>
            <w:pPr>
              <w:jc w:val="left"/>
              <w:rPr>
                <w:b/>
                <w:noProof/>
                <w:szCs w:val="24"/>
              </w:rPr>
            </w:pPr>
            <w:r>
              <w:rPr>
                <w:b/>
                <w:noProof/>
              </w:rPr>
              <w:t>ПРИЛОЖЕНИЕ VA КЪМ ПРОТОКОЛ 1:</w:t>
            </w:r>
          </w:p>
        </w:tc>
        <w:tc>
          <w:tcPr>
            <w:tcW w:w="6000" w:type="dxa"/>
          </w:tcPr>
          <w:p>
            <w:pPr>
              <w:jc w:val="left"/>
              <w:rPr>
                <w:b/>
                <w:noProof/>
                <w:szCs w:val="24"/>
              </w:rPr>
            </w:pPr>
            <w:r>
              <w:rPr>
                <w:b/>
                <w:noProof/>
              </w:rPr>
              <w:t>ДЕКЛАРАЦИЯ НА ДОСТАВЧИК ОТНОСНО ПРОДУКТИ, КОИТО ИМАТ ПРЕФЕРЕНЦИАЛЕН ПРОИЗХОД</w:t>
            </w:r>
          </w:p>
        </w:tc>
      </w:tr>
      <w:tr>
        <w:tc>
          <w:tcPr>
            <w:tcW w:w="4000" w:type="dxa"/>
          </w:tcPr>
          <w:p>
            <w:pPr>
              <w:jc w:val="left"/>
              <w:rPr>
                <w:b/>
                <w:noProof/>
                <w:szCs w:val="24"/>
              </w:rPr>
            </w:pPr>
            <w:r>
              <w:rPr>
                <w:b/>
                <w:noProof/>
              </w:rPr>
              <w:t>ПРИЛОЖЕНИЕ VБ КЪМ ПРОТОКОЛ 1:</w:t>
            </w:r>
          </w:p>
        </w:tc>
        <w:tc>
          <w:tcPr>
            <w:tcW w:w="6000" w:type="dxa"/>
          </w:tcPr>
          <w:p>
            <w:pPr>
              <w:jc w:val="left"/>
              <w:rPr>
                <w:b/>
                <w:noProof/>
                <w:szCs w:val="24"/>
              </w:rPr>
            </w:pPr>
            <w:r>
              <w:rPr>
                <w:b/>
                <w:noProof/>
              </w:rPr>
              <w:t>ДЕКЛАРАЦИЯ НА ДОСТАВЧИК ОТНОСНО ПРОДУКТИ, КОИТО НЯМАТ ПРЕФЕРЕНЦИАЛЕН ПРОИЗХОД</w:t>
            </w:r>
          </w:p>
        </w:tc>
      </w:tr>
      <w:tr>
        <w:tc>
          <w:tcPr>
            <w:tcW w:w="4000" w:type="dxa"/>
          </w:tcPr>
          <w:p>
            <w:pPr>
              <w:jc w:val="left"/>
              <w:rPr>
                <w:b/>
                <w:noProof/>
                <w:szCs w:val="24"/>
              </w:rPr>
            </w:pPr>
            <w:r>
              <w:rPr>
                <w:b/>
                <w:noProof/>
              </w:rPr>
              <w:t>ПРИЛОЖЕНИЕ VВ КЪМ ПРОТОКОЛ 1:</w:t>
            </w:r>
          </w:p>
        </w:tc>
        <w:tc>
          <w:tcPr>
            <w:tcW w:w="6000" w:type="dxa"/>
          </w:tcPr>
          <w:p>
            <w:pPr>
              <w:jc w:val="left"/>
              <w:rPr>
                <w:b/>
                <w:noProof/>
                <w:szCs w:val="24"/>
              </w:rPr>
            </w:pPr>
            <w:r>
              <w:rPr>
                <w:b/>
                <w:noProof/>
              </w:rPr>
              <w:t>ДЪЛГОСРОЧНА ДЕКЛАРАЦИЯ НА ДОСТАВЧИК ОТНОСНО ПРОДУКТИ, КОИТО ИМАТ ПРЕФЕРЕНЦИАЛЕН ПРОИЗХОД, КОЯТО ТРЯБВА ДА СЕ ИЗПОЛЗВА ИЗКЛЮЧИТЕЛНО ЗА КУМУЛАЦИЯТА, ПРЕДВИДЕНА В ЧЛЕН 28, ПАРАГРАФ 6</w:t>
            </w:r>
          </w:p>
        </w:tc>
      </w:tr>
      <w:tr>
        <w:tc>
          <w:tcPr>
            <w:tcW w:w="4000" w:type="dxa"/>
          </w:tcPr>
          <w:p>
            <w:pPr>
              <w:jc w:val="left"/>
              <w:rPr>
                <w:b/>
                <w:noProof/>
                <w:szCs w:val="24"/>
              </w:rPr>
            </w:pPr>
            <w:r>
              <w:rPr>
                <w:b/>
                <w:noProof/>
              </w:rPr>
              <w:t>ПРИЛОЖЕНИЕ VГ КЪМ ПРОТОКОЛ 1:</w:t>
            </w:r>
          </w:p>
        </w:tc>
        <w:tc>
          <w:tcPr>
            <w:tcW w:w="6000" w:type="dxa"/>
          </w:tcPr>
          <w:p>
            <w:pPr>
              <w:jc w:val="left"/>
              <w:rPr>
                <w:b/>
                <w:noProof/>
                <w:szCs w:val="24"/>
              </w:rPr>
            </w:pPr>
            <w:r>
              <w:rPr>
                <w:b/>
                <w:noProof/>
              </w:rPr>
              <w:t>ДЪЛГОСРОЧНА ДЕКЛАРАЦИЯ НА ДОСТАВЧИК ОТНОСНО ПРОДУКТИ, КОИТО НЯМАТ ПРЕФЕРЕНЦИАЛЕН ПРОИЗХОД, КОЯТО ТРЯБВА ДА СЕ ИЗПОЛЗВА ИЗКЛЮЧИТЕЛНО ЗА КУМУЛАЦИЯТА, ПРЕДВИДЕНА В ЧЛЕН 28, ПАРАГРАФ 6</w:t>
            </w:r>
          </w:p>
        </w:tc>
      </w:tr>
      <w:tr>
        <w:tc>
          <w:tcPr>
            <w:tcW w:w="4000" w:type="dxa"/>
          </w:tcPr>
          <w:p>
            <w:pPr>
              <w:jc w:val="left"/>
              <w:rPr>
                <w:b/>
                <w:noProof/>
                <w:szCs w:val="24"/>
              </w:rPr>
            </w:pPr>
            <w:r>
              <w:rPr>
                <w:b/>
                <w:noProof/>
              </w:rPr>
              <w:t>ПРИЛОЖЕНИЕ VI КЪМ ПРОТОКОЛ 1:</w:t>
            </w:r>
          </w:p>
        </w:tc>
        <w:tc>
          <w:tcPr>
            <w:tcW w:w="6000" w:type="dxa"/>
          </w:tcPr>
          <w:p>
            <w:pPr>
              <w:jc w:val="left"/>
              <w:rPr>
                <w:b/>
                <w:noProof/>
                <w:szCs w:val="24"/>
              </w:rPr>
            </w:pPr>
            <w:r>
              <w:rPr>
                <w:b/>
                <w:noProof/>
              </w:rPr>
              <w:t>ИНФОРМАЦИОНЕН СЕРТИФИКАТ</w:t>
            </w:r>
          </w:p>
        </w:tc>
      </w:tr>
      <w:tr>
        <w:tc>
          <w:tcPr>
            <w:tcW w:w="4000" w:type="dxa"/>
          </w:tcPr>
          <w:p>
            <w:pPr>
              <w:jc w:val="left"/>
              <w:rPr>
                <w:b/>
                <w:noProof/>
                <w:szCs w:val="24"/>
              </w:rPr>
            </w:pPr>
            <w:r>
              <w:rPr>
                <w:b/>
                <w:noProof/>
              </w:rPr>
              <w:t>ПРИЛОЖЕНИЕ VII КЪМ ПРОТОКОЛ 1:</w:t>
            </w:r>
          </w:p>
        </w:tc>
        <w:tc>
          <w:tcPr>
            <w:tcW w:w="6000" w:type="dxa"/>
          </w:tcPr>
          <w:p>
            <w:pPr>
              <w:jc w:val="left"/>
              <w:rPr>
                <w:b/>
                <w:noProof/>
                <w:szCs w:val="24"/>
              </w:rPr>
            </w:pPr>
            <w:r>
              <w:rPr>
                <w:b/>
                <w:noProof/>
              </w:rPr>
              <w:t>ФОРМУЛЯР НА ЗАЯВЛЕНИЕ ЗА ДЕРОГАЦИЯ</w:t>
            </w:r>
          </w:p>
        </w:tc>
      </w:tr>
      <w:tr>
        <w:tc>
          <w:tcPr>
            <w:tcW w:w="4000" w:type="dxa"/>
          </w:tcPr>
          <w:p>
            <w:pPr>
              <w:jc w:val="left"/>
              <w:rPr>
                <w:b/>
                <w:noProof/>
                <w:szCs w:val="24"/>
              </w:rPr>
            </w:pPr>
            <w:r>
              <w:rPr>
                <w:b/>
                <w:noProof/>
              </w:rPr>
              <w:t>ПРИЛОЖЕНИЕ VIII КЪМ ПРОТОКОЛ 1:</w:t>
            </w:r>
          </w:p>
        </w:tc>
        <w:tc>
          <w:tcPr>
            <w:tcW w:w="6000" w:type="dxa"/>
          </w:tcPr>
          <w:p>
            <w:pPr>
              <w:jc w:val="left"/>
              <w:rPr>
                <w:b/>
                <w:noProof/>
                <w:szCs w:val="24"/>
              </w:rPr>
            </w:pPr>
            <w:r>
              <w:rPr>
                <w:b/>
                <w:noProof/>
              </w:rPr>
              <w:t>ОТВЪДМОРСКИ СТРАНИ И ТЕРИТОРИИ</w:t>
            </w:r>
          </w:p>
        </w:tc>
      </w:tr>
      <w:tr>
        <w:tc>
          <w:tcPr>
            <w:tcW w:w="4000" w:type="dxa"/>
          </w:tcPr>
          <w:p>
            <w:pPr>
              <w:jc w:val="left"/>
              <w:rPr>
                <w:b/>
                <w:noProof/>
                <w:szCs w:val="24"/>
              </w:rPr>
            </w:pPr>
            <w:r>
              <w:rPr>
                <w:b/>
                <w:noProof/>
              </w:rPr>
              <w:t>ПРИЛОЖЕНИЕ IX КЪМ ПРОТОКОЛ 1:</w:t>
            </w:r>
          </w:p>
        </w:tc>
        <w:tc>
          <w:tcPr>
            <w:tcW w:w="6000" w:type="dxa"/>
          </w:tcPr>
          <w:p>
            <w:pPr>
              <w:jc w:val="left"/>
              <w:rPr>
                <w:b/>
                <w:noProof/>
                <w:szCs w:val="24"/>
              </w:rPr>
            </w:pPr>
            <w:r>
              <w:rPr>
                <w:b/>
                <w:noProof/>
              </w:rPr>
              <w:t>ПРОДУКТИ, ПО ОТНОШЕНИЕ НА КОИТО РАЗПОРЕДБИТЕ НА ЧЛЕН 4 ОТНОСНО КУМУЛАЦИЯТА СЕ ПРИЛАГАТ СЛЕД 1 ОКТОМВРИ 2015 Г.</w:t>
            </w:r>
          </w:p>
        </w:tc>
      </w:tr>
      <w:tr>
        <w:tc>
          <w:tcPr>
            <w:tcW w:w="4000" w:type="dxa"/>
          </w:tcPr>
          <w:p>
            <w:pPr>
              <w:jc w:val="left"/>
              <w:rPr>
                <w:b/>
                <w:noProof/>
                <w:szCs w:val="24"/>
              </w:rPr>
            </w:pPr>
            <w:r>
              <w:rPr>
                <w:b/>
                <w:noProof/>
              </w:rPr>
              <w:t>ПРИЛОЖЕНИЕ X КЪМ ПРОТОКОЛ 1:</w:t>
            </w:r>
          </w:p>
        </w:tc>
        <w:tc>
          <w:tcPr>
            <w:tcW w:w="6000" w:type="dxa"/>
          </w:tcPr>
          <w:p>
            <w:pPr>
              <w:jc w:val="left"/>
              <w:rPr>
                <w:b/>
                <w:noProof/>
                <w:szCs w:val="24"/>
              </w:rPr>
            </w:pPr>
            <w:r>
              <w:rPr>
                <w:b/>
                <w:noProof/>
              </w:rPr>
              <w:t>ОБРАЗЕЦ ОТНОСНО АДМИНИСТРАТИВНОТО СЪТРУДНИЧЕСТВО</w:t>
            </w:r>
          </w:p>
        </w:tc>
      </w:tr>
    </w:tbl>
    <w:p>
      <w:pPr>
        <w:spacing w:before="360" w:after="240"/>
        <w:rPr>
          <w:b/>
          <w:noProof/>
          <w:szCs w:val="24"/>
        </w:rPr>
      </w:pPr>
      <w:bookmarkStart w:id="2" w:name="_Toc204060724"/>
      <w:r>
        <w:rPr>
          <w:b/>
          <w:noProof/>
        </w:rPr>
        <w:t xml:space="preserve">СЪВМЕСТНА ДЕКЛАРАЦИЯ ОТНОСНО КНЯЖЕСТВО АНДОРА </w:t>
      </w:r>
    </w:p>
    <w:p>
      <w:pPr>
        <w:spacing w:before="360" w:after="240"/>
        <w:rPr>
          <w:b/>
          <w:noProof/>
          <w:szCs w:val="24"/>
        </w:rPr>
      </w:pPr>
      <w:r>
        <w:rPr>
          <w:b/>
          <w:noProof/>
        </w:rPr>
        <w:lastRenderedPageBreak/>
        <w:t>СЪВМЕСТНА ДЕКЛАРАЦИЯ ОТНОСНО РЕПУБЛИКА САН МАРИНО</w:t>
      </w:r>
    </w:p>
    <w:p>
      <w:pPr>
        <w:jc w:val="center"/>
        <w:rPr>
          <w:b/>
          <w:noProof/>
        </w:rPr>
        <w:sectPr>
          <w:endnotePr>
            <w:numFmt w:val="decimal"/>
          </w:endnotePr>
          <w:pgSz w:w="11907" w:h="16840" w:code="9"/>
          <w:pgMar w:top="1134" w:right="1134" w:bottom="1134" w:left="1134" w:header="1134" w:footer="1134" w:gutter="0"/>
          <w:cols w:space="720"/>
          <w:docGrid w:linePitch="326"/>
        </w:sectPr>
      </w:pPr>
    </w:p>
    <w:p>
      <w:pPr>
        <w:jc w:val="center"/>
        <w:rPr>
          <w:b/>
          <w:noProof/>
        </w:rPr>
      </w:pPr>
      <w:r>
        <w:rPr>
          <w:b/>
          <w:noProof/>
        </w:rPr>
        <w:lastRenderedPageBreak/>
        <w:t>ДЯЛ I</w:t>
      </w:r>
    </w:p>
    <w:p>
      <w:pPr>
        <w:jc w:val="center"/>
        <w:rPr>
          <w:b/>
          <w:noProof/>
        </w:rPr>
      </w:pPr>
      <w:r>
        <w:rPr>
          <w:b/>
          <w:noProof/>
        </w:rPr>
        <w:t>ОБЩИ РАЗПОРЕДБИ</w:t>
      </w:r>
      <w:bookmarkEnd w:id="2"/>
    </w:p>
    <w:p>
      <w:pPr>
        <w:pStyle w:val="Titrearticle"/>
        <w:rPr>
          <w:noProof/>
        </w:rPr>
      </w:pPr>
      <w:r>
        <w:rPr>
          <w:noProof/>
        </w:rPr>
        <w:t>ЧЛЕН 1</w:t>
      </w:r>
    </w:p>
    <w:p>
      <w:pPr>
        <w:jc w:val="center"/>
        <w:rPr>
          <w:b/>
          <w:noProof/>
        </w:rPr>
      </w:pPr>
      <w:r>
        <w:rPr>
          <w:b/>
          <w:noProof/>
        </w:rPr>
        <w:t>Определения</w:t>
      </w:r>
    </w:p>
    <w:p>
      <w:pPr>
        <w:rPr>
          <w:noProof/>
        </w:rPr>
      </w:pPr>
      <w:r>
        <w:rPr>
          <w:noProof/>
        </w:rPr>
        <w:t xml:space="preserve">За целите на настоящия протокол: </w:t>
      </w:r>
    </w:p>
    <w:p>
      <w:pPr>
        <w:pStyle w:val="Point0"/>
        <w:rPr>
          <w:noProof/>
        </w:rPr>
      </w:pPr>
      <w:r>
        <w:rPr>
          <w:noProof/>
        </w:rPr>
        <w:t>а)</w:t>
      </w:r>
      <w:r>
        <w:rPr>
          <w:noProof/>
        </w:rPr>
        <w:tab/>
        <w:t>„АКТБ“ означава държавите от Африка, Карибите и Тихоокеанския басейн;</w:t>
      </w:r>
    </w:p>
    <w:p>
      <w:pPr>
        <w:pStyle w:val="Point0"/>
        <w:rPr>
          <w:noProof/>
        </w:rPr>
      </w:pPr>
      <w:r>
        <w:rPr>
          <w:noProof/>
        </w:rPr>
        <w:t>б)</w:t>
      </w:r>
      <w:r>
        <w:rPr>
          <w:noProof/>
        </w:rPr>
        <w:tab/>
        <w:t xml:space="preserve">„глави“ и „позиции“ означава главите и четирицифрените позиции, използвани в номенклатурата, съставляваща Хармонизираната система за описание и кодиране на стоките, наричана в настоящия протокол „Хармонизираната система“ или „ХС“; </w:t>
      </w:r>
    </w:p>
    <w:p>
      <w:pPr>
        <w:pStyle w:val="Point0"/>
        <w:rPr>
          <w:noProof/>
        </w:rPr>
      </w:pPr>
      <w:r>
        <w:rPr>
          <w:noProof/>
        </w:rPr>
        <w:t>в)</w:t>
      </w:r>
      <w:r>
        <w:rPr>
          <w:noProof/>
        </w:rPr>
        <w:tab/>
        <w:t xml:space="preserve">„класиран“ се отнася до класирането на продукт или материал в определена позиция; </w:t>
      </w:r>
    </w:p>
    <w:p>
      <w:pPr>
        <w:pStyle w:val="Point0"/>
        <w:rPr>
          <w:noProof/>
        </w:rPr>
      </w:pPr>
      <w:r>
        <w:rPr>
          <w:noProof/>
        </w:rPr>
        <w:t>г)</w:t>
      </w:r>
      <w:r>
        <w:rPr>
          <w:noProof/>
        </w:rPr>
        <w:tab/>
        <w:t>„ЕС“ означава Европейския съюз;</w:t>
      </w:r>
    </w:p>
    <w:p>
      <w:pPr>
        <w:pStyle w:val="Point0"/>
        <w:rPr>
          <w:noProof/>
        </w:rPr>
      </w:pPr>
      <w:r>
        <w:rPr>
          <w:noProof/>
        </w:rPr>
        <w:t>д)</w:t>
      </w:r>
      <w:r>
        <w:rPr>
          <w:noProof/>
        </w:rPr>
        <w:tab/>
        <w:t xml:space="preserve">„пратка“ означава продукти, които са изпратени едновременно от един износител до един получател или са обхванати от един-единствен транспортен документ, обхващащ техния превоз от износителя до получателя, или, при липса на такъв документ, от една-единствена фактура; </w:t>
      </w:r>
    </w:p>
    <w:p>
      <w:pPr>
        <w:pStyle w:val="Point0"/>
        <w:rPr>
          <w:noProof/>
        </w:rPr>
      </w:pPr>
      <w:r>
        <w:rPr>
          <w:noProof/>
        </w:rPr>
        <w:t>е)</w:t>
      </w:r>
      <w:r>
        <w:rPr>
          <w:noProof/>
        </w:rPr>
        <w:tab/>
        <w:t xml:space="preserve">„митническа стойност“ означава стойността, определена в съответствие със Споразумението от 1994 г. за прилагане на член VII от Общото споразумението за митата и търговията (Споразумение на СТО за митническо остойностяване); </w:t>
      </w:r>
    </w:p>
    <w:p>
      <w:pPr>
        <w:pStyle w:val="Point0"/>
        <w:rPr>
          <w:noProof/>
        </w:rPr>
      </w:pPr>
      <w:r>
        <w:rPr>
          <w:noProof/>
        </w:rPr>
        <w:t>ж)</w:t>
      </w:r>
      <w:r>
        <w:rPr>
          <w:noProof/>
        </w:rPr>
        <w:tab/>
        <w:t xml:space="preserve">„цена франко завода“ означава цената „ex works“ (франко завода), платена за продукта на производителя в ЕС или в държава партньор от ИАО, в чието предприятие е извършена последната обработка или преработка, при условие че цената включва стойността на всички използвани материали и всички други свързани с производството на продукта разходи, намалена с всички вътрешни данъци, които са или могат да бъдат възстановени, когато полученият продукт бъде изнесен. </w:t>
      </w:r>
    </w:p>
    <w:p>
      <w:pPr>
        <w:pStyle w:val="Text1"/>
        <w:rPr>
          <w:noProof/>
        </w:rPr>
      </w:pPr>
      <w:r>
        <w:rPr>
          <w:noProof/>
        </w:rPr>
        <w:t>Когато действително платената цена не отразява всички разходи, свързани с производството на продукта, които действително са възникнали в държавата бенефициер, цената франко завода представлява сборът от всички тези разходи, намален с всички вътрешни данъци, които са възстановени или могат да бъдат възстановени, когато полученият продукт бъде изнесен.</w:t>
      </w:r>
    </w:p>
    <w:p>
      <w:pPr>
        <w:pStyle w:val="Text1"/>
        <w:rPr>
          <w:noProof/>
        </w:rPr>
      </w:pPr>
      <w:r>
        <w:rPr>
          <w:noProof/>
        </w:rPr>
        <w:t xml:space="preserve">За целите на предходните параграфи,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 </w:t>
      </w:r>
    </w:p>
    <w:p>
      <w:pPr>
        <w:pStyle w:val="Point0"/>
        <w:rPr>
          <w:noProof/>
        </w:rPr>
      </w:pPr>
      <w:r>
        <w:rPr>
          <w:noProof/>
        </w:rPr>
        <w:t>з)</w:t>
      </w:r>
      <w:r>
        <w:rPr>
          <w:noProof/>
        </w:rPr>
        <w:tab/>
        <w:t>„износител“ означава всяко физическо или юридическо лице, което изнася стоки към територията на държава партньор от ИАО или на Европейския съюз и което е в състояние да докаже произхода на стоките, независимо от това дали то е производителят и дали то самото осъществява формалностите по износа;</w:t>
      </w:r>
    </w:p>
    <w:p>
      <w:pPr>
        <w:pStyle w:val="Point0"/>
        <w:rPr>
          <w:noProof/>
        </w:rPr>
      </w:pPr>
      <w:r>
        <w:rPr>
          <w:noProof/>
        </w:rPr>
        <w:t>и)</w:t>
      </w:r>
      <w:r>
        <w:rPr>
          <w:noProof/>
        </w:rPr>
        <w:tab/>
        <w:t>„стоки“ означава както материали, така и продукти;</w:t>
      </w:r>
    </w:p>
    <w:p>
      <w:pPr>
        <w:pStyle w:val="Point0"/>
        <w:rPr>
          <w:noProof/>
        </w:rPr>
      </w:pPr>
      <w:r>
        <w:rPr>
          <w:noProof/>
        </w:rPr>
        <w:lastRenderedPageBreak/>
        <w:t>й)</w:t>
      </w:r>
      <w:r>
        <w:rPr>
          <w:noProof/>
        </w:rPr>
        <w:tab/>
        <w:t xml:space="preserve">„производство“ означава всякакъв вид обработка или преработка, включително сглобяване или специфични операции; </w:t>
      </w:r>
    </w:p>
    <w:p>
      <w:pPr>
        <w:pStyle w:val="Point0"/>
        <w:rPr>
          <w:noProof/>
        </w:rPr>
      </w:pPr>
      <w:r>
        <w:rPr>
          <w:noProof/>
        </w:rPr>
        <w:t>к)</w:t>
      </w:r>
      <w:r>
        <w:rPr>
          <w:noProof/>
        </w:rPr>
        <w:tab/>
        <w:t xml:space="preserve">„материал“ означава всяка съставка, суровина, компонент или част и т.н., използвани при производството на продукта; </w:t>
      </w:r>
    </w:p>
    <w:p>
      <w:pPr>
        <w:pStyle w:val="Point0"/>
        <w:rPr>
          <w:noProof/>
        </w:rPr>
      </w:pPr>
      <w:r>
        <w:rPr>
          <w:noProof/>
        </w:rPr>
        <w:t>л)</w:t>
      </w:r>
      <w:r>
        <w:rPr>
          <w:noProof/>
        </w:rPr>
        <w:tab/>
        <w:t>„материали без произход“ означава материали, които не отговарят на условията за притежаване на статут на материали с произход съгласно настоящия протокол;</w:t>
      </w:r>
    </w:p>
    <w:p>
      <w:pPr>
        <w:pStyle w:val="Point0"/>
        <w:rPr>
          <w:noProof/>
        </w:rPr>
      </w:pPr>
      <w:r>
        <w:rPr>
          <w:noProof/>
        </w:rPr>
        <w:t>м)</w:t>
      </w:r>
      <w:r>
        <w:rPr>
          <w:noProof/>
        </w:rPr>
        <w:tab/>
        <w:t xml:space="preserve">„продукт“ означава продуктът, който се произвежда, дори ако целта на производството му е последващо използване в друга производствена операция; </w:t>
      </w:r>
    </w:p>
    <w:p>
      <w:pPr>
        <w:pStyle w:val="Point0"/>
        <w:rPr>
          <w:noProof/>
        </w:rPr>
      </w:pPr>
      <w:r>
        <w:rPr>
          <w:noProof/>
        </w:rPr>
        <w:t>н)</w:t>
      </w:r>
      <w:r>
        <w:rPr>
          <w:noProof/>
        </w:rPr>
        <w:tab/>
        <w:t>„производител“ включва, наред с другото, предприятия в областта на минното дело, производството или селското стопанство или всеки отделен производител или занаятчия;</w:t>
      </w:r>
    </w:p>
    <w:p>
      <w:pPr>
        <w:pStyle w:val="Point0"/>
        <w:rPr>
          <w:noProof/>
        </w:rPr>
      </w:pPr>
      <w:r>
        <w:rPr>
          <w:noProof/>
        </w:rPr>
        <w:t>о)</w:t>
      </w:r>
      <w:r>
        <w:rPr>
          <w:noProof/>
        </w:rPr>
        <w:tab/>
        <w:t xml:space="preserve">„стойност на материалите“ означава митническата стойност в момента на вноса на използваните материали без произход или, ако това не е известно и не може да бъде определено, първата проверима цена, заплатена за материалите в Европейския съюз или в държавите партньори от ИАО; </w:t>
      </w:r>
    </w:p>
    <w:p>
      <w:pPr>
        <w:pStyle w:val="Point0"/>
        <w:rPr>
          <w:noProof/>
        </w:rPr>
      </w:pPr>
      <w:r>
        <w:rPr>
          <w:noProof/>
        </w:rPr>
        <w:t>п)</w:t>
      </w:r>
      <w:r>
        <w:rPr>
          <w:noProof/>
        </w:rPr>
        <w:tab/>
        <w:t>за „добавена стойност“ се приема цената франко завода на завършен продукт, намалена с митническата стойност на всички материали, внесени от трети държави, или, когато митническата стойност на внесения материал не е известна или не може да бъде определена, приоритет има първата проверима цена, заплатена за материалите в Европейския съюз или в една от държавите партньори от ИАО;</w:t>
      </w:r>
    </w:p>
    <w:p>
      <w:pPr>
        <w:pStyle w:val="Point0"/>
        <w:rPr>
          <w:noProof/>
        </w:rPr>
      </w:pPr>
      <w:r>
        <w:rPr>
          <w:noProof/>
        </w:rPr>
        <w:t>р)</w:t>
      </w:r>
      <w:r>
        <w:rPr>
          <w:noProof/>
        </w:rPr>
        <w:tab/>
        <w:t>понятието „територии“ включва териториалните води;</w:t>
      </w:r>
    </w:p>
    <w:p>
      <w:pPr>
        <w:pStyle w:val="Point0"/>
        <w:rPr>
          <w:noProof/>
        </w:rPr>
      </w:pPr>
      <w:r>
        <w:rPr>
          <w:noProof/>
        </w:rPr>
        <w:t>с)</w:t>
      </w:r>
      <w:r>
        <w:rPr>
          <w:noProof/>
        </w:rPr>
        <w:tab/>
        <w:t>„ОСТ“ означава отвъдморските страни и територии, така както те са определени в приложение VIII;</w:t>
      </w:r>
    </w:p>
    <w:p>
      <w:pPr>
        <w:pStyle w:val="Point0"/>
        <w:rPr>
          <w:noProof/>
        </w:rPr>
      </w:pPr>
      <w:r>
        <w:rPr>
          <w:noProof/>
        </w:rPr>
        <w:t>т)</w:t>
      </w:r>
      <w:r>
        <w:rPr>
          <w:noProof/>
        </w:rPr>
        <w:tab/>
        <w:t>„конвенционални мита“ означава тарифното третиране „най-облагодетелствана нация“, прилагано по отношение на стоки, внесени от трети държави; от тези конвенционални мита са изключени автономните мерки за суспендиране на митата и тарифните квоти на СТО;</w:t>
      </w:r>
    </w:p>
    <w:p>
      <w:pPr>
        <w:pStyle w:val="Point0"/>
        <w:rPr>
          <w:noProof/>
        </w:rPr>
      </w:pPr>
      <w:r>
        <w:rPr>
          <w:noProof/>
        </w:rPr>
        <w:t>у)</w:t>
      </w:r>
      <w:r>
        <w:rPr>
          <w:noProof/>
        </w:rPr>
        <w:tab/>
        <w:t>„декларация за произход“ е изявление, направено от износителя върху фактура, известие за доставка или всякакъв друг търговски документ, който описва съответните продукти достатъчно подробно, за да могат те да бъдат идентифицирани; текстът на декларацията за произход е представен в приложение IV;</w:t>
      </w:r>
    </w:p>
    <w:p>
      <w:pPr>
        <w:pStyle w:val="Point0"/>
        <w:rPr>
          <w:noProof/>
        </w:rPr>
      </w:pPr>
      <w:r>
        <w:rPr>
          <w:noProof/>
        </w:rPr>
        <w:t>ф)</w:t>
      </w:r>
      <w:r>
        <w:rPr>
          <w:noProof/>
        </w:rPr>
        <w:tab/>
        <w:t xml:space="preserve">„други държави от АКТБ“ означава всички държави от АКТБ (Африка, Карибите и Тихоокеанския басейн), с изключение на държавите партньори от ИАО; </w:t>
      </w:r>
    </w:p>
    <w:p>
      <w:pPr>
        <w:pStyle w:val="Point0"/>
        <w:rPr>
          <w:noProof/>
        </w:rPr>
      </w:pPr>
      <w:r>
        <w:rPr>
          <w:noProof/>
        </w:rPr>
        <w:t>х)</w:t>
      </w:r>
      <w:r>
        <w:rPr>
          <w:noProof/>
        </w:rPr>
        <w:tab/>
        <w:t xml:space="preserve">„настоящото споразумение“ означава Споразумението за икономическо партньорство между Европейския съюз и неговите държави членки, от една страна, и държавите партньори от ИАО, от друга страна. </w:t>
      </w:r>
    </w:p>
    <w:p>
      <w:pPr>
        <w:jc w:val="center"/>
        <w:rPr>
          <w:b/>
          <w:noProof/>
        </w:rPr>
      </w:pPr>
      <w:bookmarkStart w:id="3" w:name="_Toc204060725"/>
      <w:r>
        <w:rPr>
          <w:b/>
          <w:noProof/>
        </w:rPr>
        <w:t>ДЯЛ II</w:t>
      </w:r>
    </w:p>
    <w:p>
      <w:pPr>
        <w:jc w:val="center"/>
        <w:rPr>
          <w:b/>
          <w:noProof/>
        </w:rPr>
      </w:pPr>
      <w:r>
        <w:rPr>
          <w:b/>
          <w:noProof/>
        </w:rPr>
        <w:t>ОПРЕДЕЛЕНИЕ НА ПОНЯТИЕТО „ПРОДУКТИ С ПРОИЗХОД“</w:t>
      </w:r>
      <w:bookmarkEnd w:id="3"/>
    </w:p>
    <w:p>
      <w:pPr>
        <w:pStyle w:val="Titrearticle"/>
        <w:rPr>
          <w:b/>
          <w:noProof/>
        </w:rPr>
      </w:pPr>
      <w:r>
        <w:rPr>
          <w:noProof/>
        </w:rPr>
        <w:lastRenderedPageBreak/>
        <w:t>ЧЛЕН 2</w:t>
      </w:r>
    </w:p>
    <w:p>
      <w:pPr>
        <w:jc w:val="center"/>
        <w:rPr>
          <w:b/>
          <w:noProof/>
        </w:rPr>
      </w:pPr>
      <w:r>
        <w:rPr>
          <w:b/>
          <w:noProof/>
        </w:rPr>
        <w:t>Общи изисквания</w:t>
      </w:r>
    </w:p>
    <w:p>
      <w:pPr>
        <w:pStyle w:val="ManualNumPar1"/>
        <w:rPr>
          <w:noProof/>
        </w:rPr>
      </w:pPr>
      <w:r>
        <w:rPr>
          <w:noProof/>
        </w:rPr>
        <w:t>1.</w:t>
      </w:r>
      <w:r>
        <w:rPr>
          <w:noProof/>
        </w:rPr>
        <w:tab/>
        <w:t xml:space="preserve">За целите на настоящото споразумение следните продукти се считат за продукти с произход от Европейския съюз: </w:t>
      </w:r>
    </w:p>
    <w:p>
      <w:pPr>
        <w:pStyle w:val="Point1"/>
        <w:rPr>
          <w:noProof/>
        </w:rPr>
      </w:pPr>
      <w:r>
        <w:rPr>
          <w:noProof/>
        </w:rPr>
        <w:t>а)</w:t>
      </w:r>
      <w:r>
        <w:rPr>
          <w:noProof/>
        </w:rPr>
        <w:tab/>
        <w:t xml:space="preserve">продукти, изцяло получени в ЕС по смисъла на член 7 от настоящия протокол; </w:t>
      </w:r>
    </w:p>
    <w:p>
      <w:pPr>
        <w:pStyle w:val="Point1"/>
        <w:rPr>
          <w:noProof/>
        </w:rPr>
      </w:pPr>
      <w:r>
        <w:rPr>
          <w:noProof/>
        </w:rPr>
        <w:t>б)</w:t>
      </w:r>
      <w:r>
        <w:rPr>
          <w:noProof/>
        </w:rPr>
        <w:tab/>
        <w:t xml:space="preserve">продукти, получени в ЕС, включващи материали, които не са изцяло получени там, при условие че тези материали са претърпели достатъчна обработка или преработка в ЕС по смисъла на член 8. </w:t>
      </w:r>
    </w:p>
    <w:p>
      <w:pPr>
        <w:pStyle w:val="ManualNumPar1"/>
        <w:rPr>
          <w:noProof/>
        </w:rPr>
      </w:pPr>
      <w:r>
        <w:rPr>
          <w:noProof/>
        </w:rPr>
        <w:t>2.</w:t>
      </w:r>
      <w:r>
        <w:rPr>
          <w:noProof/>
        </w:rPr>
        <w:tab/>
        <w:t xml:space="preserve">За целите на настоящото споразумение следните продукти се считат за продукти с произход от държава партньор от ИАО: </w:t>
      </w:r>
    </w:p>
    <w:p>
      <w:pPr>
        <w:pStyle w:val="Point1"/>
        <w:rPr>
          <w:noProof/>
        </w:rPr>
      </w:pPr>
      <w:r>
        <w:rPr>
          <w:noProof/>
        </w:rPr>
        <w:t>а)</w:t>
      </w:r>
      <w:r>
        <w:rPr>
          <w:noProof/>
        </w:rPr>
        <w:tab/>
        <w:t xml:space="preserve">продукти, изцяло получени в държава партньор от ИАО, по смисъла на член 7 от настоящия протокол; </w:t>
      </w:r>
    </w:p>
    <w:p>
      <w:pPr>
        <w:pStyle w:val="Point1"/>
        <w:rPr>
          <w:i/>
          <w:noProof/>
        </w:rPr>
      </w:pPr>
      <w:r>
        <w:rPr>
          <w:noProof/>
        </w:rPr>
        <w:t>б)</w:t>
      </w:r>
      <w:r>
        <w:rPr>
          <w:noProof/>
        </w:rPr>
        <w:tab/>
        <w:t>продукти, получени в държава партньор от ИАО, включващи материали, които не са изцяло получени там, при условие че тези материали са претърпели достатъчна обработка или преработка в тази държава партньор от ИАО, по смисъла на член 8.</w:t>
      </w:r>
    </w:p>
    <w:p>
      <w:pPr>
        <w:pStyle w:val="Titrearticle"/>
        <w:rPr>
          <w:b/>
          <w:noProof/>
        </w:rPr>
      </w:pPr>
      <w:r>
        <w:rPr>
          <w:noProof/>
        </w:rPr>
        <w:t>ЧЛЕН 3</w:t>
      </w:r>
    </w:p>
    <w:p>
      <w:pPr>
        <w:jc w:val="center"/>
        <w:rPr>
          <w:b/>
          <w:noProof/>
          <w:color w:val="000000"/>
        </w:rPr>
      </w:pPr>
      <w:r>
        <w:rPr>
          <w:b/>
          <w:noProof/>
        </w:rPr>
        <w:t>Обработка или преработка на материали, чийто внос в Европейския съюз е освободен от мита за най-облагодетелствана нация и от квоти</w:t>
      </w:r>
    </w:p>
    <w:p>
      <w:pPr>
        <w:pStyle w:val="ManualNumPar1"/>
        <w:rPr>
          <w:noProof/>
        </w:rPr>
      </w:pPr>
      <w:r>
        <w:rPr>
          <w:noProof/>
        </w:rPr>
        <w:t>1.</w:t>
      </w:r>
      <w:r>
        <w:rPr>
          <w:noProof/>
        </w:rPr>
        <w:tab/>
        <w:t>Без да се засягат разпоредбите на член 2, параграф 2, материалите без произход, които при внос в ЕС са освободени от мита в приложение на конвенционалните мита в рамките на статута на най-облагодетелствана нация, в съответствие с неговата Обща митническа тарифа, се считат за материали с произход от държава от ИАО, когато са вложени в продукт, получен там. Не е необходимо тези материали да са претърпели достатъчна обработка или преработка, при условие че те са претърпели обработка или преработка, която надхвърля посочената в член 9, параграф 1.</w:t>
      </w:r>
    </w:p>
    <w:p>
      <w:pPr>
        <w:pStyle w:val="ManualNumPar1"/>
        <w:rPr>
          <w:noProof/>
        </w:rPr>
      </w:pPr>
      <w:r>
        <w:rPr>
          <w:noProof/>
        </w:rPr>
        <w:t>2.</w:t>
      </w:r>
      <w:r>
        <w:rPr>
          <w:noProof/>
        </w:rPr>
        <w:tab/>
        <w:t>Сертификатите за движение EUR 1 (в клетка/поле 7) или декларациите за произход, издадени в приложение на параграф 1, съдържат следния текст: „Application of Article 3.1 of Protocol 1 of the EU-EAC EPA“.</w:t>
      </w:r>
    </w:p>
    <w:p>
      <w:pPr>
        <w:pStyle w:val="ManualNumPar1"/>
        <w:rPr>
          <w:noProof/>
        </w:rPr>
      </w:pPr>
      <w:r>
        <w:rPr>
          <w:noProof/>
        </w:rPr>
        <w:t>3.</w:t>
      </w:r>
      <w:r>
        <w:rPr>
          <w:noProof/>
        </w:rPr>
        <w:tab/>
        <w:t xml:space="preserve">ЕС всяка година уведомява Специалния комитет по митниците и улесняването на търговията, посочен в член 29 от настоящото споразумение и наричан по-долу „Комитета“, за списъка на материалите, по отношение на които се прилагат разпоредбите на настоящия член. </w:t>
      </w:r>
    </w:p>
    <w:p>
      <w:pPr>
        <w:pStyle w:val="ManualNumPar1"/>
        <w:rPr>
          <w:noProof/>
        </w:rPr>
      </w:pPr>
      <w:r>
        <w:rPr>
          <w:noProof/>
        </w:rPr>
        <w:t>4.</w:t>
      </w:r>
      <w:r>
        <w:rPr>
          <w:noProof/>
        </w:rPr>
        <w:tab/>
        <w:t>Кумулацията, предвидена в настоящия член, не се прилага за материалите:</w:t>
      </w:r>
    </w:p>
    <w:p>
      <w:pPr>
        <w:pStyle w:val="Point1"/>
        <w:rPr>
          <w:noProof/>
        </w:rPr>
      </w:pPr>
      <w:r>
        <w:rPr>
          <w:noProof/>
        </w:rPr>
        <w:lastRenderedPageBreak/>
        <w:t>а)</w:t>
      </w:r>
      <w:r>
        <w:rPr>
          <w:noProof/>
        </w:rPr>
        <w:tab/>
        <w:t>към които при вноса им в ЕС се прилагат антидъмпингови или изравнителни мита, когато те са с произход от държавата, към която се прилагат тези антидъмпингови или изравнителни мита</w:t>
      </w:r>
      <w:r>
        <w:rPr>
          <w:rStyle w:val="FootnoteReference"/>
          <w:noProof/>
        </w:rPr>
        <w:footnoteReference w:id="1"/>
      </w:r>
      <w:r>
        <w:rPr>
          <w:noProof/>
        </w:rPr>
        <w:t>;</w:t>
      </w:r>
    </w:p>
    <w:p>
      <w:pPr>
        <w:pStyle w:val="Point1"/>
        <w:rPr>
          <w:noProof/>
        </w:rPr>
      </w:pPr>
      <w:r>
        <w:rPr>
          <w:noProof/>
        </w:rPr>
        <w:t>б)</w:t>
      </w:r>
      <w:r>
        <w:rPr>
          <w:noProof/>
        </w:rPr>
        <w:tab/>
        <w:t>класирани в подпозиции от Хармонизираната система, които включват и други 8-цифрови тарифни линии, които не са освободени от мита посредством прилагане на конвенционалните ставки на митата за най-облагодетелствана нация в съответствие с Общата митническа тарифа.</w:t>
      </w:r>
    </w:p>
    <w:p>
      <w:pPr>
        <w:pStyle w:val="Titrearticle"/>
        <w:rPr>
          <w:b/>
          <w:noProof/>
        </w:rPr>
      </w:pPr>
      <w:r>
        <w:rPr>
          <w:noProof/>
        </w:rPr>
        <w:t>ЧЛЕН 4</w:t>
      </w:r>
      <w:r>
        <w:rPr>
          <w:b/>
          <w:noProof/>
        </w:rPr>
        <w:t xml:space="preserve"> </w:t>
      </w:r>
    </w:p>
    <w:p>
      <w:pPr>
        <w:jc w:val="center"/>
        <w:rPr>
          <w:b/>
          <w:noProof/>
        </w:rPr>
      </w:pPr>
      <w:r>
        <w:rPr>
          <w:b/>
          <w:noProof/>
        </w:rPr>
        <w:t>Кумулация в държавите партньори от ИАО</w:t>
      </w:r>
    </w:p>
    <w:p>
      <w:pPr>
        <w:pStyle w:val="ManualNumPar1"/>
        <w:rPr>
          <w:noProof/>
        </w:rPr>
      </w:pPr>
      <w:r>
        <w:rPr>
          <w:noProof/>
        </w:rPr>
        <w:t>1.</w:t>
      </w:r>
      <w:r>
        <w:rPr>
          <w:noProof/>
        </w:rPr>
        <w:tab/>
        <w:t>Без да се засягат разпоредбите на член 2, параграф 2, продуктите се считат за продукти с произход от държава партньор от ИАО, ако са произведени там и включват материали с произход от ЕС, материали с произход от друга държава от АКТБ, по отношение на които при внос в ЕС има право да се прилага безмитен и безквотен режим, или материали с произход от ОСТ или от други държави партньори от ИАО, при условие че извършената в посочената държава партньор от ИАО обработка или преработка надхвърля операциите, посочени в член 9, параграф 1. Не е необходимо тези материали да са претърпели достатъчна обработка или преработка.</w:t>
      </w:r>
    </w:p>
    <w:p>
      <w:pPr>
        <w:pStyle w:val="ManualNumPar1"/>
        <w:rPr>
          <w:noProof/>
        </w:rPr>
      </w:pPr>
      <w:r>
        <w:rPr>
          <w:noProof/>
        </w:rPr>
        <w:t>2.</w:t>
      </w:r>
      <w:r>
        <w:rPr>
          <w:noProof/>
        </w:rPr>
        <w:tab/>
        <w:t xml:space="preserve">Когато обработката или преработката, извършена в държавите партньори от ИАО, не надхвърля операциите, посочени в член 9, параграф 1, полученият продукт се счита за продукт с произход от посочените държави партньори от ИАО единствено когато добавената там стойност е по-голяма от стойността на използваните материали с произход от която и да е от другите държави или територии.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на крайния продукт, са с най-голяма стойност. </w:t>
      </w:r>
    </w:p>
    <w:p>
      <w:pPr>
        <w:pStyle w:val="Text1"/>
        <w:rPr>
          <w:noProof/>
        </w:rPr>
      </w:pPr>
      <w:r>
        <w:rPr>
          <w:noProof/>
        </w:rPr>
        <w:t>Произходът на материалите с произход от друга държава от АКТБ и от ОСТ се определя в съответствие с правилата за произход, които са приложими в рамките на преференциалните договорености между ЕС и тези държави и територии, и в съответствие с разпоредбите на член 28.</w:t>
      </w:r>
    </w:p>
    <w:p>
      <w:pPr>
        <w:pStyle w:val="ManualNumPar1"/>
        <w:rPr>
          <w:noProof/>
        </w:rPr>
      </w:pPr>
      <w:r>
        <w:rPr>
          <w:noProof/>
        </w:rPr>
        <w:t>3.</w:t>
      </w:r>
      <w:r>
        <w:rPr>
          <w:noProof/>
        </w:rPr>
        <w:tab/>
        <w:t xml:space="preserve">За материалите, определени в параграф 1, и независимо от разпоредбите на член 2, параграф 2, буква б), обработките или преработките, извършени в ЕС, в другите държави партньори от ИАО, в другите държави от АКТБ или в ОСТ, се считат за извършени в държава партньор от ИАО, когато произведените продукти се подлагат на последваща обработка или преработка в посочената държава партньор от ИАО. </w:t>
      </w:r>
    </w:p>
    <w:p>
      <w:pPr>
        <w:pStyle w:val="Text1"/>
        <w:rPr>
          <w:noProof/>
        </w:rPr>
      </w:pPr>
      <w:r>
        <w:rPr>
          <w:noProof/>
        </w:rPr>
        <w:t xml:space="preserve">Когато обработката или преработката, извършена в държава от ИАО, не надхвърля операциите, посочени в член 9, параграф 1, полученият продукт се счита за продукт с произход от посочената държава от ИАО единствено когато добавената там стойност е по-голяма от стойността на използваните материали от която и да е от </w:t>
      </w:r>
      <w:r>
        <w:rPr>
          <w:noProof/>
        </w:rPr>
        <w:lastRenderedPageBreak/>
        <w:t>другите държави или територии. Ако случаят не е такъв, полученият продукт се счита за продукт с произход от държавата или територията, в която вложените материали, използвани при производството, са с най-голяма стойност.</w:t>
      </w:r>
    </w:p>
    <w:p>
      <w:pPr>
        <w:pStyle w:val="Text1"/>
        <w:rPr>
          <w:noProof/>
        </w:rPr>
      </w:pPr>
      <w:r>
        <w:rPr>
          <w:noProof/>
        </w:rPr>
        <w:t xml:space="preserve">Произходът на крайния продукт се определя в съответствие с правилата за произход от настоящия протокол и с разпоредбите на член 28. </w:t>
      </w:r>
    </w:p>
    <w:p>
      <w:pPr>
        <w:pStyle w:val="ManualNumPar1"/>
        <w:rPr>
          <w:noProof/>
        </w:rPr>
      </w:pPr>
      <w:r>
        <w:rPr>
          <w:noProof/>
        </w:rPr>
        <w:t>4.</w:t>
      </w:r>
      <w:r>
        <w:rPr>
          <w:noProof/>
        </w:rPr>
        <w:tab/>
        <w:t xml:space="preserve">ЕС уведомява Специалния комитет по митниците и улесняването на търговията, създаден съгласно член 29 от настоящото споразумение, за списъка на материалите, по отношение на които не се прилага кумулацията, предвидена в параграфи 1 и 3. След уведомяването всяка от страните публикува списъка в съответствие с нейните вътрешни процедури. </w:t>
      </w:r>
    </w:p>
    <w:p>
      <w:pPr>
        <w:pStyle w:val="ManualNumPar1"/>
        <w:rPr>
          <w:noProof/>
        </w:rPr>
      </w:pPr>
      <w:r>
        <w:rPr>
          <w:noProof/>
        </w:rPr>
        <w:t>5.</w:t>
      </w:r>
      <w:r>
        <w:rPr>
          <w:noProof/>
        </w:rPr>
        <w:tab/>
        <w:t xml:space="preserve">За целите на прилагането на кумулацията между държавите партньори от ИАО, другите държави по СИП и ОСТ, както е предвидено в другите СИП и в Решението за ОСТ, ЕС и държавите партньори от ИАО, които доставят материалите, оказват административно сътрудничество на другите държави или територии, посочени в настоящия член, в съответствие с условията, изложени в дял V от настоящия протокол. </w:t>
      </w:r>
    </w:p>
    <w:p>
      <w:pPr>
        <w:pStyle w:val="ManualNumPar1"/>
        <w:rPr>
          <w:noProof/>
        </w:rPr>
      </w:pPr>
      <w:r>
        <w:rPr>
          <w:noProof/>
        </w:rPr>
        <w:t>6.</w:t>
      </w:r>
      <w:r>
        <w:rPr>
          <w:noProof/>
        </w:rPr>
        <w:tab/>
        <w:t>Кумулацията, предвидена в настоящия член, може да се прилага единствено при условие, че всички държави и територии, участващи в придобиването на статут на стоки с произход, са сключили споразумение помежду си, като са използвали образеца в приложение X, което гарантира правилното прилагане на настоящия член и включва позоваване на използването на подходящи доказателства за произход:</w:t>
      </w:r>
    </w:p>
    <w:p>
      <w:pPr>
        <w:pStyle w:val="Point1"/>
        <w:rPr>
          <w:noProof/>
        </w:rPr>
      </w:pPr>
      <w:r>
        <w:rPr>
          <w:noProof/>
        </w:rPr>
        <w:t>i)</w:t>
      </w:r>
      <w:r>
        <w:rPr>
          <w:noProof/>
        </w:rPr>
        <w:tab/>
        <w:t>да спазват и да гарантират спазването на разпоредбите на настоящия член;</w:t>
      </w:r>
    </w:p>
    <w:p>
      <w:pPr>
        <w:pStyle w:val="Point1"/>
        <w:rPr>
          <w:noProof/>
        </w:rPr>
      </w:pPr>
      <w:r>
        <w:rPr>
          <w:noProof/>
        </w:rPr>
        <w:t>ii)</w:t>
      </w:r>
      <w:r>
        <w:rPr>
          <w:noProof/>
        </w:rPr>
        <w:tab/>
        <w:t>да оказват необходимото административно сътрудничество за гарантиране на правилното прилагане на настоящия член и на неговите разпоредби относно кумулацията както по отношение на ЕС, така и помежду си;</w:t>
      </w:r>
    </w:p>
    <w:p>
      <w:pPr>
        <w:pStyle w:val="Point1"/>
        <w:rPr>
          <w:noProof/>
        </w:rPr>
      </w:pPr>
      <w:r>
        <w:rPr>
          <w:noProof/>
        </w:rPr>
        <w:t>iii)</w:t>
      </w:r>
      <w:r>
        <w:rPr>
          <w:noProof/>
        </w:rPr>
        <w:tab/>
        <w:t>Комисията на ЕС се уведомява за споразуменията от секретариата на държавите по СИП от ИАО или от друг компетентен орган, представляващ държавите или териториите, подписали споразумението.</w:t>
      </w:r>
    </w:p>
    <w:p>
      <w:pPr>
        <w:pStyle w:val="ManualNumPar1"/>
        <w:rPr>
          <w:iCs/>
          <w:noProof/>
        </w:rPr>
      </w:pPr>
      <w:r>
        <w:rPr>
          <w:noProof/>
        </w:rPr>
        <w:t>7.</w:t>
      </w:r>
      <w:r>
        <w:rPr>
          <w:noProof/>
        </w:rPr>
        <w:tab/>
        <w:t>Кумулацията, предвидена в настоящия член, не се прилага към изброените в приложение IX продукти. Без да се засягат разпоредбите на настоящия параграф кумулацията, предвидена в настоящия член, може да се прилага едва след 1 октомври 2015 г. за продуктите, изброени в приложение IX, когато материалите, използвани при производството на тези продукти, са с произход, или обработката или преработката е извършена в друга държава от АКТБ.</w:t>
      </w:r>
    </w:p>
    <w:p>
      <w:pPr>
        <w:pStyle w:val="ManualNumPar1"/>
        <w:rPr>
          <w:noProof/>
        </w:rPr>
      </w:pPr>
      <w:r>
        <w:rPr>
          <w:noProof/>
        </w:rPr>
        <w:t>8.</w:t>
      </w:r>
      <w:r>
        <w:rPr>
          <w:noProof/>
        </w:rPr>
        <w:tab/>
        <w:t>Кумулацията, предвидена в настоящия член, не се прилага за материалите:</w:t>
      </w:r>
    </w:p>
    <w:p>
      <w:pPr>
        <w:pStyle w:val="Point1"/>
        <w:rPr>
          <w:noProof/>
        </w:rPr>
      </w:pPr>
      <w:r>
        <w:rPr>
          <w:noProof/>
        </w:rPr>
        <w:t>а)</w:t>
      </w:r>
      <w:r>
        <w:rPr>
          <w:noProof/>
        </w:rPr>
        <w:tab/>
        <w:t xml:space="preserve">от позиции 1604 и 1605 от Хармонизираната система, които са с произход от държавите от Тихоокеанския басейн, сключили СИП, чрез прилагане на член 6, параграф 6 от протокол II към Временното споразумение за партньорство </w:t>
      </w:r>
      <w:r>
        <w:rPr>
          <w:noProof/>
        </w:rPr>
        <w:lastRenderedPageBreak/>
        <w:t>между Европейската общност, от една страна, и държавите от Тихоокеанския басейн, от друга страна</w:t>
      </w:r>
      <w:r>
        <w:rPr>
          <w:rStyle w:val="FootnoteReference"/>
          <w:noProof/>
        </w:rPr>
        <w:footnoteReference w:id="2"/>
      </w:r>
      <w:r>
        <w:rPr>
          <w:noProof/>
        </w:rPr>
        <w:t>;</w:t>
      </w:r>
    </w:p>
    <w:p>
      <w:pPr>
        <w:pStyle w:val="Point1"/>
        <w:rPr>
          <w:noProof/>
        </w:rPr>
      </w:pPr>
      <w:r>
        <w:rPr>
          <w:noProof/>
        </w:rPr>
        <w:t>б)</w:t>
      </w:r>
      <w:r>
        <w:rPr>
          <w:noProof/>
        </w:rPr>
        <w:tab/>
        <w:t>от позиции 1604 и 1605 от Хармонизираната система, които са с произход от държавите от Тихоокеанския басейн, сключили СИП, чрез прилагане на всяка бъдеща разпоредба на Всеобхватно споразумение за икономическо партньорство между ЕС и държавите от Тихоокеанския басейн.</w:t>
      </w:r>
    </w:p>
    <w:p>
      <w:pPr>
        <w:pStyle w:val="Titrearticle"/>
        <w:rPr>
          <w:noProof/>
        </w:rPr>
      </w:pPr>
      <w:r>
        <w:rPr>
          <w:noProof/>
        </w:rPr>
        <w:t>ЧЛЕН 5</w:t>
      </w:r>
    </w:p>
    <w:p>
      <w:pPr>
        <w:jc w:val="center"/>
        <w:rPr>
          <w:b/>
          <w:noProof/>
        </w:rPr>
      </w:pPr>
      <w:r>
        <w:rPr>
          <w:b/>
          <w:noProof/>
        </w:rPr>
        <w:t>Кумулация в Европейския съюз</w:t>
      </w:r>
    </w:p>
    <w:p>
      <w:pPr>
        <w:pStyle w:val="ManualNumPar1"/>
        <w:rPr>
          <w:noProof/>
        </w:rPr>
      </w:pPr>
      <w:r>
        <w:rPr>
          <w:noProof/>
        </w:rPr>
        <w:t>1.</w:t>
      </w:r>
      <w:r>
        <w:rPr>
          <w:noProof/>
        </w:rPr>
        <w:tab/>
        <w:t>Без да се засягат разпоредбите на член 2, параграф 1, продуктите се считат за продукти с произход от ЕС, ако са произведени там и включват материали с произход от държава партньор от ИАО, от другите държави от АКТБ, с които ЕС прилага споразумение за икономическо партньорство, или от ОСТ, при условие че извършената в Европейския съюз обработка или преработка надхвърля операциите, посочени в член 9, параграф 1. Не е необходимо тези материали да са претърпели достатъчна обработка или преработка.</w:t>
      </w:r>
    </w:p>
    <w:p>
      <w:pPr>
        <w:pStyle w:val="Text1"/>
        <w:rPr>
          <w:noProof/>
        </w:rPr>
      </w:pPr>
      <w:r>
        <w:rPr>
          <w:noProof/>
        </w:rPr>
        <w:t>Когато обработката или преработката, извършена в Европейския съюз, не надхвърля операциите, посочени в член 9, параграф 1, произведеният продукт се счита за продукт с произход от ЕС единствено когато добавената там стойност е по-голяма от стойността на използваните материали с произход от която и да е от другите държави или територии, посочени в параграф 1.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в ЕС, са с най-голяма стойност.</w:t>
      </w:r>
    </w:p>
    <w:p>
      <w:pPr>
        <w:pStyle w:val="Text1"/>
        <w:rPr>
          <w:noProof/>
        </w:rPr>
      </w:pPr>
      <w:r>
        <w:rPr>
          <w:noProof/>
        </w:rPr>
        <w:t>Произходът на материалите с произход от другите държави от АКТБ, с които ЕС прилага споразумение за икономическо партньорство, или от ОСТ, се определя в съответствие с правилата за произход, които са приложими в рамките на преференциалните договорености между ЕС и тези държави и територии, и в съответствие с разпоредбите на член 28.</w:t>
      </w:r>
    </w:p>
    <w:p>
      <w:pPr>
        <w:pStyle w:val="ManualNumPar1"/>
        <w:rPr>
          <w:noProof/>
        </w:rPr>
      </w:pPr>
      <w:r>
        <w:rPr>
          <w:noProof/>
        </w:rPr>
        <w:t>2.</w:t>
      </w:r>
      <w:r>
        <w:rPr>
          <w:noProof/>
        </w:rPr>
        <w:tab/>
        <w:t xml:space="preserve">Без да се засягат разпоредбите на член 2, параграф 1, буква б), обработката или преработката, извършена в държава партньор от ИАО, в другите държави от АКТБ, с които ЕС прилага споразумение за икономическо партньорство, или в ОСТ, се счита за извършена в ЕС, когато получените там продукти са претърпели последваща обработка или преработка. </w:t>
      </w:r>
    </w:p>
    <w:p>
      <w:pPr>
        <w:pStyle w:val="ManualNumPar1"/>
        <w:rPr>
          <w:noProof/>
        </w:rPr>
      </w:pPr>
      <w:r>
        <w:rPr>
          <w:noProof/>
        </w:rPr>
        <w:t>3.</w:t>
      </w:r>
      <w:r>
        <w:rPr>
          <w:noProof/>
        </w:rPr>
        <w:tab/>
        <w:t xml:space="preserve">Когато обработката или преработката, извършена в ЕС, не надхвърля операциите, посочени в член 9, параграф 1, полученият продукт се счита за продукт с произход от ЕС единствено когато добавената там стойност е по-голяма от стойността на използваните материали от която и да е от другите държави или територии. Ако случаят не е такъв, полученият продукт се счита за продукт с произход от държавата </w:t>
      </w:r>
      <w:r>
        <w:rPr>
          <w:noProof/>
        </w:rPr>
        <w:lastRenderedPageBreak/>
        <w:t>или територията, в която вложените материали, използвани при производството, са с най-голяма стойност.</w:t>
      </w:r>
    </w:p>
    <w:p>
      <w:pPr>
        <w:pStyle w:val="ManualNumPar1"/>
        <w:rPr>
          <w:noProof/>
        </w:rPr>
      </w:pPr>
      <w:r>
        <w:rPr>
          <w:noProof/>
        </w:rPr>
        <w:t>4.</w:t>
      </w:r>
      <w:r>
        <w:rPr>
          <w:noProof/>
        </w:rPr>
        <w:tab/>
        <w:t>Произходът на крайния продукт се определя в съответствие с правилата за произход от настоящия протокол и с разпоредбите на член 28. Кумулацията, предвидена в настоящия член, може да се прилага единствено при условие че:</w:t>
      </w:r>
    </w:p>
    <w:p>
      <w:pPr>
        <w:pStyle w:val="Point1"/>
        <w:rPr>
          <w:noProof/>
        </w:rPr>
      </w:pPr>
      <w:r>
        <w:rPr>
          <w:noProof/>
        </w:rPr>
        <w:t>а)</w:t>
      </w:r>
      <w:r>
        <w:rPr>
          <w:noProof/>
        </w:rPr>
        <w:tab/>
        <w:t>всички държави и територии, участващи в придобиването на статут на стоки с произход, и държавата по местоназначение са сключили договореност или споразумение за административно сътрудничество, която(което) гарантира правилното прилагане на настоящия член и включва позоваване на използването на подходящи доказателства за произход;</w:t>
      </w:r>
    </w:p>
    <w:p>
      <w:pPr>
        <w:pStyle w:val="Point1"/>
        <w:rPr>
          <w:noProof/>
        </w:rPr>
      </w:pPr>
      <w:r>
        <w:rPr>
          <w:noProof/>
        </w:rPr>
        <w:t>б)</w:t>
      </w:r>
      <w:r>
        <w:rPr>
          <w:noProof/>
        </w:rPr>
        <w:tab/>
        <w:t xml:space="preserve">ЕС предоставя на държавите партньори от ИАО, чрез секретариата на ИАО, подробна информация за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а държавите партньори от ИАО публикуват в съответствие с техните вътрешни процедури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pPr>
        <w:pStyle w:val="ManualNumPar1"/>
        <w:rPr>
          <w:noProof/>
        </w:rPr>
      </w:pPr>
      <w:r>
        <w:rPr>
          <w:noProof/>
        </w:rPr>
        <w:t>5.</w:t>
      </w:r>
      <w:r>
        <w:rPr>
          <w:noProof/>
        </w:rPr>
        <w:tab/>
        <w:t>Кумулацията, предвидена в настоящия член, не се прилага за материалите:</w:t>
      </w:r>
    </w:p>
    <w:p>
      <w:pPr>
        <w:pStyle w:val="Point1"/>
        <w:rPr>
          <w:noProof/>
        </w:rPr>
      </w:pPr>
      <w:r>
        <w:rPr>
          <w:noProof/>
        </w:rPr>
        <w:t>а)</w:t>
      </w:r>
      <w:r>
        <w:rPr>
          <w:noProof/>
        </w:rPr>
        <w:tab/>
        <w:t>от позиции 1604 и 1605 от Хармонизираната система, които са с произход от държавите от Тихоокеанския басейн, сключили СИП, чрез прилагане на член 6, параграф 6 от протокол II към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3"/>
      </w:r>
      <w:r>
        <w:rPr>
          <w:noProof/>
        </w:rPr>
        <w:t xml:space="preserve">; </w:t>
      </w:r>
    </w:p>
    <w:p>
      <w:pPr>
        <w:pStyle w:val="Point1"/>
        <w:rPr>
          <w:noProof/>
        </w:rPr>
      </w:pPr>
      <w:r>
        <w:rPr>
          <w:noProof/>
        </w:rPr>
        <w:t>б)</w:t>
      </w:r>
      <w:r>
        <w:rPr>
          <w:noProof/>
        </w:rPr>
        <w:tab/>
        <w:t>от позиции 1604 и 1605 от Хармонизираната система, които са с произход от държавите от Тихоокеанския басейн, чрез прилагане на всяка бъдеща разпоредба на Всеобхватно споразумение за икономическо партньорство между ЕС и държавите от АКТБ от Тихоокеанския басейн.</w:t>
      </w:r>
    </w:p>
    <w:p>
      <w:pPr>
        <w:pStyle w:val="Titrearticle"/>
        <w:rPr>
          <w:bCs/>
          <w:noProof/>
        </w:rPr>
      </w:pPr>
      <w:r>
        <w:rPr>
          <w:noProof/>
        </w:rPr>
        <w:t>ЧЛЕН 6</w:t>
      </w:r>
    </w:p>
    <w:p>
      <w:pPr>
        <w:jc w:val="center"/>
        <w:rPr>
          <w:b/>
          <w:noProof/>
        </w:rPr>
      </w:pPr>
      <w:r>
        <w:rPr>
          <w:b/>
          <w:noProof/>
        </w:rPr>
        <w:t>Кумулация с други държави, които се ползват от безмитен и безквотен достъп до пазара на ЕС</w:t>
      </w:r>
    </w:p>
    <w:p>
      <w:pPr>
        <w:pStyle w:val="ManualNumPar1"/>
        <w:rPr>
          <w:noProof/>
        </w:rPr>
      </w:pPr>
      <w:r>
        <w:rPr>
          <w:noProof/>
        </w:rPr>
        <w:t>1.</w:t>
      </w:r>
      <w:r>
        <w:rPr>
          <w:noProof/>
        </w:rPr>
        <w:tab/>
        <w:t xml:space="preserve">Без да се засягат разпоредбите на член 2, параграф 2, материалите с произход от държави и територии: </w:t>
      </w:r>
    </w:p>
    <w:p>
      <w:pPr>
        <w:pStyle w:val="Point1"/>
        <w:rPr>
          <w:noProof/>
        </w:rPr>
      </w:pPr>
      <w:r>
        <w:rPr>
          <w:noProof/>
        </w:rPr>
        <w:t>а)</w:t>
      </w:r>
      <w:r>
        <w:rPr>
          <w:noProof/>
        </w:rPr>
        <w:tab/>
        <w:t>които се ползват от „специалния режим за най-слаборазвитите държави“ в рамките на общата система за преференции</w:t>
      </w:r>
      <w:r>
        <w:rPr>
          <w:rStyle w:val="FootnoteReference"/>
          <w:noProof/>
        </w:rPr>
        <w:footnoteReference w:id="4"/>
      </w:r>
      <w:r>
        <w:rPr>
          <w:noProof/>
        </w:rPr>
        <w:t xml:space="preserve">; </w:t>
      </w:r>
    </w:p>
    <w:p>
      <w:pPr>
        <w:pStyle w:val="Point1"/>
        <w:rPr>
          <w:noProof/>
        </w:rPr>
      </w:pPr>
      <w:r>
        <w:rPr>
          <w:noProof/>
        </w:rPr>
        <w:lastRenderedPageBreak/>
        <w:t>б)</w:t>
      </w:r>
      <w:r>
        <w:rPr>
          <w:noProof/>
        </w:rPr>
        <w:tab/>
        <w:t>които се ползват от безмитен и безквотен достъп до пазара на ЕС съгласно общите разпоредби на общата система за преференции</w:t>
      </w:r>
      <w:r>
        <w:rPr>
          <w:rStyle w:val="FootnoteReference"/>
          <w:noProof/>
        </w:rPr>
        <w:footnoteReference w:id="5"/>
      </w:r>
      <w:r>
        <w:rPr>
          <w:noProof/>
        </w:rPr>
        <w:t>;</w:t>
      </w:r>
    </w:p>
    <w:p>
      <w:pPr>
        <w:pStyle w:val="Text1"/>
        <w:rPr>
          <w:noProof/>
        </w:rPr>
      </w:pPr>
      <w:r>
        <w:rPr>
          <w:noProof/>
        </w:rPr>
        <w:t>се считат за материали с произход от държава партньор от ИАО, когато са вложени в продукт, получен там.</w:t>
      </w:r>
    </w:p>
    <w:p>
      <w:pPr>
        <w:pStyle w:val="Text1"/>
        <w:rPr>
          <w:noProof/>
        </w:rPr>
      </w:pPr>
      <w:r>
        <w:rPr>
          <w:noProof/>
        </w:rPr>
        <w:t>Не е необходимо тези материали да са претърпели достатъчна обработка или преработка, при условие че те са претърпели обработка или преработка, която надхвърля посочената в член 9, параграф 1. Продукт, в който са вложени тези материали, в случай че той включва и материали без произход, трябва да претърпи достатъчна обработка или преработка в съответствие с разпоредбите на член 8, за да бъде считан за продукт с произход от държава партньор от ИАО.</w:t>
      </w:r>
    </w:p>
    <w:p>
      <w:pPr>
        <w:pStyle w:val="ManualNumPar1"/>
        <w:rPr>
          <w:noProof/>
        </w:rPr>
      </w:pPr>
      <w:r>
        <w:rPr>
          <w:noProof/>
        </w:rPr>
        <w:t>1.1</w:t>
      </w:r>
      <w:r>
        <w:rPr>
          <w:noProof/>
        </w:rPr>
        <w:tab/>
        <w:t>Произходът на материалите от съответните държави или територии се определя в съответствие с правилата за произход, които са приложими в рамките на преференциалните договорености между ЕС и тези държави и територии, и в съответствие с разпоредбите на член 28.</w:t>
      </w:r>
    </w:p>
    <w:p>
      <w:pPr>
        <w:pStyle w:val="ManualNumPar1"/>
        <w:rPr>
          <w:noProof/>
        </w:rPr>
      </w:pPr>
      <w:r>
        <w:rPr>
          <w:noProof/>
        </w:rPr>
        <w:t>1.2</w:t>
      </w:r>
      <w:r>
        <w:rPr>
          <w:noProof/>
        </w:rPr>
        <w:tab/>
        <w:t>Кумулацията, предвидена в настоящия параграф, не се прилага за:</w:t>
      </w:r>
    </w:p>
    <w:p>
      <w:pPr>
        <w:pStyle w:val="Point1"/>
        <w:rPr>
          <w:noProof/>
        </w:rPr>
      </w:pPr>
      <w:r>
        <w:rPr>
          <w:noProof/>
        </w:rPr>
        <w:t>а)</w:t>
      </w:r>
      <w:r>
        <w:rPr>
          <w:noProof/>
        </w:rPr>
        <w:tab/>
        <w:t>материали, към които при вноса им в ЕС се прилагат антидъмпингови или изравнителни мита, когато те са с произход от държавата, към която се прилагат тези антидъмпингови или изравнителни мита</w:t>
      </w:r>
      <w:r>
        <w:rPr>
          <w:rStyle w:val="FootnoteReference"/>
          <w:noProof/>
        </w:rPr>
        <w:footnoteReference w:id="6"/>
      </w:r>
      <w:r>
        <w:rPr>
          <w:noProof/>
        </w:rPr>
        <w:t>;</w:t>
      </w:r>
    </w:p>
    <w:p>
      <w:pPr>
        <w:pStyle w:val="Point1"/>
        <w:rPr>
          <w:noProof/>
        </w:rPr>
      </w:pPr>
      <w:r>
        <w:rPr>
          <w:noProof/>
        </w:rPr>
        <w:t>б)</w:t>
      </w:r>
      <w:r>
        <w:rPr>
          <w:noProof/>
        </w:rPr>
        <w:tab/>
        <w:t>материали, класирани в тарифни подпозиции от Хармонизираната система, включващи и други 8-цифрови тарифни линии, които не са освободени от мита посредством прилагане на договореностите от параграф 1;</w:t>
      </w:r>
    </w:p>
    <w:p>
      <w:pPr>
        <w:pStyle w:val="Point1"/>
        <w:rPr>
          <w:noProof/>
        </w:rPr>
      </w:pPr>
      <w:r>
        <w:rPr>
          <w:noProof/>
        </w:rPr>
        <w:t>в)</w:t>
      </w:r>
      <w:r>
        <w:rPr>
          <w:noProof/>
        </w:rPr>
        <w:tab/>
        <w:t>продукти от риба тон, класирани в глава 3 от ХС, митата за които са суспендирани в съответствие с общия режим от общата система за преференции на ЕС;</w:t>
      </w:r>
    </w:p>
    <w:p>
      <w:pPr>
        <w:pStyle w:val="Point1"/>
        <w:rPr>
          <w:noProof/>
        </w:rPr>
      </w:pPr>
      <w:r>
        <w:rPr>
          <w:noProof/>
        </w:rPr>
        <w:t>г)</w:t>
      </w:r>
      <w:r>
        <w:rPr>
          <w:noProof/>
        </w:rPr>
        <w:tab/>
        <w:t>продукти, тарифните преференции за които са премахнати в резултат от изравняване (постепенно намаляване на помощта), временно прекратяване или прилагане на защитни клаузи в съответствие с общия режим от общата система за преференции на ЕС.</w:t>
      </w:r>
    </w:p>
    <w:p>
      <w:pPr>
        <w:pStyle w:val="ManualNumPar1"/>
        <w:rPr>
          <w:noProof/>
        </w:rPr>
      </w:pPr>
      <w:r>
        <w:rPr>
          <w:noProof/>
        </w:rPr>
        <w:t>2.</w:t>
      </w:r>
      <w:r>
        <w:rPr>
          <w:noProof/>
        </w:rPr>
        <w:tab/>
        <w:t xml:space="preserve">По искане на държава партньор от ИАО, без да се засягат разпоредбите на член 2 и при условие че са спазени условията на параграфи 2.1, 2.2 и 5, материалите с произход от държави и територии, които се ползват от споразумения или договорености, при които се предвижда безмитен и безквотен достъп до пазара на Европейския съюз, се считат за материали с произход от държава партньор от ИАО. Искането се подава от държавата партньор от ИАО до ЕС, който удовлетворява </w:t>
      </w:r>
      <w:r>
        <w:rPr>
          <w:noProof/>
        </w:rPr>
        <w:lastRenderedPageBreak/>
        <w:t>искането в съответствие с вътрешните си процедури. Кумулацията остава в сила докато горепосочените условия са изпълнени.</w:t>
      </w:r>
    </w:p>
    <w:p>
      <w:pPr>
        <w:pStyle w:val="Text1"/>
        <w:rPr>
          <w:noProof/>
        </w:rPr>
      </w:pPr>
      <w:r>
        <w:rPr>
          <w:noProof/>
        </w:rPr>
        <w:t xml:space="preserve">Не е необходимо тези материали да са претърпели достатъчна обработка или преработка, при условие че те са претърпели обработка или преработка, която надхвърля посочената в член 9, параграф 1. </w:t>
      </w:r>
    </w:p>
    <w:p>
      <w:pPr>
        <w:pStyle w:val="ManualNumPar1"/>
        <w:rPr>
          <w:noProof/>
        </w:rPr>
      </w:pPr>
      <w:r>
        <w:rPr>
          <w:noProof/>
        </w:rPr>
        <w:t>2.1</w:t>
      </w:r>
      <w:r>
        <w:rPr>
          <w:noProof/>
        </w:rPr>
        <w:tab/>
        <w:t>Произходът на материалите от съответните държави или територии се определя в съответствие с правилата за произход, които са приложими в рамките на преференциалните споразумения или договорености между ЕС и тези държави и територии, и в съответствие с разпоредбите на член 28.</w:t>
      </w:r>
    </w:p>
    <w:p>
      <w:pPr>
        <w:pStyle w:val="ManualNumPar1"/>
        <w:rPr>
          <w:noProof/>
        </w:rPr>
      </w:pPr>
      <w:r>
        <w:rPr>
          <w:noProof/>
        </w:rPr>
        <w:t>2.2</w:t>
      </w:r>
      <w:r>
        <w:rPr>
          <w:noProof/>
        </w:rPr>
        <w:tab/>
        <w:t>Кумулацията, предвидена в настоящия параграф, не се прилага за материалите:</w:t>
      </w:r>
    </w:p>
    <w:p>
      <w:pPr>
        <w:pStyle w:val="Point1"/>
        <w:rPr>
          <w:noProof/>
        </w:rPr>
      </w:pPr>
      <w:r>
        <w:rPr>
          <w:noProof/>
        </w:rPr>
        <w:t>а)</w:t>
      </w:r>
      <w:r>
        <w:rPr>
          <w:noProof/>
        </w:rPr>
        <w:tab/>
        <w:t>попадащи в обхвата на глави 1 — 24 от Хармонизираната система и в списъка с продукти от приложение 1, параграф 1, подточка ii) от Споразумението за селското стопанство, включено в Общото споразумение за митата и търговията (ГАТТ) от 1994 г.;</w:t>
      </w:r>
    </w:p>
    <w:p>
      <w:pPr>
        <w:pStyle w:val="Point1"/>
        <w:rPr>
          <w:noProof/>
        </w:rPr>
      </w:pPr>
      <w:r>
        <w:rPr>
          <w:noProof/>
        </w:rPr>
        <w:t>б)</w:t>
      </w:r>
      <w:r>
        <w:rPr>
          <w:noProof/>
        </w:rPr>
        <w:tab/>
        <w:t>към които при вноса им в ЕС се прилагат антидъмпингови или изравнителни мита, когато те са с произход от държавата, към която се прилагат тези антидъмпингови или изравнителни мита</w:t>
      </w:r>
      <w:r>
        <w:rPr>
          <w:rStyle w:val="FootnoteReference"/>
          <w:noProof/>
        </w:rPr>
        <w:footnoteReference w:id="7"/>
      </w:r>
      <w:r>
        <w:rPr>
          <w:noProof/>
        </w:rPr>
        <w:t>;</w:t>
      </w:r>
    </w:p>
    <w:p>
      <w:pPr>
        <w:pStyle w:val="Point1"/>
        <w:rPr>
          <w:noProof/>
        </w:rPr>
      </w:pPr>
      <w:r>
        <w:rPr>
          <w:noProof/>
        </w:rPr>
        <w:t>в)</w:t>
      </w:r>
      <w:r>
        <w:rPr>
          <w:noProof/>
        </w:rPr>
        <w:tab/>
        <w:t>класирани в тарифни подпозиции от Хармонизираната система, включващи и други 8-цифрови тарифни линии, които не са освободени от мита посредством прилагане на споразуменията или договореностите, посочени в параграф 2;</w:t>
      </w:r>
    </w:p>
    <w:p>
      <w:pPr>
        <w:pStyle w:val="Point1"/>
        <w:rPr>
          <w:noProof/>
        </w:rPr>
      </w:pPr>
      <w:r>
        <w:rPr>
          <w:noProof/>
        </w:rPr>
        <w:t>г)</w:t>
      </w:r>
      <w:r>
        <w:rPr>
          <w:noProof/>
        </w:rPr>
        <w:tab/>
        <w:t>спрямо които по силата на сключено споразумение за свободна търговия между ЕС и трета държава се прилагат средства за търговска защита и защитни мерки или всяка друга мярка, с която на тези продукти се отказва предоставянето на безмитен и безквотен достъп до пазара на ЕС.</w:t>
      </w:r>
    </w:p>
    <w:p>
      <w:pPr>
        <w:pStyle w:val="ManualNumPar1"/>
        <w:rPr>
          <w:noProof/>
        </w:rPr>
      </w:pPr>
      <w:r>
        <w:rPr>
          <w:noProof/>
        </w:rPr>
        <w:t>3.</w:t>
      </w:r>
      <w:r>
        <w:rPr>
          <w:noProof/>
        </w:rPr>
        <w:tab/>
        <w:t>ЕС всяка година уведомява Комитета за списъка с материалите и държавите, по отношение на които се прилагат параграфи 1 и 2. Държавите партньори от ИАО уведомяват всяко тримесечие Европейската комисия за материалите, по отношение на които е била приложена кумулация съгласно параграфи 1 и 2</w:t>
      </w:r>
      <w:r>
        <w:rPr>
          <w:rStyle w:val="FootnoteReference"/>
          <w:noProof/>
        </w:rPr>
        <w:footnoteReference w:id="8"/>
      </w:r>
      <w:r>
        <w:rPr>
          <w:noProof/>
        </w:rPr>
        <w:t>.</w:t>
      </w:r>
    </w:p>
    <w:p>
      <w:pPr>
        <w:pStyle w:val="ManualNumPar1"/>
        <w:rPr>
          <w:noProof/>
        </w:rPr>
      </w:pPr>
      <w:r>
        <w:rPr>
          <w:noProof/>
        </w:rPr>
        <w:t>4.</w:t>
      </w:r>
      <w:r>
        <w:rPr>
          <w:noProof/>
        </w:rPr>
        <w:tab/>
        <w:t>Сертификатите за движение EUR 1 или декларациите за произход, издадени в приложение на параграф 1 и 2, съдържат следния текст (в клетка/поле 7): „Application of Article 6.1 or 6.2 of Protocol 1 to the EU-EAC EPA“.</w:t>
      </w:r>
    </w:p>
    <w:p>
      <w:pPr>
        <w:pStyle w:val="ManualNumPar1"/>
        <w:rPr>
          <w:noProof/>
        </w:rPr>
      </w:pPr>
      <w:r>
        <w:rPr>
          <w:noProof/>
        </w:rPr>
        <w:t>5.</w:t>
      </w:r>
      <w:r>
        <w:rPr>
          <w:noProof/>
        </w:rPr>
        <w:tab/>
        <w:t>Кумулацията, предвидена в параграфи 1 и 2 от настоящия член, може да се прилага единствено при условие че:</w:t>
      </w:r>
    </w:p>
    <w:p>
      <w:pPr>
        <w:pStyle w:val="Point1"/>
        <w:rPr>
          <w:noProof/>
        </w:rPr>
      </w:pPr>
      <w:r>
        <w:rPr>
          <w:noProof/>
        </w:rPr>
        <w:t>а)</w:t>
      </w:r>
      <w:r>
        <w:rPr>
          <w:noProof/>
        </w:rPr>
        <w:tab/>
        <w:t xml:space="preserve">всички държави и територии, участващи в придобиването на статут на стоки с произход, са сключили договореност или споразумение за административно сътрудничество помежду си, като са използвали образеца в приложение X, </w:t>
      </w:r>
      <w:r>
        <w:rPr>
          <w:noProof/>
        </w:rPr>
        <w:lastRenderedPageBreak/>
        <w:t xml:space="preserve">което гарантира правилното прилагане на настоящия член и включва позоваване на използването на подходящи доказателства за произход; </w:t>
      </w:r>
    </w:p>
    <w:p>
      <w:pPr>
        <w:pStyle w:val="Point1"/>
        <w:rPr>
          <w:noProof/>
        </w:rPr>
      </w:pPr>
      <w:r>
        <w:rPr>
          <w:noProof/>
        </w:rPr>
        <w:t>б)</w:t>
      </w:r>
      <w:r>
        <w:rPr>
          <w:noProof/>
        </w:rPr>
        <w:tab/>
        <w:t xml:space="preserve">държавата партньор или държавите партньори от ИАО предоставя(т) на ЕС, чрез Европейската комисия, подробна информация за договореностите или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датата, от която предвидената в настоящия член кумулация може да се прилага по отношение на изброените в настоящия член държави и територии, които са изпълнили необходимите изисквания.</w:t>
      </w:r>
    </w:p>
    <w:p>
      <w:pPr>
        <w:pStyle w:val="Titrearticle"/>
        <w:rPr>
          <w:noProof/>
        </w:rPr>
      </w:pPr>
      <w:r>
        <w:rPr>
          <w:noProof/>
        </w:rPr>
        <w:t>ЧЛЕН 7</w:t>
      </w:r>
    </w:p>
    <w:p>
      <w:pPr>
        <w:jc w:val="center"/>
        <w:rPr>
          <w:b/>
          <w:noProof/>
        </w:rPr>
      </w:pPr>
      <w:r>
        <w:rPr>
          <w:b/>
          <w:noProof/>
        </w:rPr>
        <w:t>Изцяло получени продукти</w:t>
      </w:r>
    </w:p>
    <w:p>
      <w:pPr>
        <w:pStyle w:val="ManualNumPar1"/>
        <w:rPr>
          <w:noProof/>
        </w:rPr>
      </w:pPr>
      <w:r>
        <w:rPr>
          <w:noProof/>
        </w:rPr>
        <w:t>1.</w:t>
      </w:r>
      <w:r>
        <w:rPr>
          <w:noProof/>
        </w:rPr>
        <w:tab/>
        <w:t xml:space="preserve">Следните продукти се считат за изцяло получени в държава партньор от ИАО или в ЕС: </w:t>
      </w:r>
    </w:p>
    <w:p>
      <w:pPr>
        <w:pStyle w:val="Point1"/>
        <w:rPr>
          <w:noProof/>
        </w:rPr>
      </w:pPr>
      <w:r>
        <w:rPr>
          <w:noProof/>
        </w:rPr>
        <w:t>а)</w:t>
      </w:r>
      <w:r>
        <w:rPr>
          <w:noProof/>
        </w:rPr>
        <w:tab/>
        <w:t xml:space="preserve">минерални продукти, извлечени от тяхната почва или от тяхното морско дъно; </w:t>
      </w:r>
    </w:p>
    <w:p>
      <w:pPr>
        <w:pStyle w:val="Point1"/>
        <w:rPr>
          <w:noProof/>
        </w:rPr>
      </w:pPr>
      <w:r>
        <w:rPr>
          <w:noProof/>
        </w:rPr>
        <w:t>б)</w:t>
      </w:r>
      <w:r>
        <w:rPr>
          <w:noProof/>
        </w:rPr>
        <w:tab/>
        <w:t xml:space="preserve">растения и растителни продукти, отгледани, прибрани или събрани там; </w:t>
      </w:r>
    </w:p>
    <w:p>
      <w:pPr>
        <w:pStyle w:val="Point1"/>
        <w:rPr>
          <w:noProof/>
        </w:rPr>
      </w:pPr>
      <w:r>
        <w:rPr>
          <w:noProof/>
        </w:rPr>
        <w:t>в)</w:t>
      </w:r>
      <w:r>
        <w:rPr>
          <w:noProof/>
        </w:rPr>
        <w:tab/>
        <w:t xml:space="preserve">живи животни, родени и отгледани там; </w:t>
      </w:r>
    </w:p>
    <w:p>
      <w:pPr>
        <w:pStyle w:val="Point1"/>
        <w:rPr>
          <w:noProof/>
        </w:rPr>
      </w:pPr>
      <w:r>
        <w:rPr>
          <w:noProof/>
        </w:rPr>
        <w:t>г)</w:t>
      </w:r>
      <w:r>
        <w:rPr>
          <w:noProof/>
        </w:rPr>
        <w:tab/>
        <w:t xml:space="preserve">продукти от живи животни, отгледани там; </w:t>
      </w:r>
    </w:p>
    <w:p>
      <w:pPr>
        <w:pStyle w:val="Point1"/>
        <w:rPr>
          <w:noProof/>
        </w:rPr>
      </w:pPr>
      <w:r>
        <w:rPr>
          <w:noProof/>
        </w:rPr>
        <w:t>д)</w:t>
      </w:r>
      <w:r>
        <w:rPr>
          <w:noProof/>
        </w:rPr>
        <w:tab/>
        <w:t>продукти от заклани животни, родени и отгледани там;</w:t>
      </w:r>
    </w:p>
    <w:p>
      <w:pPr>
        <w:pStyle w:val="PointDouble1"/>
        <w:rPr>
          <w:noProof/>
        </w:rPr>
      </w:pPr>
      <w:r>
        <w:rPr>
          <w:noProof/>
        </w:rPr>
        <w:t>е)</w:t>
      </w:r>
      <w:r>
        <w:rPr>
          <w:noProof/>
        </w:rPr>
        <w:tab/>
        <w:t>i)</w:t>
      </w:r>
      <w:r>
        <w:rPr>
          <w:noProof/>
        </w:rPr>
        <w:tab/>
        <w:t xml:space="preserve">продукти, получени чрез лов или риболов, извършен там; </w:t>
      </w:r>
    </w:p>
    <w:p>
      <w:pPr>
        <w:pStyle w:val="Point2"/>
        <w:rPr>
          <w:noProof/>
        </w:rPr>
      </w:pPr>
      <w:r>
        <w:rPr>
          <w:noProof/>
        </w:rPr>
        <w:t>ii)</w:t>
      </w:r>
      <w:r>
        <w:rPr>
          <w:noProof/>
        </w:rPr>
        <w:tab/>
        <w:t>продукти от аквакултури, включително морски култури, когато рибата е родена и отгледана там;</w:t>
      </w:r>
    </w:p>
    <w:p>
      <w:pPr>
        <w:pStyle w:val="Point1"/>
        <w:rPr>
          <w:noProof/>
        </w:rPr>
      </w:pPr>
      <w:r>
        <w:rPr>
          <w:noProof/>
        </w:rPr>
        <w:t>ж)</w:t>
      </w:r>
      <w:r>
        <w:rPr>
          <w:noProof/>
        </w:rPr>
        <w:tab/>
        <w:t>продукти от морски риболов и други продукти, извлечени от морето извън териториалните води на държавите партньори от ИАО или на ЕС от техните плавателни съдове;</w:t>
      </w:r>
    </w:p>
    <w:p>
      <w:pPr>
        <w:pStyle w:val="Point1"/>
        <w:rPr>
          <w:noProof/>
        </w:rPr>
      </w:pPr>
      <w:r>
        <w:rPr>
          <w:noProof/>
        </w:rPr>
        <w:t>з)</w:t>
      </w:r>
      <w:r>
        <w:rPr>
          <w:noProof/>
        </w:rPr>
        <w:tab/>
        <w:t xml:space="preserve">продукти, произведени на борда на техните кораби-фабрики изключително от продуктите, посочени в буква е); </w:t>
      </w:r>
    </w:p>
    <w:p>
      <w:pPr>
        <w:pStyle w:val="Point1"/>
        <w:rPr>
          <w:noProof/>
        </w:rPr>
      </w:pPr>
      <w:r>
        <w:rPr>
          <w:noProof/>
        </w:rPr>
        <w:t>и)</w:t>
      </w:r>
      <w:r>
        <w:rPr>
          <w:noProof/>
        </w:rPr>
        <w:tab/>
        <w:t>събрани там употребявани изделия, при условие че тези стоки са годни единствено за извличане на суровините;</w:t>
      </w:r>
    </w:p>
    <w:p>
      <w:pPr>
        <w:pStyle w:val="Point1"/>
        <w:rPr>
          <w:noProof/>
        </w:rPr>
      </w:pPr>
      <w:r>
        <w:rPr>
          <w:noProof/>
        </w:rPr>
        <w:t>й) отпадъци и скрап, които са резултат от производствени операции, извършвани там;</w:t>
      </w:r>
    </w:p>
    <w:p>
      <w:pPr>
        <w:pStyle w:val="Point1"/>
        <w:rPr>
          <w:noProof/>
        </w:rPr>
      </w:pPr>
      <w:r>
        <w:rPr>
          <w:noProof/>
        </w:rPr>
        <w:t>к)</w:t>
      </w:r>
      <w:r>
        <w:rPr>
          <w:noProof/>
        </w:rPr>
        <w:tab/>
        <w:t>продукти, извлечени от морската почва или подпочвените пластове извън техните териториални води, при условие че те притежават изключителни права за обработване на тези почвени или подпочвени пластове;</w:t>
      </w:r>
    </w:p>
    <w:p>
      <w:pPr>
        <w:pStyle w:val="Point1"/>
        <w:rPr>
          <w:noProof/>
        </w:rPr>
      </w:pPr>
      <w:r>
        <w:rPr>
          <w:noProof/>
        </w:rPr>
        <w:t>л)</w:t>
      </w:r>
      <w:r>
        <w:rPr>
          <w:noProof/>
        </w:rPr>
        <w:tab/>
        <w:t xml:space="preserve">стоки, произведени там изключително от продуктите, посочени в букви а) — й). </w:t>
      </w:r>
    </w:p>
    <w:p>
      <w:pPr>
        <w:pStyle w:val="ManualNumPar1"/>
        <w:rPr>
          <w:noProof/>
        </w:rPr>
      </w:pPr>
      <w:r>
        <w:rPr>
          <w:noProof/>
        </w:rPr>
        <w:lastRenderedPageBreak/>
        <w:t>2.</w:t>
      </w:r>
      <w:r>
        <w:rPr>
          <w:noProof/>
        </w:rPr>
        <w:tab/>
        <w:t xml:space="preserve">Понятията „техни плавателни съдове“ и „техни кораби-фабрики“ в параграф 1, букви ж) и з) се прилагат само по отношение на плавателни съдове и кораби-фабрики: </w:t>
      </w:r>
    </w:p>
    <w:p>
      <w:pPr>
        <w:pStyle w:val="Point1"/>
        <w:rPr>
          <w:noProof/>
        </w:rPr>
      </w:pPr>
      <w:r>
        <w:rPr>
          <w:noProof/>
        </w:rPr>
        <w:t>а)</w:t>
      </w:r>
      <w:r>
        <w:rPr>
          <w:noProof/>
        </w:rPr>
        <w:tab/>
        <w:t xml:space="preserve">които са регистрирани в държава — членка на ЕС, в държава партньор от ИАО или в ОСТ; </w:t>
      </w:r>
    </w:p>
    <w:p>
      <w:pPr>
        <w:pStyle w:val="Point1"/>
        <w:rPr>
          <w:noProof/>
        </w:rPr>
      </w:pPr>
      <w:r>
        <w:rPr>
          <w:noProof/>
        </w:rPr>
        <w:t>б)</w:t>
      </w:r>
      <w:r>
        <w:rPr>
          <w:noProof/>
        </w:rPr>
        <w:tab/>
        <w:t>които плават под флага на държава — членка на ЕС, на държава партньор от ИАО или на ОСТ;</w:t>
      </w:r>
    </w:p>
    <w:p>
      <w:pPr>
        <w:pStyle w:val="Point1"/>
        <w:rPr>
          <w:noProof/>
        </w:rPr>
      </w:pPr>
      <w:r>
        <w:rPr>
          <w:noProof/>
        </w:rPr>
        <w:t>в)</w:t>
      </w:r>
      <w:r>
        <w:rPr>
          <w:noProof/>
        </w:rPr>
        <w:tab/>
        <w:t xml:space="preserve">които отговарят на едно от следните условия: </w:t>
      </w:r>
    </w:p>
    <w:p>
      <w:pPr>
        <w:pStyle w:val="Point2"/>
        <w:rPr>
          <w:noProof/>
        </w:rPr>
      </w:pPr>
      <w:r>
        <w:rPr>
          <w:noProof/>
        </w:rPr>
        <w:t>i)</w:t>
      </w:r>
      <w:r>
        <w:rPr>
          <w:noProof/>
        </w:rPr>
        <w:tab/>
        <w:t>най-малко 50 % от тях са собственост на граждани на държава — членка на ЕС, на държава партньор от ИАО или на ОСТ;</w:t>
      </w:r>
    </w:p>
    <w:p>
      <w:pPr>
        <w:pStyle w:val="Point2"/>
        <w:rPr>
          <w:noProof/>
        </w:rPr>
      </w:pPr>
      <w:r>
        <w:rPr>
          <w:noProof/>
        </w:rPr>
        <w:t>или</w:t>
      </w:r>
    </w:p>
    <w:p>
      <w:pPr>
        <w:pStyle w:val="Point2"/>
        <w:rPr>
          <w:noProof/>
        </w:rPr>
      </w:pPr>
      <w:r>
        <w:rPr>
          <w:noProof/>
        </w:rPr>
        <w:t>ii)</w:t>
      </w:r>
      <w:r>
        <w:rPr>
          <w:noProof/>
        </w:rPr>
        <w:tab/>
        <w:t>те са собственост на дружества,</w:t>
      </w:r>
    </w:p>
    <w:p>
      <w:pPr>
        <w:pStyle w:val="Tiret3"/>
        <w:numPr>
          <w:ilvl w:val="0"/>
          <w:numId w:val="30"/>
        </w:numPr>
        <w:rPr>
          <w:noProof/>
        </w:rPr>
      </w:pPr>
      <w:r>
        <w:rPr>
          <w:noProof/>
        </w:rPr>
        <w:t xml:space="preserve">чието седалище и основно място на стопанска дейност се намира в държава — членка на ЕС, в държава партньор от ИАО или в ОСТ; и </w:t>
      </w:r>
    </w:p>
    <w:p>
      <w:pPr>
        <w:pStyle w:val="Tiret3"/>
        <w:rPr>
          <w:noProof/>
        </w:rPr>
      </w:pPr>
      <w:r>
        <w:rPr>
          <w:noProof/>
        </w:rPr>
        <w:t>най-малко 50 % от тях са собственост на държава — членка на ЕС, на държава партньор от ИАО или на ОСТ, на публичноправни субекти или на граждани на тази държава.</w:t>
      </w:r>
    </w:p>
    <w:p>
      <w:pPr>
        <w:pStyle w:val="ManualNumPar1"/>
        <w:rPr>
          <w:noProof/>
        </w:rPr>
      </w:pPr>
      <w:r>
        <w:rPr>
          <w:noProof/>
        </w:rPr>
        <w:t>3.</w:t>
      </w:r>
      <w:r>
        <w:rPr>
          <w:noProof/>
        </w:rPr>
        <w:tab/>
        <w:t>Независимо от разпоредбите на параграф 2 ЕС признава, по искане на държава партньор от ИАО, че плавателните съдове, които са взети под наем или на лизинг от държавата партньор от ИАО, се третират като „нейни плавателни съдове“ за извършване на риболовни дейности при следните условия:</w:t>
      </w:r>
    </w:p>
    <w:p>
      <w:pPr>
        <w:pStyle w:val="Point1"/>
        <w:rPr>
          <w:noProof/>
        </w:rPr>
      </w:pPr>
      <w:r>
        <w:rPr>
          <w:noProof/>
        </w:rPr>
        <w:t>а)</w:t>
      </w:r>
      <w:r>
        <w:rPr>
          <w:noProof/>
        </w:rPr>
        <w:tab/>
        <w:t>те плават под флага на държавата партньор от ИАО; и</w:t>
      </w:r>
    </w:p>
    <w:p>
      <w:pPr>
        <w:pStyle w:val="Point1"/>
        <w:rPr>
          <w:noProof/>
        </w:rPr>
      </w:pPr>
      <w:r>
        <w:rPr>
          <w:noProof/>
        </w:rPr>
        <w:t>б)</w:t>
      </w:r>
      <w:r>
        <w:rPr>
          <w:noProof/>
        </w:rPr>
        <w:tab/>
        <w:t>държавата партньор от ИАО е предложила на ЕС възможност за договаряне на споразумение в областта на рибарството и ЕС не е приел това предложение; и</w:t>
      </w:r>
    </w:p>
    <w:p>
      <w:pPr>
        <w:pStyle w:val="Point1"/>
        <w:rPr>
          <w:noProof/>
        </w:rPr>
      </w:pPr>
      <w:r>
        <w:rPr>
          <w:noProof/>
        </w:rPr>
        <w:t>в)</w:t>
      </w:r>
      <w:r>
        <w:rPr>
          <w:noProof/>
        </w:rPr>
        <w:tab/>
        <w:t>най-малко 50 % от екипажа, включително капитана и ръководния състав, са граждани на държави, страни по споразумението, или на ОСТ; и</w:t>
      </w:r>
    </w:p>
    <w:p>
      <w:pPr>
        <w:pStyle w:val="Point1"/>
        <w:rPr>
          <w:noProof/>
        </w:rPr>
      </w:pPr>
      <w:r>
        <w:rPr>
          <w:noProof/>
        </w:rPr>
        <w:t>г)</w:t>
      </w:r>
      <w:r>
        <w:rPr>
          <w:noProof/>
        </w:rPr>
        <w:tab/>
        <w:t>рибата е разтоварена и преработена в държавата партньор от ИАО; и</w:t>
      </w:r>
    </w:p>
    <w:p>
      <w:pPr>
        <w:pStyle w:val="Point1"/>
        <w:rPr>
          <w:noProof/>
        </w:rPr>
      </w:pPr>
      <w:r>
        <w:rPr>
          <w:noProof/>
        </w:rPr>
        <w:t>д)</w:t>
      </w:r>
      <w:r>
        <w:rPr>
          <w:noProof/>
        </w:rPr>
        <w:tab/>
        <w:t>дейностите, предприети съгласно настоящия параграф, са свързани с излишък, установен посредством научно становище, предоставено в рамките на Комисията по рибата тон в Индийския океан (IOTC) от съответните международни, регионални или национални органи; и</w:t>
      </w:r>
    </w:p>
    <w:p>
      <w:pPr>
        <w:pStyle w:val="Point1"/>
        <w:rPr>
          <w:noProof/>
        </w:rPr>
      </w:pPr>
      <w:r>
        <w:rPr>
          <w:noProof/>
        </w:rPr>
        <w:t>е)</w:t>
      </w:r>
      <w:r>
        <w:rPr>
          <w:noProof/>
        </w:rPr>
        <w:tab/>
        <w:t xml:space="preserve">договорът за наем или лизинг е приет от Комитета като предоставящ адекватни възможности за развитие на капацитета на държавата партньор от ИАО за извършване на риболов за нейна собствена сметка, и по-специално като възлагащ на държавата партньор от ИАО отговорността за морското и търговското управление на плавателните съдове, предоставени на нейно разположение за значителен период от време. </w:t>
      </w:r>
    </w:p>
    <w:p>
      <w:pPr>
        <w:pStyle w:val="ManualNumPar1"/>
        <w:rPr>
          <w:noProof/>
        </w:rPr>
      </w:pPr>
      <w:r>
        <w:rPr>
          <w:noProof/>
        </w:rPr>
        <w:t>4.</w:t>
      </w:r>
      <w:r>
        <w:rPr>
          <w:noProof/>
        </w:rPr>
        <w:tab/>
        <w:t xml:space="preserve">Всяко от условията на параграф 2 може да бъде изпълнено в ЕС, в различни държави партньори от ИАО, в ОСТ или в държави, участващи в други СИП, доколкото участващите държави се възползват от кумулацията в съответствие с членове 4 и 5. </w:t>
      </w:r>
      <w:r>
        <w:rPr>
          <w:noProof/>
        </w:rPr>
        <w:lastRenderedPageBreak/>
        <w:t xml:space="preserve">В този случай се счита, че продуктите са с произход от държавата, под чийто флаг плава плавателният съд или корабът-фабрика в съответствие с параграф 2, буква б). </w:t>
      </w:r>
    </w:p>
    <w:p>
      <w:pPr>
        <w:pStyle w:val="Text1"/>
        <w:rPr>
          <w:noProof/>
        </w:rPr>
      </w:pPr>
      <w:r>
        <w:rPr>
          <w:noProof/>
        </w:rPr>
        <w:t>Посочените условия се прилагат единствено по отношение на ОСТ и държавите, участващи в други СИП, при условие че са изпълнени разпоредбите на член 4, параграф 3.</w:t>
      </w:r>
    </w:p>
    <w:p>
      <w:pPr>
        <w:pStyle w:val="Titrearticle"/>
        <w:rPr>
          <w:noProof/>
        </w:rPr>
      </w:pPr>
      <w:r>
        <w:rPr>
          <w:noProof/>
        </w:rPr>
        <w:t>ЧЛЕН 8</w:t>
      </w:r>
    </w:p>
    <w:p>
      <w:pPr>
        <w:jc w:val="center"/>
        <w:rPr>
          <w:i/>
          <w:noProof/>
        </w:rPr>
      </w:pPr>
      <w:r>
        <w:rPr>
          <w:b/>
          <w:noProof/>
        </w:rPr>
        <w:t>Достатъчно обработени или преработени продукти</w:t>
      </w:r>
    </w:p>
    <w:p>
      <w:pPr>
        <w:pStyle w:val="ManualNumPar1"/>
        <w:rPr>
          <w:noProof/>
        </w:rPr>
      </w:pPr>
      <w:r>
        <w:rPr>
          <w:noProof/>
        </w:rPr>
        <w:t>1.</w:t>
      </w:r>
      <w:r>
        <w:rPr>
          <w:noProof/>
        </w:rPr>
        <w:tab/>
        <w:t xml:space="preserve">За целите на член 2 продукти, които не са изцяло получени, се считат за достатъчно обработени или преработени, когато са изпълнени условията, предвидени в приложение II. </w:t>
      </w:r>
    </w:p>
    <w:p>
      <w:pPr>
        <w:pStyle w:val="ManualNumPar1"/>
        <w:rPr>
          <w:noProof/>
        </w:rPr>
      </w:pPr>
      <w:r>
        <w:rPr>
          <w:noProof/>
        </w:rPr>
        <w:t>2.</w:t>
      </w:r>
      <w:r>
        <w:rPr>
          <w:noProof/>
        </w:rPr>
        <w:tab/>
        <w:t xml:space="preserve">Условията, посочени в параграф 1 по-горе, указват за всички продукти, обхванати от настоящото споразумение, обработката или преработката, която трябва да бъде извършена върху използваните при производството материали без произход, и се прилагат само по отношение на тези материали. От това съответно следва, че ако продукт, който е придобил статут на продукт с произход посредством изпълняването на предвидените в приложение II условия, се използва за производството на друг продукт, условията, приложими по отношение на продукта, в който той е вложен, не се прилагат по отношение на него и не се вземат предвид материалите без произход, които може да са били използвани при неговото производство. </w:t>
      </w:r>
    </w:p>
    <w:p>
      <w:pPr>
        <w:pStyle w:val="ManualNumPar1"/>
        <w:rPr>
          <w:noProof/>
        </w:rPr>
      </w:pPr>
      <w:r>
        <w:rPr>
          <w:noProof/>
        </w:rPr>
        <w:t>3.</w:t>
      </w:r>
      <w:r>
        <w:rPr>
          <w:noProof/>
        </w:rPr>
        <w:tab/>
        <w:t xml:space="preserve">Независимо от разпоредбите на параграфи 1 и 2, материалите без произход, които съгласно предвидените в приложение II условия не следва да се използват при производството на определен продукт, въпреки това могат да се използват, при условие че тяхната обща стойност или нетно тегло, установени за продукта, не надвишават: </w:t>
      </w:r>
    </w:p>
    <w:p>
      <w:pPr>
        <w:pStyle w:val="Point1"/>
        <w:rPr>
          <w:noProof/>
        </w:rPr>
      </w:pPr>
      <w:r>
        <w:rPr>
          <w:noProof/>
        </w:rPr>
        <w:t>а)</w:t>
      </w:r>
      <w:r>
        <w:rPr>
          <w:noProof/>
        </w:rPr>
        <w:tab/>
        <w:t>15 % от теглото на продукта за продукти, попадащи в обхвата на глава 2 и на глави 4 — 24 от Хармонизираната система, различни от преработените продукти от риболов от глава 16;</w:t>
      </w:r>
    </w:p>
    <w:p>
      <w:pPr>
        <w:pStyle w:val="Point1"/>
        <w:rPr>
          <w:noProof/>
        </w:rPr>
      </w:pPr>
      <w:r>
        <w:rPr>
          <w:noProof/>
        </w:rPr>
        <w:t>б)</w:t>
      </w:r>
      <w:r>
        <w:rPr>
          <w:noProof/>
        </w:rPr>
        <w:tab/>
        <w:t>15 % от цената на продукта франко завода за други продукти, с изключение на продуктите, попадащи в обхвата на глави 50 — 63 от Хармонизираната система, за които се прилагат толерансите, посочени в бележки 6 и 7 от част I от приложение II.</w:t>
      </w:r>
    </w:p>
    <w:p>
      <w:pPr>
        <w:pStyle w:val="ManualNumPar1"/>
        <w:rPr>
          <w:noProof/>
        </w:rPr>
      </w:pPr>
      <w:r>
        <w:rPr>
          <w:noProof/>
        </w:rPr>
        <w:t>4.</w:t>
      </w:r>
      <w:r>
        <w:rPr>
          <w:noProof/>
        </w:rPr>
        <w:tab/>
        <w:t>При прилагането на параграф 3 не може да се надвишават процентите за максимално съдържание на материали без произход, посочени в правилата, определени в списъка в приложение II.</w:t>
      </w:r>
    </w:p>
    <w:p>
      <w:pPr>
        <w:pStyle w:val="ManualNumPar1"/>
        <w:rPr>
          <w:noProof/>
        </w:rPr>
      </w:pPr>
      <w:r>
        <w:rPr>
          <w:noProof/>
        </w:rPr>
        <w:t>5.</w:t>
      </w:r>
      <w:r>
        <w:rPr>
          <w:noProof/>
        </w:rPr>
        <w:tab/>
        <w:t>Параграфи 3 и 4 не се прилагат за продукти, които са изцяло получени по смисъла на член 7. Без да се засягат разпоредбите на член 9 и член 10, параграф 1 обаче, толерансът, предвиден в посочените параграфи, въпреки това се прилага за сбора от всички материали, които са използвани при производството на даден продукт и за които съгласно определеното правило за този продукт в списъка от приложение II се изисква да са изцяло получени.</w:t>
      </w:r>
    </w:p>
    <w:p>
      <w:pPr>
        <w:pStyle w:val="Titrearticle"/>
        <w:rPr>
          <w:noProof/>
        </w:rPr>
      </w:pPr>
      <w:r>
        <w:rPr>
          <w:noProof/>
        </w:rPr>
        <w:lastRenderedPageBreak/>
        <w:t>ЧЛЕН 9</w:t>
      </w:r>
    </w:p>
    <w:p>
      <w:pPr>
        <w:jc w:val="center"/>
        <w:rPr>
          <w:b/>
          <w:noProof/>
        </w:rPr>
      </w:pPr>
      <w:r>
        <w:rPr>
          <w:b/>
          <w:noProof/>
        </w:rPr>
        <w:t>Недостатъчна обработка или преработка</w:t>
      </w:r>
    </w:p>
    <w:p>
      <w:pPr>
        <w:pStyle w:val="ManualNumPar1"/>
        <w:rPr>
          <w:noProof/>
        </w:rPr>
      </w:pPr>
      <w:r>
        <w:rPr>
          <w:noProof/>
        </w:rPr>
        <w:t>1.</w:t>
      </w:r>
      <w:r>
        <w:rPr>
          <w:noProof/>
        </w:rPr>
        <w:tab/>
        <w:t>Без да се засягат разпоредбите на параграф 2, следните операции се считат за недостатъчна обработка или преработка за придобиване на статут на продукти с произход, независимо от това дали са изпълнени изискванията на член 8:</w:t>
      </w:r>
    </w:p>
    <w:p>
      <w:pPr>
        <w:pStyle w:val="Point1"/>
        <w:rPr>
          <w:noProof/>
        </w:rPr>
      </w:pPr>
      <w:r>
        <w:rPr>
          <w:noProof/>
        </w:rPr>
        <w:t>а)</w:t>
      </w:r>
      <w:r>
        <w:rPr>
          <w:noProof/>
        </w:rPr>
        <w:tab/>
        <w:t>операции по съхранение, гарантиращи запазването на продуктите в добро състояние по време на транспортиране и складиране;</w:t>
      </w:r>
    </w:p>
    <w:p>
      <w:pPr>
        <w:pStyle w:val="Point1"/>
        <w:rPr>
          <w:noProof/>
        </w:rPr>
      </w:pPr>
      <w:r>
        <w:rPr>
          <w:noProof/>
        </w:rPr>
        <w:t>б)</w:t>
      </w:r>
      <w:r>
        <w:rPr>
          <w:noProof/>
        </w:rPr>
        <w:tab/>
        <w:t>разделяне и събиране на пакети;</w:t>
      </w:r>
    </w:p>
    <w:p>
      <w:pPr>
        <w:pStyle w:val="Point1"/>
        <w:rPr>
          <w:noProof/>
        </w:rPr>
      </w:pPr>
      <w:r>
        <w:rPr>
          <w:noProof/>
        </w:rPr>
        <w:t>в)</w:t>
      </w:r>
      <w:r>
        <w:rPr>
          <w:noProof/>
        </w:rPr>
        <w:tab/>
        <w:t>измиване, почистване; отстраняване на прах, окисни, маслени, бояджийски или други покрития;</w:t>
      </w:r>
    </w:p>
    <w:p>
      <w:pPr>
        <w:pStyle w:val="Point1"/>
        <w:rPr>
          <w:noProof/>
        </w:rPr>
      </w:pPr>
      <w:r>
        <w:rPr>
          <w:noProof/>
        </w:rPr>
        <w:t>г)</w:t>
      </w:r>
      <w:r>
        <w:rPr>
          <w:noProof/>
        </w:rPr>
        <w:tab/>
        <w:t>гладене с ютия или гладачна преса на текстилни изделия;</w:t>
      </w:r>
    </w:p>
    <w:p>
      <w:pPr>
        <w:pStyle w:val="Point1"/>
        <w:rPr>
          <w:noProof/>
        </w:rPr>
      </w:pPr>
      <w:r>
        <w:rPr>
          <w:noProof/>
        </w:rPr>
        <w:t>д)</w:t>
      </w:r>
      <w:r>
        <w:rPr>
          <w:noProof/>
        </w:rPr>
        <w:tab/>
        <w:t>прости операции по боядисване и полиране;</w:t>
      </w:r>
    </w:p>
    <w:p>
      <w:pPr>
        <w:pStyle w:val="Point1"/>
        <w:rPr>
          <w:noProof/>
        </w:rPr>
      </w:pPr>
      <w:r>
        <w:rPr>
          <w:noProof/>
        </w:rPr>
        <w:t>е)</w:t>
      </w:r>
      <w:r>
        <w:rPr>
          <w:noProof/>
        </w:rPr>
        <w:tab/>
        <w:t>лющене, частично или цялостно бланширане на ориз, полиране и гланциране на житни растения и ориз;</w:t>
      </w:r>
    </w:p>
    <w:p>
      <w:pPr>
        <w:pStyle w:val="Point1"/>
        <w:rPr>
          <w:noProof/>
        </w:rPr>
      </w:pPr>
      <w:r>
        <w:rPr>
          <w:noProof/>
        </w:rPr>
        <w:t>ж)</w:t>
      </w:r>
      <w:r>
        <w:rPr>
          <w:noProof/>
        </w:rPr>
        <w:tab/>
        <w:t>операции по оцветяване и ароматизиране на захар или оформянето ѝ на бучки; частично или цялостно смилане на кристална захар;</w:t>
      </w:r>
    </w:p>
    <w:p>
      <w:pPr>
        <w:pStyle w:val="Point1"/>
        <w:rPr>
          <w:noProof/>
        </w:rPr>
      </w:pPr>
      <w:r>
        <w:rPr>
          <w:noProof/>
        </w:rPr>
        <w:t>з)</w:t>
      </w:r>
      <w:r>
        <w:rPr>
          <w:noProof/>
        </w:rPr>
        <w:tab/>
        <w:t>белене, премахване на костилките и черупките на плодове, ядки и зеленчуци;</w:t>
      </w:r>
    </w:p>
    <w:p>
      <w:pPr>
        <w:pStyle w:val="Point1"/>
        <w:rPr>
          <w:noProof/>
        </w:rPr>
      </w:pPr>
      <w:r>
        <w:rPr>
          <w:noProof/>
        </w:rPr>
        <w:t>и)</w:t>
      </w:r>
      <w:r>
        <w:rPr>
          <w:noProof/>
        </w:rPr>
        <w:tab/>
        <w:t>подостряне, просто смилане или просто нарязване;</w:t>
      </w:r>
    </w:p>
    <w:p>
      <w:pPr>
        <w:pStyle w:val="Point1"/>
        <w:rPr>
          <w:noProof/>
        </w:rPr>
      </w:pPr>
      <w:r>
        <w:rPr>
          <w:noProof/>
        </w:rPr>
        <w:t>й)</w:t>
      </w:r>
      <w:r>
        <w:rPr>
          <w:noProof/>
        </w:rPr>
        <w:tab/>
        <w:t>пресяване, отделяне, сортиране, класиране, категоризиране, съчетаване; (включително съставянето на комплекти от изделия);</w:t>
      </w:r>
    </w:p>
    <w:p>
      <w:pPr>
        <w:pStyle w:val="Point1"/>
        <w:rPr>
          <w:noProof/>
        </w:rPr>
      </w:pPr>
      <w:r>
        <w:rPr>
          <w:noProof/>
        </w:rPr>
        <w:t>к)</w:t>
      </w:r>
      <w:r>
        <w:rPr>
          <w:noProof/>
        </w:rPr>
        <w:tab/>
        <w:t>просто поставяне в бутилки, метални кутии, флакони, торби, каси, кутии, прикрепване за подложки или плочи и всякакви други прости операции по опаковане;</w:t>
      </w:r>
    </w:p>
    <w:p>
      <w:pPr>
        <w:pStyle w:val="Point1"/>
        <w:rPr>
          <w:noProof/>
        </w:rPr>
      </w:pPr>
      <w:r>
        <w:rPr>
          <w:noProof/>
        </w:rPr>
        <w:t>л)</w:t>
      </w:r>
      <w:r>
        <w:rPr>
          <w:noProof/>
        </w:rPr>
        <w:tab/>
        <w:t>поставяне или отпечатване на маркировки, етикети, емблеми и други подобни отличителни знаци върху продукти или техните опаковки;</w:t>
      </w:r>
    </w:p>
    <w:p>
      <w:pPr>
        <w:pStyle w:val="Point1"/>
        <w:rPr>
          <w:noProof/>
        </w:rPr>
      </w:pPr>
      <w:r>
        <w:rPr>
          <w:noProof/>
        </w:rPr>
        <w:t>м)</w:t>
      </w:r>
      <w:r>
        <w:rPr>
          <w:noProof/>
        </w:rPr>
        <w:tab/>
        <w:t>просто смесване на продукти, дори и от различни видове; смесване на захар с какъвто и да било материал;</w:t>
      </w:r>
    </w:p>
    <w:p>
      <w:pPr>
        <w:pStyle w:val="Point1"/>
        <w:rPr>
          <w:noProof/>
        </w:rPr>
      </w:pPr>
      <w:r>
        <w:rPr>
          <w:noProof/>
        </w:rPr>
        <w:t>н) просто добавяне на вода или разреждане или дехидратиране или денатуриране на продукти;</w:t>
      </w:r>
    </w:p>
    <w:p>
      <w:pPr>
        <w:pStyle w:val="Point1"/>
        <w:rPr>
          <w:noProof/>
        </w:rPr>
      </w:pPr>
      <w:r>
        <w:rPr>
          <w:noProof/>
        </w:rPr>
        <w:t>о)</w:t>
      </w:r>
      <w:r>
        <w:rPr>
          <w:noProof/>
        </w:rPr>
        <w:tab/>
        <w:t>просто сглобяване на части от изделия за получаване на завършено изделие или разглобяване на продукти на части;</w:t>
      </w:r>
    </w:p>
    <w:p>
      <w:pPr>
        <w:pStyle w:val="Point1"/>
        <w:rPr>
          <w:noProof/>
        </w:rPr>
      </w:pPr>
      <w:r>
        <w:rPr>
          <w:noProof/>
        </w:rPr>
        <w:t>п)</w:t>
      </w:r>
      <w:r>
        <w:rPr>
          <w:noProof/>
        </w:rPr>
        <w:tab/>
        <w:t>комбинация от две или повече операции, посочени в букви а) — н).</w:t>
      </w:r>
    </w:p>
    <w:p>
      <w:pPr>
        <w:pStyle w:val="Point1"/>
        <w:rPr>
          <w:noProof/>
        </w:rPr>
      </w:pPr>
      <w:r>
        <w:rPr>
          <w:noProof/>
        </w:rPr>
        <w:t>р)</w:t>
      </w:r>
      <w:r>
        <w:rPr>
          <w:noProof/>
        </w:rPr>
        <w:tab/>
        <w:t>клане на животни.</w:t>
      </w:r>
    </w:p>
    <w:p>
      <w:pPr>
        <w:pStyle w:val="ManualNumPar1"/>
        <w:rPr>
          <w:noProof/>
        </w:rPr>
      </w:pPr>
      <w:r>
        <w:rPr>
          <w:noProof/>
        </w:rPr>
        <w:t>2.</w:t>
      </w:r>
      <w:r>
        <w:rPr>
          <w:noProof/>
        </w:rPr>
        <w:tab/>
        <w:t>Всички операции, извършени в Европейския съюз или в държавите партньори от ИАО върху даден продукт, се преценяват заедно, когато се определя дали претърпяната от продукта обработка или преработка трябва да се счита за недостатъчна по смисъла на параграф 1.</w:t>
      </w:r>
    </w:p>
    <w:p>
      <w:pPr>
        <w:pStyle w:val="Titrearticle"/>
        <w:rPr>
          <w:b/>
          <w:noProof/>
        </w:rPr>
      </w:pPr>
      <w:r>
        <w:rPr>
          <w:noProof/>
        </w:rPr>
        <w:lastRenderedPageBreak/>
        <w:t>ЧЛЕН 10</w:t>
      </w:r>
    </w:p>
    <w:p>
      <w:pPr>
        <w:jc w:val="center"/>
        <w:rPr>
          <w:b/>
          <w:noProof/>
        </w:rPr>
      </w:pPr>
      <w:r>
        <w:rPr>
          <w:b/>
          <w:noProof/>
        </w:rPr>
        <w:t>Единица за оценка</w:t>
      </w:r>
    </w:p>
    <w:p>
      <w:pPr>
        <w:pStyle w:val="ManualNumPar1"/>
        <w:rPr>
          <w:noProof/>
        </w:rPr>
      </w:pPr>
      <w:r>
        <w:rPr>
          <w:noProof/>
        </w:rPr>
        <w:t>1.</w:t>
      </w:r>
      <w:r>
        <w:rPr>
          <w:noProof/>
        </w:rPr>
        <w:tab/>
        <w:t xml:space="preserve">Единицата за оценка за целите на прилагането на разпоредбите на настоящия протокол е конкретният продукт, който се счита за основна единица при определяне на класирането, като се използва номенклатурата на Хармонизираната система. Следователно: </w:t>
      </w:r>
    </w:p>
    <w:p>
      <w:pPr>
        <w:pStyle w:val="Point1"/>
        <w:rPr>
          <w:noProof/>
        </w:rPr>
      </w:pPr>
      <w:r>
        <w:rPr>
          <w:noProof/>
        </w:rPr>
        <w:t>а)</w:t>
      </w:r>
      <w:r>
        <w:rPr>
          <w:noProof/>
        </w:rPr>
        <w:tab/>
        <w:t xml:space="preserve">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w:t>
      </w:r>
    </w:p>
    <w:p>
      <w:pPr>
        <w:pStyle w:val="Point1"/>
        <w:rPr>
          <w:noProof/>
        </w:rPr>
      </w:pPr>
      <w:r>
        <w:rPr>
          <w:noProof/>
        </w:rPr>
        <w:t>б)</w:t>
      </w:r>
      <w:r>
        <w:rPr>
          <w:noProof/>
        </w:rPr>
        <w:tab/>
        <w:t xml:space="preserve">когато една пратка се състои от определен брой идентични продукти, класирани в една и съща позиция от Хармонизираната система, всеки продукт трябва да се разглежда отделно при прилагането на разпоредбите на настоящия протокол. </w:t>
      </w:r>
    </w:p>
    <w:p>
      <w:pPr>
        <w:pStyle w:val="ManualNumPar1"/>
        <w:rPr>
          <w:noProof/>
        </w:rPr>
      </w:pPr>
      <w:r>
        <w:rPr>
          <w:noProof/>
        </w:rPr>
        <w:t>2.</w:t>
      </w:r>
      <w:r>
        <w:rPr>
          <w:noProof/>
        </w:rPr>
        <w:tab/>
        <w:t xml:space="preserve">Когато съгласно Общо правило 5 относно тълкуването на Хармонизираната система опаковката е включена заедно с продукта за целите на класирането, тя се включва и за целите на определянето на произхода. </w:t>
      </w:r>
    </w:p>
    <w:p>
      <w:pPr>
        <w:pStyle w:val="Titrearticle"/>
        <w:rPr>
          <w:noProof/>
        </w:rPr>
      </w:pPr>
      <w:r>
        <w:rPr>
          <w:noProof/>
        </w:rPr>
        <w:t>ЧЛЕН 11</w:t>
      </w:r>
    </w:p>
    <w:p>
      <w:pPr>
        <w:jc w:val="center"/>
        <w:rPr>
          <w:b/>
          <w:noProof/>
        </w:rPr>
      </w:pPr>
      <w:r>
        <w:rPr>
          <w:b/>
          <w:noProof/>
        </w:rPr>
        <w:t>Принадлежности, резервни части и инструменти</w:t>
      </w:r>
    </w:p>
    <w:p>
      <w:pPr>
        <w:rPr>
          <w:noProof/>
        </w:rPr>
      </w:pPr>
      <w:r>
        <w:rPr>
          <w:noProof/>
        </w:rPr>
        <w:t>Принадлежностите, резервните части и инструментите, които представляват част от нормалната окомплектовка на оборудване, машина, апарат или превозно средство, заедно с които се доставят, като са включени в тяхната цена или не се фактурират отделно, се считат за едно цяло с въпросното оборудване, машина, апарат или превозно средство.</w:t>
      </w:r>
    </w:p>
    <w:p>
      <w:pPr>
        <w:pStyle w:val="Titrearticle"/>
        <w:rPr>
          <w:noProof/>
        </w:rPr>
      </w:pPr>
      <w:r>
        <w:rPr>
          <w:noProof/>
        </w:rPr>
        <w:t>ЧЛЕН 12</w:t>
      </w:r>
    </w:p>
    <w:p>
      <w:pPr>
        <w:jc w:val="center"/>
        <w:rPr>
          <w:b/>
          <w:noProof/>
        </w:rPr>
      </w:pPr>
      <w:r>
        <w:rPr>
          <w:b/>
          <w:noProof/>
        </w:rPr>
        <w:t>Koмплекти</w:t>
      </w:r>
    </w:p>
    <w:p>
      <w:pPr>
        <w:rPr>
          <w:i/>
          <w:noProof/>
        </w:rPr>
      </w:pPr>
      <w:r>
        <w:rPr>
          <w:noProof/>
        </w:rPr>
        <w:t>Комплектите съгласно определението в Общо правило 3 относно тълкуването на Хармонизираната система се считат за комплекти с произход, когато всички съставящи ги продукти са с произход. Въпреки това когато един комплект е съставен от продукти с произход и от такива без произход, комплектът като цяло се счита за комплект с произход, при условие че стойността на продуктите без произход не надхвърля 15 % от цената на комплекта франко завода.</w:t>
      </w:r>
    </w:p>
    <w:p>
      <w:pPr>
        <w:pStyle w:val="Titrearticle"/>
        <w:rPr>
          <w:noProof/>
        </w:rPr>
      </w:pPr>
      <w:r>
        <w:rPr>
          <w:noProof/>
        </w:rPr>
        <w:t>ЧЛЕН 13</w:t>
      </w:r>
    </w:p>
    <w:p>
      <w:pPr>
        <w:jc w:val="center"/>
        <w:rPr>
          <w:b/>
          <w:noProof/>
        </w:rPr>
      </w:pPr>
      <w:r>
        <w:rPr>
          <w:b/>
          <w:noProof/>
        </w:rPr>
        <w:t>Неутрални елементи</w:t>
      </w:r>
    </w:p>
    <w:p>
      <w:pPr>
        <w:rPr>
          <w:noProof/>
        </w:rPr>
      </w:pPr>
      <w:r>
        <w:rPr>
          <w:noProof/>
        </w:rPr>
        <w:t xml:space="preserve">За да се определи дали един продукт е с произход, не е необходимо да се определя произходът на следните елементи, които могат да бъдат използвани за неговото производство: </w:t>
      </w:r>
    </w:p>
    <w:p>
      <w:pPr>
        <w:pStyle w:val="Point0"/>
        <w:rPr>
          <w:noProof/>
        </w:rPr>
      </w:pPr>
      <w:r>
        <w:rPr>
          <w:noProof/>
        </w:rPr>
        <w:t>а)</w:t>
      </w:r>
      <w:r>
        <w:rPr>
          <w:noProof/>
        </w:rPr>
        <w:tab/>
        <w:t xml:space="preserve">енергия и гориво; </w:t>
      </w:r>
    </w:p>
    <w:p>
      <w:pPr>
        <w:pStyle w:val="Point0"/>
        <w:rPr>
          <w:noProof/>
        </w:rPr>
      </w:pPr>
      <w:r>
        <w:rPr>
          <w:noProof/>
        </w:rPr>
        <w:lastRenderedPageBreak/>
        <w:t>б)</w:t>
      </w:r>
      <w:r>
        <w:rPr>
          <w:noProof/>
        </w:rPr>
        <w:tab/>
        <w:t xml:space="preserve">инсталации и оборудване; </w:t>
      </w:r>
    </w:p>
    <w:p>
      <w:pPr>
        <w:pStyle w:val="Point0"/>
        <w:rPr>
          <w:noProof/>
        </w:rPr>
      </w:pPr>
      <w:r>
        <w:rPr>
          <w:noProof/>
        </w:rPr>
        <w:t>в)</w:t>
      </w:r>
      <w:r>
        <w:rPr>
          <w:noProof/>
        </w:rPr>
        <w:tab/>
        <w:t xml:space="preserve">машини и инструменти; </w:t>
      </w:r>
    </w:p>
    <w:p>
      <w:pPr>
        <w:pStyle w:val="Point0"/>
        <w:rPr>
          <w:noProof/>
        </w:rPr>
      </w:pPr>
      <w:r>
        <w:rPr>
          <w:noProof/>
        </w:rPr>
        <w:t>г)</w:t>
      </w:r>
      <w:r>
        <w:rPr>
          <w:noProof/>
        </w:rPr>
        <w:tab/>
        <w:t xml:space="preserve">стоки, които не влизат и не са предназначени да влязат в крайния състав на продукта. </w:t>
      </w:r>
    </w:p>
    <w:p>
      <w:pPr>
        <w:jc w:val="center"/>
        <w:rPr>
          <w:b/>
          <w:noProof/>
        </w:rPr>
      </w:pPr>
      <w:bookmarkStart w:id="4" w:name="_Toc204060726"/>
      <w:r>
        <w:rPr>
          <w:b/>
          <w:noProof/>
        </w:rPr>
        <w:t>ДЯЛ III</w:t>
      </w:r>
    </w:p>
    <w:p>
      <w:pPr>
        <w:jc w:val="center"/>
        <w:rPr>
          <w:b/>
          <w:noProof/>
        </w:rPr>
      </w:pPr>
      <w:r>
        <w:rPr>
          <w:b/>
          <w:noProof/>
        </w:rPr>
        <w:t>ТЕРИТОРИАЛНИ ИЗИСКВАНИЯ</w:t>
      </w:r>
      <w:bookmarkEnd w:id="4"/>
    </w:p>
    <w:p>
      <w:pPr>
        <w:pStyle w:val="Titrearticle"/>
        <w:rPr>
          <w:noProof/>
        </w:rPr>
      </w:pPr>
      <w:r>
        <w:rPr>
          <w:noProof/>
        </w:rPr>
        <w:t>ЧЛЕН 14</w:t>
      </w:r>
    </w:p>
    <w:p>
      <w:pPr>
        <w:jc w:val="center"/>
        <w:rPr>
          <w:b/>
          <w:noProof/>
        </w:rPr>
      </w:pPr>
      <w:r>
        <w:rPr>
          <w:b/>
          <w:noProof/>
        </w:rPr>
        <w:t>Принцип на териториалност</w:t>
      </w:r>
    </w:p>
    <w:p>
      <w:pPr>
        <w:pStyle w:val="ManualNumPar1"/>
        <w:rPr>
          <w:noProof/>
        </w:rPr>
      </w:pPr>
      <w:r>
        <w:rPr>
          <w:noProof/>
        </w:rPr>
        <w:t>1.</w:t>
      </w:r>
      <w:r>
        <w:rPr>
          <w:noProof/>
        </w:rPr>
        <w:tab/>
        <w:t>С изключение на предвиденото в членове 3, 4, 5 и 6, условията за придобиването на статут на продукт с произход, предвидени в дял II, трябва да бъдат изпълнени без прекъсване в държавите партньори от ИАО или в ЕС.</w:t>
      </w:r>
    </w:p>
    <w:p>
      <w:pPr>
        <w:pStyle w:val="ManualNumPar1"/>
        <w:rPr>
          <w:noProof/>
        </w:rPr>
      </w:pPr>
      <w:r>
        <w:rPr>
          <w:noProof/>
        </w:rPr>
        <w:t>2.</w:t>
      </w:r>
      <w:r>
        <w:rPr>
          <w:noProof/>
        </w:rPr>
        <w:tab/>
        <w:t xml:space="preserve">С изключение на предвиденото в членове 3, 4, 5 и 6, когато стоки с произход, изнесени от държава партньор от ИАО или от ЕС към друга държава, бъдат върнати, те трябва да се разглеждат като стоки без произход, освен ако не бъде доказано по удовлетворителен за митническите органи начин, че: </w:t>
      </w:r>
    </w:p>
    <w:p>
      <w:pPr>
        <w:pStyle w:val="Point1"/>
        <w:rPr>
          <w:noProof/>
        </w:rPr>
      </w:pPr>
      <w:r>
        <w:rPr>
          <w:noProof/>
        </w:rPr>
        <w:t>а)</w:t>
      </w:r>
      <w:r>
        <w:rPr>
          <w:noProof/>
        </w:rPr>
        <w:tab/>
        <w:t xml:space="preserve">върнатите стоки са същите като изнесените стоки; и </w:t>
      </w:r>
    </w:p>
    <w:p>
      <w:pPr>
        <w:pStyle w:val="Point1"/>
        <w:rPr>
          <w:noProof/>
        </w:rPr>
      </w:pPr>
      <w:r>
        <w:rPr>
          <w:noProof/>
        </w:rPr>
        <w:t>б)</w:t>
      </w:r>
      <w:r>
        <w:rPr>
          <w:noProof/>
        </w:rPr>
        <w:tab/>
        <w:t xml:space="preserve">те не са претърпели каквито и да било операции, освен необходимите за съхраняването им в добро състояние, докато са били в тази държава или докато са били изнесени. </w:t>
      </w:r>
    </w:p>
    <w:p>
      <w:pPr>
        <w:pStyle w:val="Titrearticle"/>
        <w:rPr>
          <w:noProof/>
        </w:rPr>
      </w:pPr>
      <w:r>
        <w:rPr>
          <w:noProof/>
        </w:rPr>
        <w:t>ЧЛЕН 15</w:t>
      </w:r>
    </w:p>
    <w:p>
      <w:pPr>
        <w:jc w:val="center"/>
        <w:rPr>
          <w:b/>
          <w:noProof/>
        </w:rPr>
      </w:pPr>
      <w:r>
        <w:rPr>
          <w:b/>
          <w:noProof/>
        </w:rPr>
        <w:t>Забрана за промяна</w:t>
      </w:r>
    </w:p>
    <w:p>
      <w:pPr>
        <w:pStyle w:val="ManualNumPar1"/>
        <w:rPr>
          <w:noProof/>
        </w:rPr>
      </w:pPr>
      <w:r>
        <w:rPr>
          <w:noProof/>
        </w:rPr>
        <w:t>1.</w:t>
      </w:r>
      <w:r>
        <w:rPr>
          <w:noProof/>
        </w:rPr>
        <w:tab/>
        <w:t>Продуктите, декларирани за потребление в една от страните, трябва да бъдат същите като изнесените от другата страна, в която се счита, че е техният произход. Те не трябва да бъдат променяни или трансформирани по какъвто и да било начин, нито подложени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национални изисквания на страната вносител, преди да бъдат декларирани за потребление в тази страна.</w:t>
      </w:r>
    </w:p>
    <w:p>
      <w:pPr>
        <w:pStyle w:val="ManualNumPar1"/>
        <w:rPr>
          <w:noProof/>
        </w:rPr>
      </w:pPr>
      <w:r>
        <w:rPr>
          <w:noProof/>
        </w:rPr>
        <w:t>2.</w:t>
      </w:r>
      <w:r>
        <w:rPr>
          <w:noProof/>
        </w:rPr>
        <w:tab/>
        <w:t>Продуктите или пратките могат да бъдат съхранявани, при условие че остават под митнически надзор в държавата(ите) на транзитно преминаване.</w:t>
      </w:r>
    </w:p>
    <w:p>
      <w:pPr>
        <w:pStyle w:val="ManualNumPar1"/>
        <w:rPr>
          <w:noProof/>
        </w:rPr>
      </w:pPr>
      <w:r>
        <w:rPr>
          <w:noProof/>
        </w:rPr>
        <w:t>3.</w:t>
      </w:r>
      <w:r>
        <w:rPr>
          <w:noProof/>
        </w:rPr>
        <w:tab/>
        <w:t>Без да се засягат разпоредбите на дял IV, разделянето на пратки се допуска, когато се извършва от износителя или на негова отговорност, при условие че те остават под митнически надзор в държавата(ите) на разделяне.</w:t>
      </w:r>
    </w:p>
    <w:p>
      <w:pPr>
        <w:pStyle w:val="ManualNumPar1"/>
        <w:rPr>
          <w:noProof/>
        </w:rPr>
      </w:pPr>
      <w:r>
        <w:rPr>
          <w:noProof/>
        </w:rPr>
        <w:t>4.</w:t>
      </w:r>
      <w:r>
        <w:rPr>
          <w:noProof/>
        </w:rPr>
        <w:tab/>
        <w:t xml:space="preserve">Изискванията по параграфи 1 — 3 се считат за изпълнени, освен ако митническите органи имат основание да смятат противното. В такива случаи митническите органи могат да поискат от декларатора да представи доказателство за изпълнение на </w:t>
      </w:r>
      <w:r>
        <w:rPr>
          <w:noProof/>
        </w:rPr>
        <w:lastRenderedPageBreak/>
        <w:t>изискванията, което може да бъде дадено под всякаква форма, включително чрез транспортни документи, издадени въз основа на сключен договор, като например товарителници, или фактическо или конкретно доказателство, основаващо се на маркировката или номерирането на пакетите, или всяко доказателство, свързано със самите стоки.</w:t>
      </w:r>
    </w:p>
    <w:p>
      <w:pPr>
        <w:pStyle w:val="Titrearticle"/>
        <w:rPr>
          <w:noProof/>
        </w:rPr>
      </w:pPr>
      <w:r>
        <w:rPr>
          <w:noProof/>
        </w:rPr>
        <w:t>ЧЛЕН 16</w:t>
      </w:r>
    </w:p>
    <w:p>
      <w:pPr>
        <w:jc w:val="center"/>
        <w:rPr>
          <w:b/>
          <w:noProof/>
        </w:rPr>
      </w:pPr>
      <w:r>
        <w:rPr>
          <w:b/>
          <w:noProof/>
        </w:rPr>
        <w:t>Изложения</w:t>
      </w:r>
    </w:p>
    <w:p>
      <w:pPr>
        <w:pStyle w:val="ManualNumPar1"/>
        <w:rPr>
          <w:noProof/>
        </w:rPr>
      </w:pPr>
      <w:r>
        <w:rPr>
          <w:noProof/>
        </w:rPr>
        <w:t>1.</w:t>
      </w:r>
      <w:r>
        <w:rPr>
          <w:noProof/>
        </w:rPr>
        <w:tab/>
        <w:t xml:space="preserve">Продукти с произход, изпратени за участие в изложение в държава или територия, различна от посочените в членове 4, 5 и 6, с които се прилага кумулация, и продадени след изложението с цел внос в ЕС или в държава партньор от ИАО, се ползват при внос от разпоредбите на настоящото споразумение, при условие че бъде доказано по удовлетворителен за митническите органи начин, че: </w:t>
      </w:r>
    </w:p>
    <w:p>
      <w:pPr>
        <w:pStyle w:val="Point1"/>
        <w:rPr>
          <w:noProof/>
        </w:rPr>
      </w:pPr>
      <w:r>
        <w:rPr>
          <w:noProof/>
        </w:rPr>
        <w:t>а)</w:t>
      </w:r>
      <w:r>
        <w:rPr>
          <w:noProof/>
        </w:rPr>
        <w:tab/>
        <w:t xml:space="preserve">даден износител е изпратил тези продукти от държава партньор от ИАО или от ЕС в държавата, в която се провежда изложението, и ги е изложил там; </w:t>
      </w:r>
    </w:p>
    <w:p>
      <w:pPr>
        <w:pStyle w:val="Point1"/>
        <w:rPr>
          <w:noProof/>
        </w:rPr>
      </w:pPr>
      <w:r>
        <w:rPr>
          <w:noProof/>
        </w:rPr>
        <w:t>б)</w:t>
      </w:r>
      <w:r>
        <w:rPr>
          <w:noProof/>
        </w:rPr>
        <w:tab/>
        <w:t xml:space="preserve">продуктите са били продадени или прехвърлени по друг начин от този износител на лице в държава партньор от ИАО или в ЕС; </w:t>
      </w:r>
    </w:p>
    <w:p>
      <w:pPr>
        <w:pStyle w:val="Point1"/>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1"/>
        <w:rPr>
          <w:noProof/>
        </w:rPr>
      </w:pPr>
      <w:r>
        <w:rPr>
          <w:noProof/>
        </w:rPr>
        <w:t>г)</w:t>
      </w:r>
      <w:r>
        <w:rPr>
          <w:noProof/>
        </w:rPr>
        <w:tab/>
        <w:t xml:space="preserve">след изпращането им за участие в изложението продуктите не са били използвани за друга цел, освен за показване на изложението. </w:t>
      </w:r>
    </w:p>
    <w:p>
      <w:pPr>
        <w:pStyle w:val="ManualNumPar1"/>
        <w:rPr>
          <w:noProof/>
        </w:rPr>
      </w:pPr>
      <w:r>
        <w:rPr>
          <w:noProof/>
        </w:rPr>
        <w:t>2.</w:t>
      </w:r>
      <w:r>
        <w:rPr>
          <w:noProof/>
        </w:rPr>
        <w:tab/>
        <w:t xml:space="preserve">Трябва да се издаде или изготви доказателство за произход в съответствие с разпоредбите на дял IV, което да се предостави на митническите органи на държавата вносител по обичайния начин. В него трябва да са посочени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 </w:t>
      </w:r>
    </w:p>
    <w:p>
      <w:pPr>
        <w:pStyle w:val="ManualNumPar1"/>
        <w:rPr>
          <w:noProof/>
        </w:rPr>
      </w:pPr>
      <w:r>
        <w:rPr>
          <w:noProof/>
        </w:rPr>
        <w:t>3.</w:t>
      </w:r>
      <w:r>
        <w:rPr>
          <w:noProof/>
        </w:rPr>
        <w:tab/>
        <w:t xml:space="preserve">Параграф 1 се прилага по отношение на всяко търговско, промишлено, селскостопанско или занаятчийско изложение, панаир или подобно обществено изложение, което не е организирано за частни цели в магазини или търговски помещения с оглед продажбата на чуждестранни продукти и по време на което продуктите остават под митнически контрол. </w:t>
      </w:r>
      <w:bookmarkStart w:id="5" w:name="_Toc204060727"/>
    </w:p>
    <w:p>
      <w:pPr>
        <w:jc w:val="center"/>
        <w:rPr>
          <w:b/>
          <w:noProof/>
        </w:rPr>
      </w:pPr>
      <w:r>
        <w:rPr>
          <w:b/>
          <w:noProof/>
        </w:rPr>
        <w:t>ДЯЛ IV</w:t>
      </w:r>
    </w:p>
    <w:p>
      <w:pPr>
        <w:jc w:val="center"/>
        <w:rPr>
          <w:b/>
          <w:noProof/>
        </w:rPr>
      </w:pPr>
      <w:r>
        <w:rPr>
          <w:b/>
          <w:noProof/>
        </w:rPr>
        <w:t>ДОКАЗАТЕЛСТВО ЗА ПРОИЗХОД</w:t>
      </w:r>
      <w:bookmarkEnd w:id="5"/>
    </w:p>
    <w:p>
      <w:pPr>
        <w:pStyle w:val="Titrearticle"/>
        <w:rPr>
          <w:noProof/>
        </w:rPr>
      </w:pPr>
      <w:r>
        <w:rPr>
          <w:noProof/>
        </w:rPr>
        <w:t>ЧЛЕН 17</w:t>
      </w:r>
    </w:p>
    <w:p>
      <w:pPr>
        <w:jc w:val="center"/>
        <w:rPr>
          <w:b/>
          <w:noProof/>
        </w:rPr>
      </w:pPr>
      <w:r>
        <w:rPr>
          <w:b/>
          <w:noProof/>
        </w:rPr>
        <w:t>Общи изисквания</w:t>
      </w:r>
    </w:p>
    <w:p>
      <w:pPr>
        <w:pStyle w:val="ManualNumPar1"/>
        <w:rPr>
          <w:noProof/>
        </w:rPr>
      </w:pPr>
      <w:r>
        <w:rPr>
          <w:noProof/>
        </w:rPr>
        <w:t>1.</w:t>
      </w:r>
      <w:r>
        <w:rPr>
          <w:noProof/>
        </w:rPr>
        <w:tab/>
        <w:t xml:space="preserve">При внос в EC на продукти с произход от държава партньор от ИАО и при внос в държава партньор от ИАО на продукти с произход от ЕС същите се ползват от </w:t>
      </w:r>
      <w:r>
        <w:rPr>
          <w:noProof/>
        </w:rPr>
        <w:lastRenderedPageBreak/>
        <w:t>разпоредбите на настоящото споразумение при представяне на един от следните документи:</w:t>
      </w:r>
    </w:p>
    <w:p>
      <w:pPr>
        <w:pStyle w:val="Point1"/>
        <w:rPr>
          <w:noProof/>
        </w:rPr>
      </w:pPr>
      <w:r>
        <w:rPr>
          <w:noProof/>
        </w:rPr>
        <w:t>а)</w:t>
      </w:r>
      <w:r>
        <w:rPr>
          <w:noProof/>
        </w:rPr>
        <w:tab/>
        <w:t xml:space="preserve">сертификат за движение EUR 1, чийто образец фигурира в приложение III; или </w:t>
      </w:r>
    </w:p>
    <w:p>
      <w:pPr>
        <w:pStyle w:val="Point1"/>
        <w:rPr>
          <w:noProof/>
        </w:rPr>
      </w:pPr>
      <w:r>
        <w:rPr>
          <w:noProof/>
        </w:rPr>
        <w:t>б)</w:t>
      </w:r>
      <w:r>
        <w:rPr>
          <w:noProof/>
        </w:rPr>
        <w:tab/>
        <w:t>в случаите, посочени в член 22,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съответните продукти достатъчно подробно, за да могат те да бъдат идентифицирани. Текстът на декларацията за произход е представен в приложение IV.</w:t>
      </w:r>
    </w:p>
    <w:p>
      <w:pPr>
        <w:pStyle w:val="ManualNumPar1"/>
        <w:rPr>
          <w:noProof/>
        </w:rPr>
      </w:pPr>
      <w:r>
        <w:rPr>
          <w:noProof/>
        </w:rPr>
        <w:t>2.</w:t>
      </w:r>
      <w:r>
        <w:rPr>
          <w:noProof/>
        </w:rPr>
        <w:tab/>
        <w:t>При извършване на уведомление в Комитета от страна на ЕС до държавите партньори от ИАО, при внос в държава партньор от ИАО на продукти с произход от ЕС същите се ползват от преференциалното тарифно третиране, предвидено в настоящото споразумение, при представяне на декларация за произход, изготвена както е предвидено в член 22 от износител, регистриран съгласно съответното законодателство на ЕС. В това уведомление може да се посочи, че параграф 2, букви а) и б) спират да се прилагат по отношение на ЕС.</w:t>
      </w:r>
    </w:p>
    <w:p>
      <w:pPr>
        <w:pStyle w:val="ManualNumPar1"/>
        <w:rPr>
          <w:noProof/>
        </w:rPr>
      </w:pPr>
      <w:r>
        <w:rPr>
          <w:noProof/>
        </w:rPr>
        <w:t>3.</w:t>
      </w:r>
      <w:r>
        <w:rPr>
          <w:noProof/>
        </w:rPr>
        <w:tab/>
        <w:t xml:space="preserve">Независимо от разпоредбите на параграф 1, в посочените в член 27 случаи продуктите с произход по смисъла на настоящия протокол се ползват от настоящото споразумение, без да е необходимо да се представя някой от документите, посочени по-горе. </w:t>
      </w:r>
    </w:p>
    <w:p>
      <w:pPr>
        <w:pStyle w:val="ManualNumPar1"/>
        <w:rPr>
          <w:noProof/>
        </w:rPr>
      </w:pPr>
      <w:r>
        <w:rPr>
          <w:noProof/>
        </w:rPr>
        <w:t>4.</w:t>
      </w:r>
      <w:r>
        <w:rPr>
          <w:noProof/>
        </w:rPr>
        <w:tab/>
        <w:t>За целите на прилагането на разпоредбите на настоящия дял износителите се стремят да използват език, който е общ за държавите партньори от ИАО и за ЕС.</w:t>
      </w:r>
    </w:p>
    <w:p>
      <w:pPr>
        <w:pStyle w:val="Titrearticle"/>
        <w:rPr>
          <w:noProof/>
        </w:rPr>
      </w:pPr>
      <w:r>
        <w:rPr>
          <w:noProof/>
        </w:rPr>
        <w:t>ЧЛЕН 18</w:t>
      </w:r>
    </w:p>
    <w:p>
      <w:pPr>
        <w:jc w:val="center"/>
        <w:rPr>
          <w:b/>
          <w:noProof/>
        </w:rPr>
      </w:pPr>
      <w:r>
        <w:rPr>
          <w:b/>
          <w:noProof/>
        </w:rPr>
        <w:t>Процедура по издаване на сертификат за движение EUR 1</w:t>
      </w:r>
    </w:p>
    <w:p>
      <w:pPr>
        <w:pStyle w:val="ManualNumPar1"/>
        <w:rPr>
          <w:noProof/>
        </w:rPr>
      </w:pPr>
      <w:r>
        <w:rPr>
          <w:noProof/>
        </w:rPr>
        <w:t>1.</w:t>
      </w:r>
      <w:r>
        <w:rPr>
          <w:noProof/>
        </w:rPr>
        <w:tab/>
        <w:t xml:space="preserve">Сертификат за движение EUR 1 се издава от митническите органи на държавата износител въз основа на заявление, отправено в писмена форма от износителя или, на негова отговорност, от упълномощен от него представител. </w:t>
      </w:r>
    </w:p>
    <w:p>
      <w:pPr>
        <w:pStyle w:val="ManualNumPar1"/>
        <w:rPr>
          <w:noProof/>
        </w:rPr>
      </w:pPr>
      <w:r>
        <w:rPr>
          <w:noProof/>
        </w:rPr>
        <w:t>2.</w:t>
      </w:r>
      <w:r>
        <w:rPr>
          <w:noProof/>
        </w:rPr>
        <w:tab/>
        <w:t xml:space="preserve">За тази цел износителят или упълномощеният от него представител попълват сертификата за движение EUR 1 и формуляра на заявлението, чиито образци фигурират в приложение III. Тези формуляри се попълват в съответствие с разпоредбите на настоящия протокол. Ако те са попълнени на ръка, това се прави с мастило и с печатни букви. Описанието на продуктите трябва да е направено в клетката, предназначена за тази цел, без да се оставят празни редове. Когато клетката не е изцяло запълнена, трябва да се постави хоризонтална черта под последния ред на описанието, като празното пространство трябва да се зачертае. </w:t>
      </w:r>
    </w:p>
    <w:p>
      <w:pPr>
        <w:pStyle w:val="ManualNumPar1"/>
        <w:rPr>
          <w:noProof/>
        </w:rPr>
      </w:pPr>
      <w:r>
        <w:rPr>
          <w:noProof/>
        </w:rPr>
        <w:t>3.</w:t>
      </w:r>
      <w:r>
        <w:rPr>
          <w:noProof/>
        </w:rPr>
        <w:tab/>
        <w:t xml:space="preserve">Износителят, който подава заявление за издаване на сертификат за движение EUR 1, трябва да бъде готов да представи по всяко време, при поискване от страна на митническите органи на държавата износител, където се издава сертификатът за движение EUR 1, всички подходящи документи, които доказват, че съответните продукти притежават статут на продукти с произход, както и че са изпълнени другите изисквания на настоящия протокол. </w:t>
      </w:r>
    </w:p>
    <w:p>
      <w:pPr>
        <w:pStyle w:val="ManualNumPar1"/>
        <w:rPr>
          <w:noProof/>
        </w:rPr>
      </w:pPr>
      <w:r>
        <w:rPr>
          <w:noProof/>
        </w:rPr>
        <w:lastRenderedPageBreak/>
        <w:t>4.</w:t>
      </w:r>
      <w:r>
        <w:rPr>
          <w:noProof/>
        </w:rPr>
        <w:tab/>
        <w:t xml:space="preserve">Сертификат за движение EUR 1 се издава от митническите органи на държава — членка на ЕС, или на държава партньор от ИАО, ако съответните продукти могат да се считат за продукти с произход от ЕС или от държава партньор от ИАО, или от някоя от другите държави или територии, посочени в членове 4 или 5, и ако изпълняват другите изисквания на настоящия протокол. </w:t>
      </w:r>
    </w:p>
    <w:p>
      <w:pPr>
        <w:pStyle w:val="ManualNumPar1"/>
        <w:rPr>
          <w:noProof/>
        </w:rPr>
      </w:pPr>
      <w:r>
        <w:rPr>
          <w:noProof/>
        </w:rPr>
        <w:t>5.</w:t>
      </w:r>
      <w:r>
        <w:rPr>
          <w:noProof/>
        </w:rPr>
        <w:tab/>
        <w:t xml:space="preserve">Митническите органи, издаващи сертификата, предприемат всички необходими мерки, за да проверят дали продуктите имат статут на продукти с произход и дали са изпълнени другите изисквания на настоящия протокол. За тази цел те имат право да изискват всякакви доказателства и да извършват всякакви проверки на счетоводните документи на износителя или всякакви други проверки, които сметнат за необходими. Митническите органи, издаващи сертификата, също така се уверяват, че посочените в параграф 2 формуляри са надлежно попълнени. По-специално те проверяват дали полето, предвидено за описанието на продуктите, е попълнено по начин, изключващ всяка възможност за неправомерни добавки. </w:t>
      </w:r>
    </w:p>
    <w:p>
      <w:pPr>
        <w:pStyle w:val="ManualNumPar1"/>
        <w:rPr>
          <w:noProof/>
        </w:rPr>
      </w:pPr>
      <w:r>
        <w:rPr>
          <w:noProof/>
        </w:rPr>
        <w:t>6.</w:t>
      </w:r>
      <w:r>
        <w:rPr>
          <w:noProof/>
        </w:rPr>
        <w:tab/>
        <w:t xml:space="preserve">Датата на издаване на сертификата за движение EUR 1 се посочва в клетка 11 от сертификата. </w:t>
      </w:r>
    </w:p>
    <w:p>
      <w:pPr>
        <w:pStyle w:val="ManualNumPar1"/>
        <w:rPr>
          <w:noProof/>
        </w:rPr>
      </w:pPr>
      <w:r>
        <w:rPr>
          <w:noProof/>
        </w:rPr>
        <w:t>7.</w:t>
      </w:r>
      <w:r>
        <w:rPr>
          <w:noProof/>
        </w:rPr>
        <w:tab/>
        <w:t xml:space="preserve">Сертификатът за движение EUR 1 се издава от митническите органи и се предоставя на износителя веднага щом действителният износ бъде осъществен или гарантиран. </w:t>
      </w:r>
    </w:p>
    <w:p>
      <w:pPr>
        <w:pStyle w:val="Titrearticle"/>
        <w:rPr>
          <w:noProof/>
        </w:rPr>
      </w:pPr>
      <w:r>
        <w:rPr>
          <w:noProof/>
        </w:rPr>
        <w:t>ЧЛЕН 19</w:t>
      </w:r>
    </w:p>
    <w:p>
      <w:pPr>
        <w:jc w:val="center"/>
        <w:rPr>
          <w:b/>
          <w:noProof/>
        </w:rPr>
      </w:pPr>
      <w:r>
        <w:rPr>
          <w:b/>
          <w:noProof/>
        </w:rPr>
        <w:t>Сертификати за движение EUR 1, издадени впоследствие</w:t>
      </w:r>
    </w:p>
    <w:p>
      <w:pPr>
        <w:pStyle w:val="ManualNumPar1"/>
        <w:rPr>
          <w:noProof/>
        </w:rPr>
      </w:pPr>
      <w:r>
        <w:rPr>
          <w:noProof/>
        </w:rPr>
        <w:t>1.</w:t>
      </w:r>
      <w:r>
        <w:rPr>
          <w:noProof/>
        </w:rPr>
        <w:tab/>
        <w:t>Независимо от разпоредбите на член 18, параграф 7, сертификат за движение EUR 1 може по изключение да бъде издаден след износа на продуктите, за които се отнася, ако:</w:t>
      </w:r>
    </w:p>
    <w:p>
      <w:pPr>
        <w:pStyle w:val="Point1"/>
        <w:rPr>
          <w:noProof/>
        </w:rPr>
      </w:pPr>
      <w:r>
        <w:rPr>
          <w:noProof/>
        </w:rPr>
        <w:t>а)</w:t>
      </w:r>
      <w:r>
        <w:rPr>
          <w:noProof/>
        </w:rPr>
        <w:tab/>
        <w:t xml:space="preserve">той не е бил издаден към момента на износа поради грешки или неволни пропуски или поради наличие на особени обстоятелства; или </w:t>
      </w:r>
    </w:p>
    <w:p>
      <w:pPr>
        <w:pStyle w:val="Point1"/>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 1, но същият не е бил приет при вноса по технически причини. </w:t>
      </w:r>
    </w:p>
    <w:p>
      <w:pPr>
        <w:pStyle w:val="ManualNumPar1"/>
        <w:rPr>
          <w:noProof/>
        </w:rPr>
      </w:pPr>
      <w:r>
        <w:rPr>
          <w:noProof/>
        </w:rPr>
        <w:t>2.</w:t>
      </w:r>
      <w:r>
        <w:rPr>
          <w:noProof/>
        </w:rPr>
        <w:tab/>
        <w:t xml:space="preserve">За целите на прилагането на параграф 1 износителят трябва да посочи в своето заявление мястото и датата на износа на продуктите, за които се отнася сертификатът за движение EUR 1, и да изложи причините за своето искане. </w:t>
      </w:r>
    </w:p>
    <w:p>
      <w:pPr>
        <w:pStyle w:val="ManualNumPar1"/>
        <w:rPr>
          <w:noProof/>
        </w:rPr>
      </w:pPr>
      <w:r>
        <w:rPr>
          <w:noProof/>
        </w:rPr>
        <w:t>3.</w:t>
      </w:r>
      <w:r>
        <w:rPr>
          <w:noProof/>
        </w:rPr>
        <w:tab/>
        <w:t xml:space="preserve">Митническите органи могат да издадат сертификат за движение EUR 1 впоследствие, но само след като се уверят, че предоставената информация в заявлението на износителя отговаря на информацията в съответното досие. </w:t>
      </w:r>
    </w:p>
    <w:p>
      <w:pPr>
        <w:pStyle w:val="ManualNumPar1"/>
        <w:rPr>
          <w:noProof/>
        </w:rPr>
      </w:pPr>
      <w:r>
        <w:rPr>
          <w:noProof/>
        </w:rPr>
        <w:t>4.</w:t>
      </w:r>
      <w:r>
        <w:rPr>
          <w:noProof/>
        </w:rPr>
        <w:tab/>
        <w:t xml:space="preserve">Сертификатите за движение EUR 1, издадени впоследствие, трябва да съдържат следния израз на английски език: </w:t>
      </w:r>
    </w:p>
    <w:p>
      <w:pPr>
        <w:jc w:val="center"/>
        <w:rPr>
          <w:noProof/>
        </w:rPr>
      </w:pPr>
      <w:r>
        <w:rPr>
          <w:noProof/>
        </w:rPr>
        <w:t>„ISSUED RETROSPECTIVELY“.</w:t>
      </w:r>
    </w:p>
    <w:p>
      <w:pPr>
        <w:pStyle w:val="ManualNumPar1"/>
        <w:rPr>
          <w:noProof/>
        </w:rPr>
      </w:pPr>
      <w:r>
        <w:rPr>
          <w:noProof/>
        </w:rPr>
        <w:t>5.</w:t>
      </w:r>
      <w:r>
        <w:rPr>
          <w:noProof/>
        </w:rPr>
        <w:tab/>
        <w:t xml:space="preserve">Изразът, посочен в параграф 4, се вписва в клетка „Забележки“ на сертификата за движение EUR 1. </w:t>
      </w:r>
    </w:p>
    <w:p>
      <w:pPr>
        <w:pStyle w:val="Titrearticle"/>
        <w:rPr>
          <w:noProof/>
        </w:rPr>
      </w:pPr>
      <w:r>
        <w:rPr>
          <w:noProof/>
        </w:rPr>
        <w:lastRenderedPageBreak/>
        <w:t>ЧЛЕН 20</w:t>
      </w:r>
    </w:p>
    <w:p>
      <w:pPr>
        <w:jc w:val="center"/>
        <w:rPr>
          <w:b/>
          <w:noProof/>
        </w:rPr>
      </w:pPr>
      <w:r>
        <w:rPr>
          <w:b/>
          <w:noProof/>
        </w:rPr>
        <w:t>Издаване на дубликат на сертификат за движение EUR 1</w:t>
      </w:r>
    </w:p>
    <w:p>
      <w:pPr>
        <w:pStyle w:val="ManualNumPar1"/>
        <w:rPr>
          <w:noProof/>
        </w:rPr>
      </w:pPr>
      <w:r>
        <w:rPr>
          <w:noProof/>
        </w:rPr>
        <w:t>1.</w:t>
      </w:r>
      <w:r>
        <w:rPr>
          <w:noProof/>
        </w:rPr>
        <w:tab/>
        <w:t>В случай на кражба, загуба или унищожаване на сертификат за движение EUR 1 износителят може да поиска от митническите органи, които са го издали, дубликат, изготвен въз основа на документите за износ, с които те разполагат.</w:t>
      </w:r>
    </w:p>
    <w:p>
      <w:pPr>
        <w:pStyle w:val="ManualNumPar1"/>
        <w:rPr>
          <w:noProof/>
        </w:rPr>
      </w:pPr>
      <w:r>
        <w:rPr>
          <w:noProof/>
        </w:rPr>
        <w:t>2.</w:t>
      </w:r>
      <w:r>
        <w:rPr>
          <w:noProof/>
        </w:rPr>
        <w:tab/>
        <w:t>Издаденият по този начин дубликат трябва да съдържа следната дума на английски език:</w:t>
      </w:r>
    </w:p>
    <w:p>
      <w:pPr>
        <w:jc w:val="center"/>
        <w:rPr>
          <w:noProof/>
        </w:rPr>
      </w:pPr>
      <w:r>
        <w:rPr>
          <w:noProof/>
        </w:rPr>
        <w:t>„DUPLICATE“</w:t>
      </w:r>
    </w:p>
    <w:p>
      <w:pPr>
        <w:pStyle w:val="ManualNumPar1"/>
        <w:rPr>
          <w:noProof/>
        </w:rPr>
      </w:pPr>
      <w:r>
        <w:rPr>
          <w:noProof/>
        </w:rPr>
        <w:t>3.</w:t>
      </w:r>
      <w:r>
        <w:rPr>
          <w:noProof/>
        </w:rPr>
        <w:tab/>
        <w:t>Изразът, посочен в параграф 2, се вписва в клетка „Забележки“ на дубликата на сертификата за движение EUR 1.</w:t>
      </w:r>
    </w:p>
    <w:p>
      <w:pPr>
        <w:pStyle w:val="ManualNumPar1"/>
        <w:rPr>
          <w:noProof/>
        </w:rPr>
      </w:pPr>
      <w:r>
        <w:rPr>
          <w:noProof/>
        </w:rPr>
        <w:t>4.</w:t>
      </w:r>
      <w:r>
        <w:rPr>
          <w:noProof/>
        </w:rPr>
        <w:tab/>
        <w:t xml:space="preserve">Дубликатът, на който трябва да бъде изписана датата на издаване на оригиналния сертификат за движение EUR 1, поражда действие, считано от тази дата. </w:t>
      </w:r>
    </w:p>
    <w:p>
      <w:pPr>
        <w:pStyle w:val="Titrearticle"/>
        <w:rPr>
          <w:noProof/>
        </w:rPr>
      </w:pPr>
      <w:r>
        <w:rPr>
          <w:noProof/>
        </w:rPr>
        <w:t>ЧЛЕН 21</w:t>
      </w:r>
    </w:p>
    <w:p>
      <w:pPr>
        <w:jc w:val="center"/>
        <w:rPr>
          <w:b/>
          <w:noProof/>
        </w:rPr>
      </w:pPr>
      <w:r>
        <w:rPr>
          <w:b/>
          <w:noProof/>
        </w:rPr>
        <w:t>Издаване на сертификати за движение EUR 1 въз основа на предварително издадено или изготвено доказателство за произход</w:t>
      </w:r>
    </w:p>
    <w:p>
      <w:pPr>
        <w:rPr>
          <w:noProof/>
        </w:rPr>
      </w:pPr>
      <w:r>
        <w:rPr>
          <w:noProof/>
        </w:rPr>
        <w:t xml:space="preserve">Когато продукти с произход са поставени под контрола на митническо учреждение в държава партньор от ИАО или в ЕС, е възможно оригиналното доказателство за произход да се замени с един или повече сертификати за движение EUR 1 с цел изпращане на всички или на някои от тези продукти на друго място в рамките на държавите партньори от ИАО или в рамките на ЕС. Заместващият(ите) сертификат(и) за движение EUR 1 се издава(т) от митническото учреждение, под чийто контрол са поставени продуктите, и се заверява(т) от митническия орган, под чийто контрол са поставени продуктите. </w:t>
      </w:r>
    </w:p>
    <w:p>
      <w:pPr>
        <w:pStyle w:val="Titrearticle"/>
        <w:rPr>
          <w:noProof/>
        </w:rPr>
      </w:pPr>
      <w:r>
        <w:rPr>
          <w:noProof/>
        </w:rPr>
        <w:t>ЧЛЕН 22</w:t>
      </w:r>
    </w:p>
    <w:p>
      <w:pPr>
        <w:jc w:val="center"/>
        <w:rPr>
          <w:b/>
          <w:noProof/>
        </w:rPr>
      </w:pPr>
      <w:r>
        <w:rPr>
          <w:b/>
          <w:noProof/>
        </w:rPr>
        <w:t>Условия за изготвяне на декларация за произход</w:t>
      </w:r>
    </w:p>
    <w:p>
      <w:pPr>
        <w:pStyle w:val="ManualNumPar1"/>
        <w:rPr>
          <w:noProof/>
        </w:rPr>
      </w:pPr>
      <w:r>
        <w:rPr>
          <w:noProof/>
        </w:rPr>
        <w:t>1.</w:t>
      </w:r>
      <w:r>
        <w:rPr>
          <w:noProof/>
        </w:rPr>
        <w:tab/>
        <w:t xml:space="preserve">Декларация за произход по член 17, параграф 1, буква б) може да бъде изготвена: </w:t>
      </w:r>
    </w:p>
    <w:p>
      <w:pPr>
        <w:pStyle w:val="Point1"/>
        <w:rPr>
          <w:noProof/>
        </w:rPr>
      </w:pPr>
      <w:r>
        <w:rPr>
          <w:noProof/>
        </w:rPr>
        <w:t>а)</w:t>
      </w:r>
      <w:r>
        <w:rPr>
          <w:noProof/>
        </w:rPr>
        <w:tab/>
        <w:t xml:space="preserve">от одобрен износител по смисъла на член 23, или </w:t>
      </w:r>
    </w:p>
    <w:p>
      <w:pPr>
        <w:pStyle w:val="Point1"/>
        <w:rPr>
          <w:noProof/>
        </w:rPr>
      </w:pPr>
      <w:r>
        <w:rPr>
          <w:noProof/>
        </w:rPr>
        <w:t>б)</w:t>
      </w:r>
      <w:r>
        <w:rPr>
          <w:noProof/>
        </w:rPr>
        <w:tab/>
        <w:t xml:space="preserve">от всеки износител за всяка пратка, която се състои от един или повече пакети, съдържащи продукти с произход, чиято обща стойност не надхвърля 6000 EUR. </w:t>
      </w:r>
    </w:p>
    <w:p>
      <w:pPr>
        <w:pStyle w:val="ManualNumPar1"/>
        <w:rPr>
          <w:noProof/>
        </w:rPr>
      </w:pPr>
      <w:r>
        <w:rPr>
          <w:noProof/>
        </w:rPr>
        <w:t>2.</w:t>
      </w:r>
      <w:r>
        <w:rPr>
          <w:noProof/>
        </w:rPr>
        <w:tab/>
        <w:t xml:space="preserve">Декларация за произход може да бъде изготвена, ако съответните продукти могат да се считат за продукти с произход от държава партньор от ИАО или от ЕС, или от някоя от другите държави или територии, посочени в членове 4 и 5, и ако изпълняват другите изисквания на настоящия протокол. </w:t>
      </w:r>
    </w:p>
    <w:p>
      <w:pPr>
        <w:pStyle w:val="ManualNumPar1"/>
        <w:rPr>
          <w:noProof/>
        </w:rPr>
      </w:pPr>
      <w:r>
        <w:rPr>
          <w:noProof/>
        </w:rPr>
        <w:t>3.</w:t>
      </w:r>
      <w:r>
        <w:rPr>
          <w:noProof/>
        </w:rPr>
        <w:tab/>
        <w:t xml:space="preserve">Износителят, изготвящ декларация за произход, трябва да бъде готов да представи по всяко време, по искане на митническите органи на държавата износител, всички подходящи документи, които доказват, че съответните продукти притежават статут на продукти с произход, както и че са изпълнени другите изисквания на настоящия протокол. </w:t>
      </w:r>
    </w:p>
    <w:p>
      <w:pPr>
        <w:pStyle w:val="ManualNumPar1"/>
        <w:rPr>
          <w:noProof/>
        </w:rPr>
      </w:pPr>
      <w:r>
        <w:rPr>
          <w:noProof/>
        </w:rPr>
        <w:lastRenderedPageBreak/>
        <w:t>4.</w:t>
      </w:r>
      <w:r>
        <w:rPr>
          <w:noProof/>
        </w:rPr>
        <w:tab/>
        <w:t xml:space="preserve">Декларация за произход се изготвя от износителя посредством напечатване на пишеща машина, полагане на печат или отпечатване върху фактурата, известието за доставка или върху друг търговски документ на текста на декларацията, който е посочен в приложение IV към настоящия протокол, чрез използване на една от езиковите версии, предвидени в посоченото приложение, и в съответствие с разпоредбите на националното законодателство на държавата износител. Ако декларацията се изготвя на ръка, тя трябва да е написана с мастило и с печатни букви. </w:t>
      </w:r>
    </w:p>
    <w:p>
      <w:pPr>
        <w:pStyle w:val="ManualNumPar1"/>
        <w:rPr>
          <w:noProof/>
        </w:rPr>
      </w:pPr>
      <w:r>
        <w:rPr>
          <w:noProof/>
        </w:rPr>
        <w:t>5.</w:t>
      </w:r>
      <w:r>
        <w:rPr>
          <w:noProof/>
        </w:rPr>
        <w:tab/>
        <w:t xml:space="preserve">На декларациите за произход се поставя собственоръчно оригиналният подпис на износителя. От одобрения по смисъла на член 23 износител обаче не се изисква да подписва тези декларации, ако той се задължи писмено пред митническите органи на държавата износител да поеме пълната отговорност за всяка декларация за произход, която го идентифицира, все едно че е подписана собственоръчно от него. </w:t>
      </w:r>
    </w:p>
    <w:p>
      <w:pPr>
        <w:pStyle w:val="ManualNumPar1"/>
        <w:rPr>
          <w:noProof/>
        </w:rPr>
      </w:pPr>
      <w:r>
        <w:rPr>
          <w:noProof/>
        </w:rPr>
        <w:t>6.</w:t>
      </w:r>
      <w:r>
        <w:rPr>
          <w:noProof/>
        </w:rPr>
        <w:tab/>
        <w:t xml:space="preserve">Декларация за произход може да бъде изготвена от износителя в момента на износа на продуктите, за които се отнася, или след износа, при условие че е представена в държавата вносител не по-късно от две години след вноса на продуктите, за които се отнася. </w:t>
      </w:r>
    </w:p>
    <w:p>
      <w:pPr>
        <w:pStyle w:val="Titrearticle"/>
        <w:rPr>
          <w:noProof/>
        </w:rPr>
      </w:pPr>
      <w:r>
        <w:rPr>
          <w:noProof/>
        </w:rPr>
        <w:t>ЧЛЕН 23</w:t>
      </w:r>
    </w:p>
    <w:p>
      <w:pPr>
        <w:jc w:val="center"/>
        <w:rPr>
          <w:b/>
          <w:noProof/>
        </w:rPr>
      </w:pPr>
      <w:r>
        <w:rPr>
          <w:b/>
          <w:noProof/>
        </w:rPr>
        <w:t>Одобрен износител</w:t>
      </w:r>
    </w:p>
    <w:p>
      <w:pPr>
        <w:pStyle w:val="ManualNumPar1"/>
        <w:rPr>
          <w:noProof/>
        </w:rPr>
      </w:pPr>
      <w:r>
        <w:rPr>
          <w:noProof/>
        </w:rPr>
        <w:t>1.</w:t>
      </w:r>
      <w:r>
        <w:rPr>
          <w:noProof/>
        </w:rPr>
        <w:tab/>
        <w:t xml:space="preserve">Митническите органи на държавата износител могат да разрешат на всеки износител, който извършва често транспортиране на продукти съгласно разпоредбите за търговско сътрудничество, предвидени в настоящото споразумение, да изготвя декларации за произход независимо от стойността на съответните продукти. Износител, който иска да получи такова разрешение, трябва да предостави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другите изисквания на настоящия протокол. </w:t>
      </w:r>
    </w:p>
    <w:p>
      <w:pPr>
        <w:pStyle w:val="ManualNumPar1"/>
        <w:rPr>
          <w:noProof/>
        </w:rPr>
      </w:pPr>
      <w:r>
        <w:rPr>
          <w:noProof/>
        </w:rPr>
        <w:t>2.</w:t>
      </w:r>
      <w:r>
        <w:rPr>
          <w:noProof/>
        </w:rPr>
        <w:tab/>
        <w:t xml:space="preserve">Митническите органи могат да обвържат предоставянето на статут на одобрен износител със спазването на всички условия, които сметнат за необходими. </w:t>
      </w:r>
    </w:p>
    <w:p>
      <w:pPr>
        <w:pStyle w:val="ManualNumPar1"/>
        <w:rPr>
          <w:noProof/>
        </w:rPr>
      </w:pPr>
      <w:r>
        <w:rPr>
          <w:noProof/>
        </w:rPr>
        <w:t>3.</w:t>
      </w:r>
      <w:r>
        <w:rPr>
          <w:noProof/>
        </w:rPr>
        <w:tab/>
        <w:t xml:space="preserve">Митническите органи определят на одобрения износител номер на митническото разрешение, който трябва да фигурира върху декларацията за произход. </w:t>
      </w:r>
    </w:p>
    <w:p>
      <w:pPr>
        <w:pStyle w:val="ManualNumPar1"/>
        <w:rPr>
          <w:noProof/>
        </w:rPr>
      </w:pPr>
      <w:r>
        <w:rPr>
          <w:noProof/>
        </w:rPr>
        <w:t>4.</w:t>
      </w:r>
      <w:r>
        <w:rPr>
          <w:noProof/>
        </w:rPr>
        <w:tab/>
        <w:t xml:space="preserve">Митническите органи упражняват надзор върху използването на разрешението от одобрения износител. </w:t>
      </w:r>
    </w:p>
    <w:p>
      <w:pPr>
        <w:pStyle w:val="ManualNumPar1"/>
        <w:rPr>
          <w:noProof/>
        </w:rPr>
      </w:pPr>
      <w:r>
        <w:rPr>
          <w:noProof/>
        </w:rPr>
        <w:t>5.</w:t>
      </w:r>
      <w:r>
        <w:rPr>
          <w:noProof/>
        </w:rPr>
        <w:tab/>
        <w:t xml:space="preserve">Митническите органи могат да оттеглят разрешението по всяко време. Те го оттеглят, когато одобреният износител вече не предоставя гаранциите по параграф 1, не отговаря на условията по параграф 2, или по друг начин използва неправилно разрешението. </w:t>
      </w:r>
    </w:p>
    <w:p>
      <w:pPr>
        <w:pStyle w:val="Titrearticle"/>
        <w:rPr>
          <w:noProof/>
        </w:rPr>
      </w:pPr>
      <w:r>
        <w:rPr>
          <w:noProof/>
        </w:rPr>
        <w:t>ЧЛЕН 24</w:t>
      </w:r>
    </w:p>
    <w:p>
      <w:pPr>
        <w:jc w:val="center"/>
        <w:rPr>
          <w:b/>
          <w:noProof/>
        </w:rPr>
      </w:pPr>
      <w:r>
        <w:rPr>
          <w:b/>
          <w:noProof/>
        </w:rPr>
        <w:t>Валидност на доказателството за произход</w:t>
      </w:r>
    </w:p>
    <w:p>
      <w:pPr>
        <w:pStyle w:val="ManualNumPar1"/>
        <w:rPr>
          <w:noProof/>
        </w:rPr>
      </w:pPr>
      <w:r>
        <w:rPr>
          <w:noProof/>
        </w:rPr>
        <w:lastRenderedPageBreak/>
        <w:t>1.</w:t>
      </w:r>
      <w:r>
        <w:rPr>
          <w:noProof/>
        </w:rPr>
        <w:tab/>
        <w:t xml:space="preserve">Доказателството за произход е със срок на валидност десет (10) месеца от датата на издаване в държавата износител и трябва да се представи в рамките на посочения срок на митническите органи на държавата вносител. </w:t>
      </w:r>
    </w:p>
    <w:p>
      <w:pPr>
        <w:pStyle w:val="ManualNumPar1"/>
        <w:rPr>
          <w:noProof/>
        </w:rPr>
      </w:pPr>
      <w:r>
        <w:rPr>
          <w:noProof/>
        </w:rPr>
        <w:t>2.</w:t>
      </w:r>
      <w:r>
        <w:rPr>
          <w:noProof/>
        </w:rPr>
        <w:tab/>
        <w:t xml:space="preserve">Доказателства за произход, които са представени на митническите органи на държавата вносител след крайната дата за представяне, посочена в параграф 1, могат да бъдат приети за целите на прилагане на преференциалното третиране, когато непредставянето на тези документи преди крайната дата се дължи на изключителни обстоятелства. </w:t>
      </w:r>
    </w:p>
    <w:p>
      <w:pPr>
        <w:pStyle w:val="ManualNumPar1"/>
        <w:rPr>
          <w:noProof/>
        </w:rPr>
      </w:pPr>
      <w:r>
        <w:rPr>
          <w:noProof/>
        </w:rPr>
        <w:t>3.</w:t>
      </w:r>
      <w:r>
        <w:rPr>
          <w:noProof/>
        </w:rPr>
        <w:tab/>
        <w:t xml:space="preserve">В други случаи на закъсняло представяне митническите органи на държавата вносител могат да приемат доказателствата за произход, когато продуктите са им били представени преди посочената крайна дата. </w:t>
      </w:r>
    </w:p>
    <w:p>
      <w:pPr>
        <w:pStyle w:val="Titrearticle"/>
        <w:rPr>
          <w:noProof/>
        </w:rPr>
      </w:pPr>
      <w:r>
        <w:rPr>
          <w:noProof/>
        </w:rPr>
        <w:t>ЧЛЕН 25</w:t>
      </w:r>
    </w:p>
    <w:p>
      <w:pPr>
        <w:jc w:val="center"/>
        <w:rPr>
          <w:b/>
          <w:noProof/>
        </w:rPr>
      </w:pPr>
      <w:r>
        <w:rPr>
          <w:b/>
          <w:noProof/>
        </w:rPr>
        <w:t>Представяне на доказателството за произход</w:t>
      </w:r>
    </w:p>
    <w:p>
      <w:pPr>
        <w:rPr>
          <w:noProof/>
        </w:rPr>
      </w:pPr>
      <w:r>
        <w:rPr>
          <w:noProof/>
        </w:rPr>
        <w:t>Доказателствата за произход се представят на митническите органи на държавата вносител в съответствие с приложимите в нея процедури. Посочените органи могат да изискват превод на определено доказателство за произход и могат също така да изискват декларацията за внос да бъде придружена от писмено изявление на вносителя, че продуктите отговарят на условията, изисквани за прилагане на настоящото споразумение.</w:t>
      </w:r>
    </w:p>
    <w:p>
      <w:pPr>
        <w:pStyle w:val="Titrearticle"/>
        <w:rPr>
          <w:noProof/>
        </w:rPr>
      </w:pPr>
      <w:r>
        <w:rPr>
          <w:noProof/>
        </w:rPr>
        <w:t>ЧЛЕН 26</w:t>
      </w:r>
    </w:p>
    <w:p>
      <w:pPr>
        <w:jc w:val="center"/>
        <w:rPr>
          <w:b/>
          <w:noProof/>
        </w:rPr>
      </w:pPr>
      <w:r>
        <w:rPr>
          <w:b/>
          <w:noProof/>
        </w:rPr>
        <w:t>Внос, осъществяван чрез поредица от доставки</w:t>
      </w:r>
    </w:p>
    <w:p>
      <w:pPr>
        <w:rPr>
          <w:noProof/>
        </w:rPr>
      </w:pPr>
      <w:r>
        <w:rPr>
          <w:noProof/>
        </w:rPr>
        <w:t>Когато по искане на вносителя и при условията, установени от митническите органи на държавата вносител, разглобени или несглобени продукти по смисъла на Общо правило 2 а) относно тълкуването на Хармонизираната система, попадащи в раздели XVI и XVII или в позиции 7308 и 9406 от Хармонизираната система, се внасят чрез поредица от доставки, на митническите органи се представя само едно доказателство за произход за тези продукти при вноса на първата доставка.</w:t>
      </w:r>
    </w:p>
    <w:p>
      <w:pPr>
        <w:pStyle w:val="Titrearticle"/>
        <w:rPr>
          <w:noProof/>
        </w:rPr>
      </w:pPr>
      <w:r>
        <w:rPr>
          <w:noProof/>
        </w:rPr>
        <w:t>ЧЛЕН 27</w:t>
      </w:r>
    </w:p>
    <w:p>
      <w:pPr>
        <w:jc w:val="center"/>
        <w:rPr>
          <w:b/>
          <w:noProof/>
        </w:rPr>
      </w:pPr>
      <w:r>
        <w:rPr>
          <w:b/>
          <w:noProof/>
        </w:rPr>
        <w:t>Освобождаване от изискването за представяне на доказателство за произход</w:t>
      </w:r>
    </w:p>
    <w:p>
      <w:pPr>
        <w:pStyle w:val="ManualNumPar1"/>
        <w:rPr>
          <w:noProof/>
        </w:rPr>
      </w:pPr>
      <w:r>
        <w:rPr>
          <w:noProof/>
        </w:rPr>
        <w:t>1.</w:t>
      </w:r>
      <w:r>
        <w:rPr>
          <w:noProof/>
        </w:rPr>
        <w:tab/>
        <w:t>Продукти, изпращани като малки пакети от частни лица за частни лица или представляващи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са внесени с търговска цел и че са декларирани като отговарящи на изискванията на настоящия протокол, и когато няма съмнение относно достоверността на такава декларация. Когато продуктите са изпратени по пощата, тази декларация може да бъде направена върху митническата декларация СN22/СN23 или върху лист хартия, приложен към посочения документ.</w:t>
      </w:r>
    </w:p>
    <w:p>
      <w:pPr>
        <w:pStyle w:val="ManualNumPar1"/>
        <w:rPr>
          <w:noProof/>
        </w:rPr>
      </w:pPr>
      <w:r>
        <w:rPr>
          <w:noProof/>
        </w:rPr>
        <w:t>2.</w:t>
      </w:r>
      <w:r>
        <w:rPr>
          <w:noProof/>
        </w:rPr>
        <w:tab/>
        <w:t xml:space="preserve">Внос, който е инцидентен и се състои единствено от продукти за лична употреба на получателите или на пътниците или на техните семейства, не се счита за внос с </w:t>
      </w:r>
      <w:r>
        <w:rPr>
          <w:noProof/>
        </w:rPr>
        <w:lastRenderedPageBreak/>
        <w:t>търговска цел, ако от естеството и количеството на продуктите е видно, че те нямат търговско предназначение.</w:t>
      </w:r>
    </w:p>
    <w:p>
      <w:pPr>
        <w:pStyle w:val="ManualNumPar1"/>
        <w:rPr>
          <w:noProof/>
        </w:rPr>
      </w:pPr>
      <w:r>
        <w:rPr>
          <w:noProof/>
        </w:rPr>
        <w:t>3.</w:t>
      </w:r>
      <w:r>
        <w:rPr>
          <w:noProof/>
        </w:rPr>
        <w:tab/>
        <w:t>Освен това общата стойност на тези продукти не може да надхвърля 500 EUR в случаите на малки пакети или 1200 EUR в случаите на продукти, които са част от личния багаж на пътниците.</w:t>
      </w:r>
    </w:p>
    <w:p>
      <w:pPr>
        <w:pStyle w:val="Titrearticle"/>
        <w:rPr>
          <w:noProof/>
        </w:rPr>
      </w:pPr>
      <w:r>
        <w:rPr>
          <w:noProof/>
        </w:rPr>
        <w:t>ЧЛЕН 28</w:t>
      </w:r>
    </w:p>
    <w:p>
      <w:pPr>
        <w:jc w:val="center"/>
        <w:rPr>
          <w:b/>
          <w:noProof/>
        </w:rPr>
      </w:pPr>
      <w:r>
        <w:rPr>
          <w:b/>
          <w:noProof/>
        </w:rPr>
        <w:t>Информационна процедура за целите на кумулацията</w:t>
      </w:r>
    </w:p>
    <w:p>
      <w:pPr>
        <w:pStyle w:val="ManualNumPar1"/>
        <w:rPr>
          <w:noProof/>
        </w:rPr>
      </w:pPr>
      <w:r>
        <w:rPr>
          <w:noProof/>
        </w:rPr>
        <w:t>1.</w:t>
      </w:r>
      <w:r>
        <w:rPr>
          <w:noProof/>
        </w:rPr>
        <w:tab/>
        <w:t xml:space="preserve">Когато се прилагат член 4, параграф 1 и член 5, параграф 1, доказателството за притежаване на статут на продукти с произход по смисъла на настоящия протокол от материалите, доставени от държава партньор от ИАО, от ЕС, от друга държава от АКТБ или от отделна ОСТ, се представя чрез сертификат за движение EUR 1 или чрез декларацията от доставчика, чийто образец фигурира в приложение VА към настоящия протокол, представени от износителя в държавата, в ОСТ или в ЕС, откъдето са доставени материалите. </w:t>
      </w:r>
    </w:p>
    <w:p>
      <w:pPr>
        <w:pStyle w:val="ManualNumPar1"/>
        <w:rPr>
          <w:noProof/>
        </w:rPr>
      </w:pPr>
      <w:r>
        <w:rPr>
          <w:noProof/>
        </w:rPr>
        <w:t>2.</w:t>
      </w:r>
      <w:r>
        <w:rPr>
          <w:noProof/>
        </w:rPr>
        <w:tab/>
        <w:t xml:space="preserve">Когато се прилагат член 4, параграф 2 и член 5, параграф 2, доказателството за обработката или преработката, извършени в държава партньор от ИАО, в ЕС, в друга държава от АКТБ или в отделна ОСТ, се представя чрез декларацията на доставчика, чийто образец фигурира в приложение VБ към настоящия протокол, представена от износителя в държавата, в ОСТ или в ЕС, откъдето са доставени материалите. </w:t>
      </w:r>
    </w:p>
    <w:p>
      <w:pPr>
        <w:pStyle w:val="ManualNumPar1"/>
        <w:rPr>
          <w:noProof/>
        </w:rPr>
      </w:pPr>
      <w:r>
        <w:rPr>
          <w:noProof/>
        </w:rPr>
        <w:t>3.</w:t>
      </w:r>
      <w:r>
        <w:rPr>
          <w:noProof/>
        </w:rPr>
        <w:tab/>
        <w:t>Когато се прилага член 6, параграф 1, приложимите документални доказателства за произход се определят в съответствие с правилата, приложими по отношение на държавите по общата система за преференции, които са установени в Регламент (ЕИО) № 2454/93 на Комисията</w:t>
      </w:r>
      <w:r>
        <w:rPr>
          <w:rStyle w:val="FootnoteReference"/>
          <w:noProof/>
        </w:rPr>
        <w:footnoteReference w:id="9"/>
      </w:r>
      <w:r>
        <w:rPr>
          <w:noProof/>
        </w:rPr>
        <w:t xml:space="preserve"> от 2 юли 1993 г. за определяне на разпоредби за прилагане на Регламент (ЕИО) № 2913/92 на Съвета за създаване на Митнически кодекс на Общността.</w:t>
      </w:r>
    </w:p>
    <w:p>
      <w:pPr>
        <w:pStyle w:val="ManualNumPar1"/>
        <w:rPr>
          <w:noProof/>
        </w:rPr>
      </w:pPr>
      <w:r>
        <w:rPr>
          <w:noProof/>
        </w:rPr>
        <w:t>4.</w:t>
      </w:r>
      <w:r>
        <w:rPr>
          <w:noProof/>
        </w:rPr>
        <w:tab/>
        <w:t xml:space="preserve">Когато се прилага член 6, параграф 2, приложимите документални доказателства за произход се определят в съответствие с правилата, установени в съответните договорености или споразумения. </w:t>
      </w:r>
    </w:p>
    <w:p>
      <w:pPr>
        <w:pStyle w:val="ManualNumPar1"/>
        <w:rPr>
          <w:noProof/>
        </w:rPr>
      </w:pPr>
      <w:r>
        <w:rPr>
          <w:noProof/>
        </w:rPr>
        <w:t>5.</w:t>
      </w:r>
      <w:r>
        <w:rPr>
          <w:noProof/>
        </w:rPr>
        <w:tab/>
        <w:t>Доставчикът изготвя отделна декларация за всяка пратка от стоки върху търговската фактура, отнасяща се до тази доставка, или като приложение към тази фактура, или върху известие за доставка или друг търговски документ, отнасящ се до тази доставка, който описва съответните материали достатъчно подробно, за да могат те да бъдат идентифицирани.</w:t>
      </w:r>
    </w:p>
    <w:p>
      <w:pPr>
        <w:pStyle w:val="ManualNumPar1"/>
        <w:rPr>
          <w:noProof/>
        </w:rPr>
      </w:pPr>
      <w:r>
        <w:rPr>
          <w:noProof/>
        </w:rPr>
        <w:t>6.</w:t>
      </w:r>
      <w:r>
        <w:rPr>
          <w:noProof/>
        </w:rPr>
        <w:tab/>
        <w:t xml:space="preserve">Независимо от разпоредбите на параграф 5 и когато се прилага член 4, когато даден доставчик от ИАО редовно доставя на определен клиент от държавите партньори от ИАО стоки, чийто статут по отношение на действащите правила за преференциалния произход се очаква да остане постоянен за значителни периоди от време, той може да представи една-единствена декларация, която да обхваща последващите доставки на тези стоки, наричана по-долу „дългосрочна декларация на доставчик“. </w:t>
      </w:r>
      <w:r>
        <w:rPr>
          <w:noProof/>
        </w:rPr>
        <w:lastRenderedPageBreak/>
        <w:t>Дългосрочна декларация на доставчик може да се издаде за срок не по-дълъг от една (1) година от датата на нейното издаване. Доставчикът уведомява незабавно купувача, когато дългосрочната декларация на доставчика вече не е валидна за доставяните стоки.</w:t>
      </w:r>
    </w:p>
    <w:p>
      <w:pPr>
        <w:pStyle w:val="ManualNumPar1"/>
        <w:rPr>
          <w:noProof/>
        </w:rPr>
      </w:pPr>
      <w:r>
        <w:rPr>
          <w:noProof/>
        </w:rPr>
        <w:t>7.</w:t>
      </w:r>
      <w:r>
        <w:rPr>
          <w:noProof/>
        </w:rPr>
        <w:tab/>
        <w:t>Когато се прилага параграф 6, доказателството за притежаване на статут на продукти с произход по смисъла на настоящия протокол от материалите, доставени от държава партньор от ИАО, се представя чрез дългосрочната декларация на доставчика, чийто образец фигурира в приложение VВ. Доказателството за обработката или преработката, извършени в държава партньор от ИАО, се представя чрез дългосрочната декларация на доставчика, чийто образец фигурира в приложение VГ.</w:t>
      </w:r>
    </w:p>
    <w:p>
      <w:pPr>
        <w:pStyle w:val="ManualNumPar1"/>
        <w:rPr>
          <w:noProof/>
        </w:rPr>
      </w:pPr>
      <w:r>
        <w:rPr>
          <w:noProof/>
        </w:rPr>
        <w:t>8.</w:t>
      </w:r>
      <w:r>
        <w:rPr>
          <w:noProof/>
        </w:rPr>
        <w:tab/>
        <w:t xml:space="preserve">Декларацията на доставчика или дългосрочната декларация на доставчика, както е посочено в параграф 6, може да бъде направена върху предварително отпечатан формуляр. </w:t>
      </w:r>
    </w:p>
    <w:p>
      <w:pPr>
        <w:pStyle w:val="ManualNumPar1"/>
        <w:rPr>
          <w:noProof/>
        </w:rPr>
      </w:pPr>
      <w:r>
        <w:rPr>
          <w:noProof/>
        </w:rPr>
        <w:t>9.</w:t>
      </w:r>
      <w:r>
        <w:rPr>
          <w:noProof/>
        </w:rPr>
        <w:tab/>
        <w:t xml:space="preserve">На декларациите на доставчика или на дългосрочната декларация на доставчика, както е посочено в параграф 6, се поставя собственоръчно оригиналният подпис на доставчика. Когато декларацията за произход и декларацията на доставчика обаче са изготвени посредством методи за електронна обработка на данни, не е необходимо декларацията на доставчика да е подписана собственоръчно, при условие че отговорното длъжностно лице в дружеството доставчик е идентифицирано по удовлетворителен за митническите органи начин в държавата, в която са изготвени декларациите на доставчика. Посочените митнически органи могат да определят условия за прилагането на настоящия параграф. </w:t>
      </w:r>
    </w:p>
    <w:p>
      <w:pPr>
        <w:pStyle w:val="ManualNumPar1"/>
        <w:rPr>
          <w:noProof/>
        </w:rPr>
      </w:pPr>
      <w:r>
        <w:rPr>
          <w:noProof/>
        </w:rPr>
        <w:t>10.</w:t>
      </w:r>
      <w:r>
        <w:rPr>
          <w:noProof/>
        </w:rPr>
        <w:tab/>
        <w:t xml:space="preserve">Декларациите на доставчика или дългосрочната декларация на доставчика, както е посочено в параграф 6, се представят на митническите органи в държавата износител, от които е поискано издаването на сертификата за движение EUR 1. </w:t>
      </w:r>
    </w:p>
    <w:p>
      <w:pPr>
        <w:pStyle w:val="ManualNumPar1"/>
        <w:rPr>
          <w:noProof/>
        </w:rPr>
      </w:pPr>
      <w:r>
        <w:rPr>
          <w:noProof/>
        </w:rPr>
        <w:t>11.</w:t>
      </w:r>
      <w:r>
        <w:rPr>
          <w:noProof/>
        </w:rPr>
        <w:tab/>
        <w:t>Доставчикът или извършващият дългосрочни доставки доставчик, който изготвя декларация, трябва да бъде готов да представи по всяко време, по искане на митническите органи на държавата, в която се изготвя декларацията, всички необходими документи, доказващи, че посочената в декларацията информация е вярна.</w:t>
      </w:r>
    </w:p>
    <w:p>
      <w:pPr>
        <w:pStyle w:val="Titrearticle"/>
        <w:rPr>
          <w:noProof/>
        </w:rPr>
      </w:pPr>
      <w:r>
        <w:rPr>
          <w:noProof/>
        </w:rPr>
        <w:t>ЧЛЕН 29</w:t>
      </w:r>
    </w:p>
    <w:p>
      <w:pPr>
        <w:jc w:val="center"/>
        <w:rPr>
          <w:b/>
          <w:noProof/>
        </w:rPr>
      </w:pPr>
      <w:r>
        <w:rPr>
          <w:b/>
          <w:noProof/>
        </w:rPr>
        <w:t>Подкрепящи документи</w:t>
      </w:r>
    </w:p>
    <w:p>
      <w:pPr>
        <w:rPr>
          <w:noProof/>
        </w:rPr>
      </w:pPr>
      <w:r>
        <w:rPr>
          <w:noProof/>
        </w:rPr>
        <w:t xml:space="preserve">Документите, посочени в член 18, параграф 3 и в член 22, параграф 3, които се използват с цел доказване, че продуктите, обхванати от сертификат за движение EUR 1 или от декларация за произход, могат да бъдат считани за продукти с произход от държава партньор от ИАО, от ЕС или от някоя от другите държави или територии, посочени в член 4, член 5 и в член 6, параграф 2, както и че изпълняват другите изисквания на настоящия протокол, могат да се състоят от, </w:t>
      </w:r>
      <w:r>
        <w:rPr>
          <w:i/>
          <w:noProof/>
        </w:rPr>
        <w:t>inter alia</w:t>
      </w:r>
      <w:r>
        <w:rPr>
          <w:noProof/>
        </w:rPr>
        <w:t xml:space="preserve">, следното: </w:t>
      </w:r>
    </w:p>
    <w:p>
      <w:pPr>
        <w:pStyle w:val="Point0"/>
        <w:rPr>
          <w:noProof/>
        </w:rPr>
      </w:pPr>
      <w:r>
        <w:rPr>
          <w:noProof/>
        </w:rPr>
        <w:t>а)</w:t>
      </w:r>
      <w:r>
        <w:rPr>
          <w:noProof/>
        </w:rPr>
        <w:tab/>
        <w:t xml:space="preserve">пряко доказателство за операциите, извършени от износителя или доставчика за получаване на съответните стоки, съдържащо се например в неговите счетоводни документи или във вътрешното му счетоводство; </w:t>
      </w:r>
    </w:p>
    <w:p>
      <w:pPr>
        <w:pStyle w:val="Point0"/>
        <w:rPr>
          <w:noProof/>
        </w:rPr>
      </w:pPr>
      <w:r>
        <w:rPr>
          <w:noProof/>
        </w:rPr>
        <w:lastRenderedPageBreak/>
        <w:t>б)</w:t>
      </w:r>
      <w:r>
        <w:rPr>
          <w:noProof/>
        </w:rPr>
        <w:tab/>
        <w:t xml:space="preserve">документи, с които се доказва притежаването от използваните материали на статут на материали с произход и които са издадени или изготвени в държава партньор от ИАО, в ЕС или в някоя от другите държави или територии, посочени в член 4, член 5 и член 6, параграф 2, когато тези документи се използват в съответствие с националното законодателство; </w:t>
      </w:r>
    </w:p>
    <w:p>
      <w:pPr>
        <w:pStyle w:val="Point0"/>
        <w:rPr>
          <w:noProof/>
        </w:rPr>
      </w:pPr>
      <w:r>
        <w:rPr>
          <w:noProof/>
        </w:rPr>
        <w:t>в)</w:t>
      </w:r>
      <w:r>
        <w:rPr>
          <w:noProof/>
        </w:rPr>
        <w:tab/>
        <w:t xml:space="preserve">документи, с които се доказва обработката или преработката на материалите в държава партньор от ИАО, в ЕС или в някоя от другите държави или територии, посочени в членове 4 и 5, и които са издадени или изготвени в държава партньор от ИАО, в ЕС или в някоя от другите държави или територии, посочени в членове 4 и 5, когато тези документи се използват в съответствие с националното законодателство; </w:t>
      </w:r>
    </w:p>
    <w:p>
      <w:pPr>
        <w:pStyle w:val="Point0"/>
        <w:rPr>
          <w:noProof/>
        </w:rPr>
      </w:pPr>
      <w:r>
        <w:rPr>
          <w:noProof/>
        </w:rPr>
        <w:t>г)</w:t>
      </w:r>
      <w:r>
        <w:rPr>
          <w:noProof/>
        </w:rPr>
        <w:tab/>
        <w:t xml:space="preserve">сертификати за движение EUR 1 или декларации за произход, доказващи притежаването от използваните материали на статут на материали с произход и издадени или изготвени в държава партньор от ИАО, в ЕС или в някоя от другите държави или територии, посочени в член 4, член 5 и член 6, параграф 2, и в съответствие с настоящия протокол. </w:t>
      </w:r>
    </w:p>
    <w:p>
      <w:pPr>
        <w:pStyle w:val="Titrearticle"/>
        <w:rPr>
          <w:noProof/>
        </w:rPr>
      </w:pPr>
      <w:r>
        <w:rPr>
          <w:noProof/>
        </w:rPr>
        <w:t>ЧЛЕН 30</w:t>
      </w:r>
    </w:p>
    <w:p>
      <w:pPr>
        <w:jc w:val="center"/>
        <w:rPr>
          <w:b/>
          <w:noProof/>
        </w:rPr>
      </w:pPr>
      <w:r>
        <w:rPr>
          <w:b/>
          <w:noProof/>
        </w:rPr>
        <w:t>Съхранение на доказателствата за произход и на подкрепящите документи</w:t>
      </w:r>
    </w:p>
    <w:p>
      <w:pPr>
        <w:pStyle w:val="ManualNumPar1"/>
        <w:rPr>
          <w:noProof/>
        </w:rPr>
      </w:pPr>
      <w:r>
        <w:rPr>
          <w:noProof/>
        </w:rPr>
        <w:t>1.</w:t>
      </w:r>
      <w:r>
        <w:rPr>
          <w:noProof/>
        </w:rPr>
        <w:tab/>
        <w:t xml:space="preserve">Износителят, който подава заявление за издаването на сертификат за движение EUR 1, съхранява документите, посочени в член 18, параграф 3, за срок от пет (5) години в държавите партньори от ИАО и за срок от най-малко три (3) години в ЕС. </w:t>
      </w:r>
    </w:p>
    <w:p>
      <w:pPr>
        <w:pStyle w:val="ManualNumPar1"/>
        <w:rPr>
          <w:noProof/>
        </w:rPr>
      </w:pPr>
      <w:r>
        <w:rPr>
          <w:noProof/>
        </w:rPr>
        <w:t>2.</w:t>
      </w:r>
      <w:r>
        <w:rPr>
          <w:noProof/>
        </w:rPr>
        <w:tab/>
        <w:t xml:space="preserve">Износителят, който изготвя декларация за произход, съхранява най-малко три (3) години копие от тази декларация за произход, както и документите, посочени в член 22, параграф 3. </w:t>
      </w:r>
    </w:p>
    <w:p>
      <w:pPr>
        <w:pStyle w:val="ManualNumPar1"/>
        <w:rPr>
          <w:noProof/>
        </w:rPr>
      </w:pPr>
      <w:r>
        <w:rPr>
          <w:noProof/>
        </w:rPr>
        <w:t>3.</w:t>
      </w:r>
      <w:r>
        <w:rPr>
          <w:noProof/>
        </w:rPr>
        <w:tab/>
        <w:t>Доставчикът, който изготвя декларация на доставчика, съхранява копия от декларацията и от фактурата, от известията за доставка или от друг търговски документ, към които е прикрепена тази декларация, както и документите, посочени в член 29, за срок от пет (5) години в държавите партньори от ИАО и за срок от най-малко три (3) години в ЕС.</w:t>
      </w:r>
    </w:p>
    <w:p>
      <w:pPr>
        <w:pStyle w:val="ManualNumPar1"/>
        <w:rPr>
          <w:noProof/>
        </w:rPr>
      </w:pPr>
      <w:r>
        <w:rPr>
          <w:noProof/>
        </w:rPr>
        <w:t>4.</w:t>
      </w:r>
      <w:r>
        <w:rPr>
          <w:noProof/>
        </w:rPr>
        <w:tab/>
        <w:t xml:space="preserve">Митническите органи на държавата износител, които издават сертификат за движение EUR 1, съхраняват заявлението, посочено в член 18, параграф 2, за срок от пет (5) години в държавите партньори от ИАО и за срок от най-малко три (3) години в ЕС. </w:t>
      </w:r>
    </w:p>
    <w:p>
      <w:pPr>
        <w:pStyle w:val="ManualNumPar1"/>
        <w:rPr>
          <w:noProof/>
        </w:rPr>
      </w:pPr>
      <w:r>
        <w:rPr>
          <w:noProof/>
        </w:rPr>
        <w:t>5.</w:t>
      </w:r>
      <w:r>
        <w:rPr>
          <w:noProof/>
        </w:rPr>
        <w:tab/>
        <w:t xml:space="preserve">Митническите органи на държавата вносител съхраняват сертификатите за движение EUR 1 и декларациите за произход, които са им представени, за срок от пет (5) години в държавите партньори от ИАО и за срок от най-малко три (3) години в ЕС. </w:t>
      </w:r>
    </w:p>
    <w:p>
      <w:pPr>
        <w:pStyle w:val="Titrearticle"/>
        <w:rPr>
          <w:noProof/>
        </w:rPr>
      </w:pPr>
      <w:r>
        <w:rPr>
          <w:noProof/>
        </w:rPr>
        <w:t>ЧЛЕН 31</w:t>
      </w:r>
    </w:p>
    <w:p>
      <w:pPr>
        <w:jc w:val="center"/>
        <w:rPr>
          <w:b/>
          <w:noProof/>
        </w:rPr>
      </w:pPr>
      <w:r>
        <w:rPr>
          <w:b/>
          <w:noProof/>
        </w:rPr>
        <w:t>Несъответствия и технически грешки</w:t>
      </w:r>
    </w:p>
    <w:p>
      <w:pPr>
        <w:pStyle w:val="ManualNumPar1"/>
        <w:rPr>
          <w:noProof/>
        </w:rPr>
      </w:pPr>
      <w:r>
        <w:rPr>
          <w:noProof/>
        </w:rPr>
        <w:t>1.</w:t>
      </w:r>
      <w:r>
        <w:rPr>
          <w:noProof/>
        </w:rPr>
        <w:tab/>
        <w:t xml:space="preserve">Откриването на несъществени несъответствия между данните, посочени в доказателството за произход, и тези, посочени в документите, предоставени на </w:t>
      </w:r>
      <w:r>
        <w:rPr>
          <w:noProof/>
        </w:rPr>
        <w:lastRenderedPageBreak/>
        <w:t xml:space="preserve">митническото учреждение с цел осъществяване на формалностите по вноса на продуктите, не прави </w:t>
      </w:r>
      <w:r>
        <w:rPr>
          <w:i/>
          <w:noProof/>
        </w:rPr>
        <w:t>ipso facto</w:t>
      </w:r>
      <w:r>
        <w:rPr>
          <w:noProof/>
        </w:rPr>
        <w:t xml:space="preserve"> доказателството за произход нищожно, ако надлежно бъде установено, че този документ съответства на представените продукти. </w:t>
      </w:r>
    </w:p>
    <w:p>
      <w:pPr>
        <w:pStyle w:val="ManualNumPar1"/>
        <w:rPr>
          <w:noProof/>
        </w:rPr>
      </w:pPr>
      <w:r>
        <w:rPr>
          <w:noProof/>
        </w:rPr>
        <w:t>2.</w:t>
      </w:r>
      <w:r>
        <w:rPr>
          <w:noProof/>
        </w:rPr>
        <w:tab/>
        <w:t xml:space="preserve">Очевидните технически грешки, като например печатни грешки в доказателство за произход, не следва да бъдат причина този документ да бъде отхвърлен, ако тези грешки не са такива, че да предизвикват съмнения относно верността на изявленията, направени в този документ. </w:t>
      </w:r>
    </w:p>
    <w:p>
      <w:pPr>
        <w:pStyle w:val="Titrearticle"/>
        <w:rPr>
          <w:noProof/>
        </w:rPr>
      </w:pPr>
      <w:r>
        <w:rPr>
          <w:noProof/>
        </w:rPr>
        <w:t>ЧЛЕН 32</w:t>
      </w:r>
    </w:p>
    <w:p>
      <w:pPr>
        <w:jc w:val="center"/>
        <w:rPr>
          <w:b/>
          <w:noProof/>
        </w:rPr>
      </w:pPr>
      <w:r>
        <w:rPr>
          <w:b/>
          <w:noProof/>
        </w:rPr>
        <w:t>Суми, изразени в евро, за стоките, посочени в член 22, параграф 1, буква б) и в член 27, параграф 3</w:t>
      </w:r>
    </w:p>
    <w:p>
      <w:pPr>
        <w:pStyle w:val="ManualNumPar1"/>
        <w:rPr>
          <w:noProof/>
        </w:rPr>
      </w:pPr>
      <w:r>
        <w:rPr>
          <w:noProof/>
        </w:rPr>
        <w:t>1.</w:t>
      </w:r>
      <w:r>
        <w:rPr>
          <w:noProof/>
        </w:rPr>
        <w:tab/>
        <w:t>За целите на прилагането на разпоредбите на член 22, параграф 1, буква б) и на член 27, параграф 3 в случаите, в които продуктите са фактурирани във валута, различна от евро, сумите в националните валути на държава партньор от ИАО, на държавите — членки на Европейския съюз и на другите държави или територии, посочени в членове 3, 4, 5 и 6, равностойни на сумите, изразени в евро, се определят ежегодно съгласно параграфи 2 — 4. Фиксираните обменни курсове не са приложими за данъчни цели.</w:t>
      </w:r>
    </w:p>
    <w:p>
      <w:pPr>
        <w:pStyle w:val="ManualNumPar1"/>
        <w:rPr>
          <w:noProof/>
        </w:rPr>
      </w:pPr>
      <w:r>
        <w:rPr>
          <w:noProof/>
        </w:rPr>
        <w:t>2.</w:t>
      </w:r>
      <w:r>
        <w:rPr>
          <w:noProof/>
        </w:rPr>
        <w:tab/>
        <w:t>Дадена пратка може да се ползва от разпоредбите на член 22, параграф 1, буква б) или на член 27, параграф 3, като за основа се използва валутата, в която е съставена фактурата, съгласно сумата, определена от съответната държава.</w:t>
      </w:r>
    </w:p>
    <w:p>
      <w:pPr>
        <w:pStyle w:val="ManualNumPar1"/>
        <w:rPr>
          <w:noProof/>
        </w:rPr>
      </w:pPr>
      <w:r>
        <w:rPr>
          <w:noProof/>
        </w:rPr>
        <w:t>3.</w:t>
      </w:r>
      <w:r>
        <w:rPr>
          <w:noProof/>
        </w:rPr>
        <w:tab/>
        <w:t>Сумите, които следва да се използват в която и да е национална валута, представляват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важат от 1 януари на следващата година. Европейската комисия уведомява всички съответни държави за съответните суми.</w:t>
      </w:r>
    </w:p>
    <w:p>
      <w:pPr>
        <w:pStyle w:val="ManualNumPar1"/>
        <w:rPr>
          <w:noProof/>
        </w:rPr>
      </w:pPr>
      <w:r>
        <w:rPr>
          <w:noProof/>
        </w:rPr>
        <w:t>4.</w:t>
      </w:r>
      <w:r>
        <w:rPr>
          <w:noProof/>
        </w:rPr>
        <w:tab/>
        <w:t>Дадена държава може да закръглява нагоре или надолу сумата, получена от конвертирането в националната ѝ валута на сума, изразена в евро. Закръглената сума не може да се различава с повече от 5 % от сумата, получена в резултат на конвертирането. Дадена държава може да запази непроменена равностойността в своята национална валута на сума, изразена в евро, ако по време на годишното адаптиране, предвидено в параграф 3, конвертирането на тази сума, преди всякакво закръгляване, води до увеличаване с по-малко от 15 % на равностойността в националната валута. Равностойността в национална валута може да остане непроменена, ако конвертирането би довело до намаляване на размера на тази равностойност.</w:t>
      </w:r>
    </w:p>
    <w:p>
      <w:pPr>
        <w:pStyle w:val="ManualNumPar1"/>
        <w:rPr>
          <w:i/>
          <w:noProof/>
        </w:rPr>
      </w:pPr>
      <w:r>
        <w:rPr>
          <w:noProof/>
        </w:rPr>
        <w:t>5.</w:t>
      </w:r>
      <w:r>
        <w:rPr>
          <w:noProof/>
        </w:rPr>
        <w:tab/>
        <w:t>Сумите, изразени в евро, се преразглеждат от Комитета по искане на ЕС или на държавите партньори от ИАО. При извършване на това преразглеждане Комитетът преценява целесъобразността от запазване на последиците от съответните ограничения в реално изражение. За тази цел той може да реши да промени сумите, изразени в евро.</w:t>
      </w:r>
    </w:p>
    <w:p>
      <w:pPr>
        <w:jc w:val="center"/>
        <w:rPr>
          <w:b/>
          <w:noProof/>
        </w:rPr>
      </w:pPr>
      <w:bookmarkStart w:id="6" w:name="_Toc204060728"/>
      <w:r>
        <w:rPr>
          <w:b/>
          <w:noProof/>
        </w:rPr>
        <w:t>ДЯЛ V</w:t>
      </w:r>
    </w:p>
    <w:p>
      <w:pPr>
        <w:jc w:val="center"/>
        <w:rPr>
          <w:b/>
          <w:noProof/>
        </w:rPr>
      </w:pPr>
      <w:r>
        <w:rPr>
          <w:b/>
          <w:noProof/>
        </w:rPr>
        <w:lastRenderedPageBreak/>
        <w:t>АДМИНИСТРАТИВНО СЪТРУДНИЧЕСТВО</w:t>
      </w:r>
      <w:bookmarkEnd w:id="6"/>
    </w:p>
    <w:p>
      <w:pPr>
        <w:pStyle w:val="Titrearticle"/>
        <w:rPr>
          <w:noProof/>
        </w:rPr>
      </w:pPr>
      <w:r>
        <w:rPr>
          <w:noProof/>
        </w:rPr>
        <w:t>ЧЛЕН 33</w:t>
      </w:r>
    </w:p>
    <w:p>
      <w:pPr>
        <w:jc w:val="center"/>
        <w:rPr>
          <w:b/>
          <w:noProof/>
        </w:rPr>
      </w:pPr>
      <w:r>
        <w:rPr>
          <w:b/>
          <w:noProof/>
        </w:rPr>
        <w:t>Административни условия, на които трябва да отговарят продуктите, за да могат да се ползват от разпоредбите на настоящото споразумение</w:t>
      </w:r>
    </w:p>
    <w:p>
      <w:pPr>
        <w:pStyle w:val="ManualNumPar1"/>
        <w:rPr>
          <w:noProof/>
        </w:rPr>
      </w:pPr>
      <w:r>
        <w:rPr>
          <w:noProof/>
        </w:rPr>
        <w:t>1.</w:t>
      </w:r>
      <w:r>
        <w:rPr>
          <w:noProof/>
        </w:rPr>
        <w:tab/>
        <w:t>Продуктите, които по смисъла на настоящия протокол са с произход от държавите партньори от ИАО или от ЕС, се ползват към момента на представянето на митническата декларация за внос от произтичащите от настоящото споразумение преференции единствено при условие че тези продукти са били изнесени на датата или след датата, на която държавата износител е изпълнила предвидените в параграф 2 разпоредби.</w:t>
      </w:r>
    </w:p>
    <w:p>
      <w:pPr>
        <w:pStyle w:val="ManualNumPar1"/>
        <w:rPr>
          <w:noProof/>
        </w:rPr>
      </w:pPr>
      <w:r>
        <w:rPr>
          <w:noProof/>
        </w:rPr>
        <w:t>2.</w:t>
      </w:r>
      <w:r>
        <w:rPr>
          <w:noProof/>
        </w:rPr>
        <w:tab/>
        <w:t>Страните се ангажират да въведат:</w:t>
      </w:r>
    </w:p>
    <w:p>
      <w:pPr>
        <w:pStyle w:val="Point1"/>
        <w:rPr>
          <w:noProof/>
        </w:rPr>
      </w:pPr>
      <w:r>
        <w:rPr>
          <w:noProof/>
        </w:rPr>
        <w:t>а)</w:t>
      </w:r>
      <w:r>
        <w:rPr>
          <w:noProof/>
        </w:rPr>
        <w:tab/>
        <w:t>съответните мерки на национално и регионално равнище, необходими за прилагане и спазване на правилата и процедурите, установени в настоящия протокол, включително, когато е целесъобразно, мерките, необходими за прилагането на членове 4, 5 и 6;</w:t>
      </w:r>
    </w:p>
    <w:p>
      <w:pPr>
        <w:pStyle w:val="Point1"/>
        <w:rPr>
          <w:noProof/>
        </w:rPr>
      </w:pPr>
      <w:r>
        <w:rPr>
          <w:noProof/>
        </w:rPr>
        <w:t>б)</w:t>
      </w:r>
      <w:r>
        <w:rPr>
          <w:noProof/>
        </w:rPr>
        <w:tab/>
        <w:t>административните структури и системи, необходими за подходящо управление и контрол на произхода на продуктите и за изпълнението на останалите предвидени в настоящия протокол условия.</w:t>
      </w:r>
    </w:p>
    <w:p>
      <w:pPr>
        <w:pStyle w:val="ManualNumPar1"/>
        <w:rPr>
          <w:noProof/>
        </w:rPr>
      </w:pPr>
      <w:r>
        <w:rPr>
          <w:noProof/>
        </w:rPr>
        <w:t>3.</w:t>
      </w:r>
      <w:r>
        <w:rPr>
          <w:noProof/>
        </w:rPr>
        <w:tab/>
        <w:t>Страните съобщават информацията, посочена в член 34 от настоящия протокол.</w:t>
      </w:r>
    </w:p>
    <w:p>
      <w:pPr>
        <w:pStyle w:val="Titrearticle"/>
        <w:rPr>
          <w:noProof/>
        </w:rPr>
      </w:pPr>
      <w:r>
        <w:rPr>
          <w:noProof/>
        </w:rPr>
        <w:t>ЧЛЕН 34</w:t>
      </w:r>
    </w:p>
    <w:p>
      <w:pPr>
        <w:jc w:val="center"/>
        <w:rPr>
          <w:b/>
          <w:noProof/>
        </w:rPr>
      </w:pPr>
      <w:r>
        <w:rPr>
          <w:b/>
          <w:noProof/>
        </w:rPr>
        <w:t>Съобщаване на информация на митническите органи</w:t>
      </w:r>
    </w:p>
    <w:p>
      <w:pPr>
        <w:pStyle w:val="ManualNumPar1"/>
        <w:rPr>
          <w:i/>
          <w:noProof/>
        </w:rPr>
      </w:pPr>
      <w:r>
        <w:rPr>
          <w:noProof/>
        </w:rPr>
        <w:t>1.</w:t>
      </w:r>
      <w:r>
        <w:rPr>
          <w:noProof/>
        </w:rPr>
        <w:tab/>
        <w:t>Държавите партньори от ИАО и държавите — членки на Европейския съюз, си предоставят взаимно, чрез секретариата на ИАО и Европейската комисия, адресите на митническите органи, които отговарят за издаването и проверката на сертификатите за движение EUR 1 и на декларациите за произход или на декларациите на доставчика, както и образци от отпечатъците на печатите, използвани от техните митнически учреждения за издаване на тези сертификати.</w:t>
      </w:r>
    </w:p>
    <w:p>
      <w:pPr>
        <w:pStyle w:val="Text1"/>
        <w:rPr>
          <w:noProof/>
        </w:rPr>
      </w:pPr>
      <w:r>
        <w:rPr>
          <w:noProof/>
        </w:rPr>
        <w:t>Сертификатите за движение EUR 1 и декларациите за произход или декларациите на доставчика се приемат за целите на прилагането на преференциалното третиране от датата, на която информацията бъде получена от секретариата на ИАО и от Европейската комисия.</w:t>
      </w:r>
    </w:p>
    <w:p>
      <w:pPr>
        <w:pStyle w:val="ManualNumPar1"/>
        <w:rPr>
          <w:noProof/>
        </w:rPr>
      </w:pPr>
      <w:r>
        <w:rPr>
          <w:noProof/>
        </w:rPr>
        <w:t>2.</w:t>
      </w:r>
      <w:r>
        <w:rPr>
          <w:noProof/>
        </w:rPr>
        <w:tab/>
        <w:t>Държавите партньори от ИАО и държавите — членки на Европейския съюз се информират взаимно и незабавно за всички настъпили промени в информацията, посочена в параграф 1.</w:t>
      </w:r>
    </w:p>
    <w:p>
      <w:pPr>
        <w:pStyle w:val="ManualNumPar1"/>
        <w:rPr>
          <w:noProof/>
        </w:rPr>
      </w:pPr>
      <w:r>
        <w:rPr>
          <w:noProof/>
        </w:rPr>
        <w:t>3.</w:t>
      </w:r>
      <w:r>
        <w:rPr>
          <w:noProof/>
        </w:rPr>
        <w:tab/>
        <w:t>Посочените в параграф 1 органи действат под ръководството на правителството на съответната държава. Органите, отговарящи за контрола и проверките, са част от държавните органи на съответната държава.</w:t>
      </w:r>
    </w:p>
    <w:p>
      <w:pPr>
        <w:pStyle w:val="Titrearticle"/>
        <w:rPr>
          <w:noProof/>
        </w:rPr>
      </w:pPr>
      <w:r>
        <w:rPr>
          <w:noProof/>
        </w:rPr>
        <w:lastRenderedPageBreak/>
        <w:t>ЧЛЕН 35</w:t>
      </w:r>
    </w:p>
    <w:p>
      <w:pPr>
        <w:jc w:val="center"/>
        <w:rPr>
          <w:b/>
          <w:noProof/>
        </w:rPr>
      </w:pPr>
      <w:r>
        <w:rPr>
          <w:b/>
          <w:noProof/>
        </w:rPr>
        <w:t xml:space="preserve">Методи на административно сътрудничество </w:t>
      </w:r>
    </w:p>
    <w:p>
      <w:pPr>
        <w:pStyle w:val="ManualNumPar1"/>
        <w:rPr>
          <w:noProof/>
        </w:rPr>
      </w:pPr>
      <w:r>
        <w:rPr>
          <w:noProof/>
        </w:rPr>
        <w:t>1.</w:t>
      </w:r>
      <w:r>
        <w:rPr>
          <w:noProof/>
        </w:rPr>
        <w:tab/>
        <w:t xml:space="preserve">С цел да гарантират правилното прилагане на настоящия протокол, ЕС, държавите партньори от ИАО и другите държави и територии, посочени в членове 4, 5 и 6, си оказват взаимопомощ посредством компетентните митнически администрации при проверките на истинността на сертификатите за движение EUR 1, на декларациите за произход или на декларациите на доставчика и на верността на информацията, представена в тези документи. </w:t>
      </w:r>
    </w:p>
    <w:p>
      <w:pPr>
        <w:pStyle w:val="ManualNumPar1"/>
        <w:rPr>
          <w:noProof/>
        </w:rPr>
      </w:pPr>
      <w:r>
        <w:rPr>
          <w:noProof/>
        </w:rPr>
        <w:t>2.</w:t>
      </w:r>
      <w:r>
        <w:rPr>
          <w:noProof/>
        </w:rPr>
        <w:tab/>
        <w:t xml:space="preserve">Органите, с които се извършва консултирането, предоставят съответната информация относно условията, при които продуктът е произведен, като посочват по-специално условията, при които са спазени правилата за произход в различните държави партньори от ИАО, в ЕС и в съответните други държави и територии, посочени в членове 4, 5 и 6. </w:t>
      </w:r>
    </w:p>
    <w:p>
      <w:pPr>
        <w:pStyle w:val="Titrearticle"/>
        <w:rPr>
          <w:noProof/>
        </w:rPr>
      </w:pPr>
      <w:r>
        <w:rPr>
          <w:noProof/>
        </w:rPr>
        <w:t>ЧЛЕН 36</w:t>
      </w:r>
    </w:p>
    <w:p>
      <w:pPr>
        <w:jc w:val="center"/>
        <w:rPr>
          <w:b/>
          <w:noProof/>
        </w:rPr>
      </w:pPr>
      <w:r>
        <w:rPr>
          <w:b/>
          <w:noProof/>
        </w:rPr>
        <w:t>Проверка на доказателствата за произход</w:t>
      </w:r>
    </w:p>
    <w:p>
      <w:pPr>
        <w:pStyle w:val="ManualNumPar1"/>
        <w:rPr>
          <w:noProof/>
        </w:rPr>
      </w:pPr>
      <w:r>
        <w:rPr>
          <w:noProof/>
        </w:rPr>
        <w:t>1.</w:t>
      </w:r>
      <w:r>
        <w:rPr>
          <w:noProof/>
        </w:rPr>
        <w:tab/>
        <w:t xml:space="preserve">Последващите проверки на доказателствата за произход се извършват въз основа на анализ на риска и на принципа на случайния подбор или когато митническите органи на държавата вносител имат основателни съмнения относно истинността на такива документи, притежаването на статут на продукти с произход от въпросните продукти или изпълнението на другите изисквания на настоящия протокол. </w:t>
      </w:r>
    </w:p>
    <w:p>
      <w:pPr>
        <w:pStyle w:val="ManualNumPar1"/>
        <w:rPr>
          <w:noProof/>
        </w:rPr>
      </w:pPr>
      <w:r>
        <w:rPr>
          <w:noProof/>
        </w:rPr>
        <w:t>2.</w:t>
      </w:r>
      <w:r>
        <w:rPr>
          <w:noProof/>
        </w:rPr>
        <w:tab/>
        <w:t xml:space="preserve">За целите на прилагането на разпоредбите на параграф 1 митническите органи на държавата вносител връщат сертификата за движение EUR 1 и фактурата, ако същата е била представена, декларацията за произход или копие от тези документи на митническите органи на държавата износител, като при необходимост посочват причините за искането за проверка. Всички получени документи и информация, от които може да се предположи, че предоставената информация в доказателството за произход е невярна, се изпращат в подкрепа на искането за проверка. </w:t>
      </w:r>
    </w:p>
    <w:p>
      <w:pPr>
        <w:pStyle w:val="ManualNumPar1"/>
        <w:rPr>
          <w:noProof/>
        </w:rPr>
      </w:pPr>
      <w:r>
        <w:rPr>
          <w:noProof/>
        </w:rPr>
        <w:t>3.</w:t>
      </w:r>
      <w:r>
        <w:rPr>
          <w:noProof/>
        </w:rPr>
        <w:tab/>
        <w:t xml:space="preserve">Проверката се извършва от митническите органи на държавата износител. За тази цел те имат право да изискват всякакви доказателства и да извършват всякакви проверки на счетоводните документи на износителя или на производителя или всякакви други проверки, които сметнат за необходими. </w:t>
      </w:r>
    </w:p>
    <w:p>
      <w:pPr>
        <w:pStyle w:val="ManualNumPar1"/>
        <w:rPr>
          <w:noProof/>
        </w:rPr>
      </w:pPr>
      <w:r>
        <w:rPr>
          <w:noProof/>
        </w:rPr>
        <w:t>4.</w:t>
      </w:r>
      <w:r>
        <w:rPr>
          <w:noProof/>
        </w:rPr>
        <w:tab/>
        <w:t xml:space="preserve">Ако митническите органи на държавата вносител решат временно да преустановят предоставянето на преференциално третиране на съответните продукти в очакване на получаването на резултатите от проверката, на вносителя се предлага вдигане на продуктите след предприемането на всички обезпечителни мерки, които бъдат сметнати за необходими. </w:t>
      </w:r>
    </w:p>
    <w:p>
      <w:pPr>
        <w:pStyle w:val="ManualNumPar1"/>
        <w:rPr>
          <w:noProof/>
        </w:rPr>
      </w:pPr>
      <w:r>
        <w:rPr>
          <w:noProof/>
        </w:rPr>
        <w:t>5.</w:t>
      </w:r>
      <w:r>
        <w:rPr>
          <w:noProof/>
        </w:rPr>
        <w:tab/>
        <w:t xml:space="preserve">Митническите органи, поискали проверката, се информират във възможно най-кратък срок за резултатите от нея. Тези резултати трябва да сочат ясно дали документите са истински и дали въпросните продукти могат да се считат за продукти с произход от държава партньор от ИАО, от ЕС или от някоя от другите </w:t>
      </w:r>
      <w:r>
        <w:rPr>
          <w:noProof/>
        </w:rPr>
        <w:lastRenderedPageBreak/>
        <w:t>държави и територии, посочени в членове 3, 4, 5 и 6, както и дали изпълняват другите изисквания на настоящия протокол.</w:t>
      </w:r>
    </w:p>
    <w:p>
      <w:pPr>
        <w:pStyle w:val="ManualNumPar1"/>
        <w:rPr>
          <w:noProof/>
        </w:rPr>
      </w:pPr>
      <w:r>
        <w:rPr>
          <w:noProof/>
        </w:rPr>
        <w:t>6.</w:t>
      </w:r>
      <w:r>
        <w:rPr>
          <w:noProof/>
        </w:rPr>
        <w:tab/>
        <w:t>Ако в случаите на обосновано съмнение не се получи отговор в рамките на десет (10) месеца от датата на искането за проверка или ако отговорът не съдържа информация, за да се определи истинността на въпросния документ или действителния произход на продуктите, митническите органи, поискали проверката, отказват предоставянето на преференции, освен при наличие на изключителни обстоятелства.</w:t>
      </w:r>
    </w:p>
    <w:p>
      <w:pPr>
        <w:pStyle w:val="ManualNumPar1"/>
        <w:rPr>
          <w:noProof/>
        </w:rPr>
      </w:pPr>
      <w:r>
        <w:rPr>
          <w:noProof/>
        </w:rPr>
        <w:t>7.</w:t>
      </w:r>
      <w:r>
        <w:rPr>
          <w:noProof/>
        </w:rPr>
        <w:tab/>
        <w:t xml:space="preserve">Страните се позовават на член 7 от Протокол II относно административната взаимопомощ по митнически въпроси във връзка със съвместни разследвания, свързани с доказателствата за произход. </w:t>
      </w:r>
    </w:p>
    <w:p>
      <w:pPr>
        <w:pStyle w:val="Titrearticle"/>
        <w:rPr>
          <w:noProof/>
        </w:rPr>
      </w:pPr>
      <w:r>
        <w:rPr>
          <w:noProof/>
        </w:rPr>
        <w:t>ЧЛЕН 37</w:t>
      </w:r>
    </w:p>
    <w:p>
      <w:pPr>
        <w:jc w:val="center"/>
        <w:rPr>
          <w:b/>
          <w:noProof/>
        </w:rPr>
      </w:pPr>
      <w:r>
        <w:rPr>
          <w:b/>
          <w:noProof/>
        </w:rPr>
        <w:t>Проверка на декларациите на доставчика</w:t>
      </w:r>
    </w:p>
    <w:p>
      <w:pPr>
        <w:pStyle w:val="ManualNumPar1"/>
        <w:rPr>
          <w:noProof/>
        </w:rPr>
      </w:pPr>
      <w:r>
        <w:rPr>
          <w:noProof/>
        </w:rPr>
        <w:t>1.</w:t>
      </w:r>
      <w:r>
        <w:rPr>
          <w:noProof/>
        </w:rPr>
        <w:tab/>
        <w:t xml:space="preserve">Проверка на декларациите на доставчика се извършва въз основа на анализ на риска и на принципа на случайния подбор, или когато митническите органи на държавата, в която са били взети предвид такива декларации при издаването на сертификат за движение EUR 1 или при изготвяне на декларация за произход, имат основателни съмнения относно истинността на документа или верността на предоставената в този документ информация. </w:t>
      </w:r>
    </w:p>
    <w:p>
      <w:pPr>
        <w:pStyle w:val="ManualNumPar1"/>
        <w:rPr>
          <w:noProof/>
        </w:rPr>
      </w:pPr>
      <w:r>
        <w:rPr>
          <w:noProof/>
        </w:rPr>
        <w:t>2.</w:t>
      </w:r>
      <w:r>
        <w:rPr>
          <w:noProof/>
        </w:rPr>
        <w:tab/>
        <w:t xml:space="preserve">Митническите органи, пред които е представена декларация на доставчик, могат да поискат от митническите органи на държавата, в която е изготвена декларацията, да издадат информационен сертификат, чийто образец фигурира в приложение VI към настоящия протокол. Като алтернатива сертифициращите органи, на които е представена декларация на доставчик, могат да поискат от износителя да им представи информационен сертификат, издаден от митническите органи на държавата, в която е изготвена декларацията. </w:t>
      </w:r>
    </w:p>
    <w:p>
      <w:pPr>
        <w:pStyle w:val="Text1"/>
        <w:rPr>
          <w:noProof/>
        </w:rPr>
      </w:pPr>
      <w:r>
        <w:rPr>
          <w:noProof/>
        </w:rPr>
        <w:t>Копие от информационния сертификат се съхранява от учреждението, което го е издало, за срок от пет (5) години в случая на държавите партньори от ИАО и за срок от най-малко три (3) години в случая на ЕС.</w:t>
      </w:r>
    </w:p>
    <w:p>
      <w:pPr>
        <w:pStyle w:val="ManualNumPar1"/>
        <w:rPr>
          <w:noProof/>
        </w:rPr>
      </w:pPr>
      <w:r>
        <w:rPr>
          <w:noProof/>
        </w:rPr>
        <w:t>3.</w:t>
      </w:r>
      <w:r>
        <w:rPr>
          <w:noProof/>
        </w:rPr>
        <w:tab/>
        <w:t xml:space="preserve">Поискалите проверката митнически органи трябва да бъдат информирани в срок от десет (10) месеца за резултатите от нея. Резултатите трябва да сочат ясно дали информацията, предоставена в декларацията на доставчика, е вярна и да дават възможност на митническите органи да определят дали и до каква степен декларацията на доставчика може да се вземе предвид при издаването на сертификат за движение EUR 1 или при изготвянето на декларация за произход. </w:t>
      </w:r>
    </w:p>
    <w:p>
      <w:pPr>
        <w:pStyle w:val="ManualNumPar1"/>
        <w:rPr>
          <w:noProof/>
        </w:rPr>
      </w:pPr>
      <w:r>
        <w:rPr>
          <w:noProof/>
        </w:rPr>
        <w:t>4.</w:t>
      </w:r>
      <w:r>
        <w:rPr>
          <w:noProof/>
        </w:rPr>
        <w:tab/>
        <w:t xml:space="preserve">Проверката се извършва от митническите органи на държавата, в която е изготвена декларацията на доставчика. За тази цел те са оправомощени да изискват всякакви удостоверителни документи и да извършват всякакви проверки на счетоводните документи на доставчика или всякакъв друг контрол, който сметнат за необходим, с цел проверка на верността на декларацията на доставчика. </w:t>
      </w:r>
    </w:p>
    <w:p>
      <w:pPr>
        <w:pStyle w:val="ManualNumPar1"/>
        <w:rPr>
          <w:noProof/>
        </w:rPr>
      </w:pPr>
      <w:r>
        <w:rPr>
          <w:noProof/>
        </w:rPr>
        <w:lastRenderedPageBreak/>
        <w:t>5.</w:t>
      </w:r>
      <w:r>
        <w:rPr>
          <w:noProof/>
        </w:rPr>
        <w:tab/>
        <w:t xml:space="preserve">Всеки сертификат за движение EUR 1 или декларация за произход, издадени или изготвени въз основа на невярна декларация на доставчика, се считат за нищожни. </w:t>
      </w:r>
    </w:p>
    <w:p>
      <w:pPr>
        <w:pStyle w:val="Titrearticle"/>
        <w:rPr>
          <w:noProof/>
        </w:rPr>
      </w:pPr>
      <w:r>
        <w:rPr>
          <w:noProof/>
        </w:rPr>
        <w:t>ЧЛЕН 38</w:t>
      </w:r>
    </w:p>
    <w:p>
      <w:pPr>
        <w:jc w:val="center"/>
        <w:rPr>
          <w:b/>
          <w:noProof/>
        </w:rPr>
      </w:pPr>
      <w:r>
        <w:rPr>
          <w:b/>
          <w:noProof/>
        </w:rPr>
        <w:t>Уреждане на спорове</w:t>
      </w:r>
    </w:p>
    <w:p>
      <w:pPr>
        <w:rPr>
          <w:noProof/>
        </w:rPr>
      </w:pPr>
      <w:r>
        <w:rPr>
          <w:noProof/>
        </w:rPr>
        <w:t xml:space="preserve">Когато възникнат спорове във връзка с процедурите по проверка, посочени в членове 36 и 37, които не могат да бъдат решени между митническите органи, поискали проверката, и митническите органи, отговарящи за нейното извършване, или когато при тези спорове бъде повдигнат въпрос във връзка с тълкуването на настоящия протокол, те се отнасят до Комитета. </w:t>
      </w:r>
    </w:p>
    <w:p>
      <w:pPr>
        <w:rPr>
          <w:noProof/>
        </w:rPr>
      </w:pPr>
      <w:r>
        <w:rPr>
          <w:noProof/>
        </w:rPr>
        <w:t xml:space="preserve">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 </w:t>
      </w:r>
    </w:p>
    <w:p>
      <w:pPr>
        <w:pStyle w:val="Titrearticle"/>
        <w:rPr>
          <w:noProof/>
        </w:rPr>
      </w:pPr>
      <w:r>
        <w:rPr>
          <w:noProof/>
        </w:rPr>
        <w:t>ЧЛЕН 39</w:t>
      </w:r>
    </w:p>
    <w:p>
      <w:pPr>
        <w:jc w:val="center"/>
        <w:rPr>
          <w:b/>
          <w:noProof/>
        </w:rPr>
      </w:pPr>
      <w:r>
        <w:rPr>
          <w:b/>
          <w:noProof/>
        </w:rPr>
        <w:t>Санкции</w:t>
      </w:r>
    </w:p>
    <w:p>
      <w:pPr>
        <w:rPr>
          <w:noProof/>
        </w:rPr>
      </w:pPr>
      <w:r>
        <w:rPr>
          <w:noProof/>
        </w:rPr>
        <w:t xml:space="preserve">Налагат се санкции на всяко лице, което изготвя или става причина да бъде изготвен документ, съдържащ невярна информация за целите на получаването на преференциално третиране на продукти. </w:t>
      </w:r>
    </w:p>
    <w:p>
      <w:pPr>
        <w:pStyle w:val="Titrearticle"/>
        <w:rPr>
          <w:noProof/>
        </w:rPr>
      </w:pPr>
      <w:r>
        <w:rPr>
          <w:noProof/>
        </w:rPr>
        <w:t>ЧЛЕН 40</w:t>
      </w:r>
    </w:p>
    <w:p>
      <w:pPr>
        <w:jc w:val="center"/>
        <w:rPr>
          <w:b/>
          <w:noProof/>
        </w:rPr>
      </w:pPr>
      <w:r>
        <w:rPr>
          <w:b/>
          <w:noProof/>
        </w:rPr>
        <w:t>Дерогации</w:t>
      </w:r>
    </w:p>
    <w:p>
      <w:pPr>
        <w:pStyle w:val="ManualNumPar1"/>
        <w:rPr>
          <w:noProof/>
        </w:rPr>
      </w:pPr>
      <w:r>
        <w:rPr>
          <w:noProof/>
        </w:rPr>
        <w:t>1.</w:t>
      </w:r>
      <w:r>
        <w:rPr>
          <w:noProof/>
        </w:rPr>
        <w:tab/>
        <w:t>Дерогации от настоящия протокол могат да бъдат приемани от Комитета, когато развитието на съществуващите производства или създаването на нови производства в държавите партньори от ИАО оправдава това.</w:t>
      </w:r>
    </w:p>
    <w:p>
      <w:pPr>
        <w:pStyle w:val="Text1"/>
        <w:rPr>
          <w:noProof/>
        </w:rPr>
      </w:pPr>
      <w:r>
        <w:rPr>
          <w:noProof/>
        </w:rPr>
        <w:t>Преди или едновременно с подаването на искането за дерогация до Комитета заинтересованата(ите) държава(и) партньор(и) от ИАО уведомява(т) ЕС за своето искане за дерогация, заедно с основанията за него в съответствие с параграф 2.</w:t>
      </w:r>
    </w:p>
    <w:p>
      <w:pPr>
        <w:pStyle w:val="Text1"/>
        <w:rPr>
          <w:noProof/>
        </w:rPr>
      </w:pPr>
      <w:r>
        <w:rPr>
          <w:noProof/>
        </w:rPr>
        <w:t>ЕС удовлетворява всички искания на държавите партньори от ИАО, които са надлежно обосновани в съответствие с настоящия член и които не могат да причинят сериозна вреда на вече установена промишленост в ЕС.</w:t>
      </w:r>
    </w:p>
    <w:p>
      <w:pPr>
        <w:pStyle w:val="ManualNumPar1"/>
        <w:rPr>
          <w:noProof/>
        </w:rPr>
      </w:pPr>
      <w:r>
        <w:rPr>
          <w:noProof/>
        </w:rPr>
        <w:t>2.</w:t>
      </w:r>
      <w:r>
        <w:rPr>
          <w:noProof/>
        </w:rPr>
        <w:tab/>
        <w:t>За да подпомогне(ат) разглеждането от Комитета на искането за дерогация, държавата(ите) партньор(и) от ИАО, която(които) е(са) отправила(и) искането, предоставя(т) в подкрепа на искането си възможно най-пълна информация посредством формуляра, посочен в приложение VII към настоящия протокол, обхващаща по-специално следните точки:</w:t>
      </w:r>
    </w:p>
    <w:p>
      <w:pPr>
        <w:pStyle w:val="Point1"/>
        <w:rPr>
          <w:noProof/>
        </w:rPr>
      </w:pPr>
      <w:r>
        <w:rPr>
          <w:noProof/>
        </w:rPr>
        <w:t>а)</w:t>
      </w:r>
      <w:r>
        <w:rPr>
          <w:noProof/>
        </w:rPr>
        <w:tab/>
        <w:t>описание на завършения продукт;</w:t>
      </w:r>
    </w:p>
    <w:p>
      <w:pPr>
        <w:pStyle w:val="Point1"/>
        <w:rPr>
          <w:noProof/>
        </w:rPr>
      </w:pPr>
      <w:r>
        <w:rPr>
          <w:noProof/>
        </w:rPr>
        <w:t>б)</w:t>
      </w:r>
      <w:r>
        <w:rPr>
          <w:noProof/>
        </w:rPr>
        <w:tab/>
        <w:t>естество и количество на материалите с произход от трета държава;</w:t>
      </w:r>
    </w:p>
    <w:p>
      <w:pPr>
        <w:pStyle w:val="Point1"/>
        <w:rPr>
          <w:noProof/>
        </w:rPr>
      </w:pPr>
      <w:r>
        <w:rPr>
          <w:noProof/>
        </w:rPr>
        <w:lastRenderedPageBreak/>
        <w:t>в)</w:t>
      </w:r>
      <w:r>
        <w:rPr>
          <w:noProof/>
        </w:rPr>
        <w:tab/>
        <w:t>естество и количество на материалите с произход от държавите партньори от ИАО или от държавите или териториите, посочени в членове 4 и 5, или на материалите, които са били преработени в тях;</w:t>
      </w:r>
    </w:p>
    <w:p>
      <w:pPr>
        <w:pStyle w:val="Point1"/>
        <w:rPr>
          <w:noProof/>
        </w:rPr>
      </w:pPr>
      <w:r>
        <w:rPr>
          <w:noProof/>
        </w:rPr>
        <w:t>г)</w:t>
      </w:r>
      <w:r>
        <w:rPr>
          <w:noProof/>
        </w:rPr>
        <w:tab/>
        <w:t>методи на производство;</w:t>
      </w:r>
    </w:p>
    <w:p>
      <w:pPr>
        <w:pStyle w:val="Point1"/>
        <w:rPr>
          <w:noProof/>
        </w:rPr>
      </w:pPr>
      <w:r>
        <w:rPr>
          <w:noProof/>
        </w:rPr>
        <w:t>д)</w:t>
      </w:r>
      <w:r>
        <w:rPr>
          <w:noProof/>
        </w:rPr>
        <w:tab/>
        <w:t>добавена стойност;</w:t>
      </w:r>
    </w:p>
    <w:p>
      <w:pPr>
        <w:pStyle w:val="Point1"/>
        <w:rPr>
          <w:noProof/>
        </w:rPr>
      </w:pPr>
      <w:r>
        <w:rPr>
          <w:noProof/>
        </w:rPr>
        <w:t>е)</w:t>
      </w:r>
      <w:r>
        <w:rPr>
          <w:noProof/>
        </w:rPr>
        <w:tab/>
        <w:t>брой на работниците и служителите в съответното предприятие;</w:t>
      </w:r>
    </w:p>
    <w:p>
      <w:pPr>
        <w:pStyle w:val="Point1"/>
        <w:rPr>
          <w:noProof/>
        </w:rPr>
      </w:pPr>
      <w:r>
        <w:rPr>
          <w:noProof/>
        </w:rPr>
        <w:t>ж)</w:t>
      </w:r>
      <w:r>
        <w:rPr>
          <w:noProof/>
        </w:rPr>
        <w:tab/>
        <w:t>очакван обем на износа за ЕС;</w:t>
      </w:r>
    </w:p>
    <w:p>
      <w:pPr>
        <w:pStyle w:val="Point1"/>
        <w:rPr>
          <w:noProof/>
        </w:rPr>
      </w:pPr>
      <w:r>
        <w:rPr>
          <w:noProof/>
        </w:rPr>
        <w:t>з)</w:t>
      </w:r>
      <w:r>
        <w:rPr>
          <w:noProof/>
        </w:rPr>
        <w:tab/>
        <w:t>други възможни източници на доставка на суровини;</w:t>
      </w:r>
    </w:p>
    <w:p>
      <w:pPr>
        <w:pStyle w:val="Point1"/>
        <w:rPr>
          <w:noProof/>
        </w:rPr>
      </w:pPr>
      <w:r>
        <w:rPr>
          <w:noProof/>
        </w:rPr>
        <w:t>и)</w:t>
      </w:r>
      <w:r>
        <w:rPr>
          <w:noProof/>
        </w:rPr>
        <w:tab/>
        <w:t>основания за исканото времетраене с оглед на усилията за откриване на нови източници на доставка;</w:t>
      </w:r>
    </w:p>
    <w:p>
      <w:pPr>
        <w:pStyle w:val="Point1"/>
        <w:rPr>
          <w:noProof/>
        </w:rPr>
      </w:pPr>
      <w:r>
        <w:rPr>
          <w:noProof/>
        </w:rPr>
        <w:t>й)</w:t>
      </w:r>
      <w:r>
        <w:rPr>
          <w:noProof/>
        </w:rPr>
        <w:tab/>
        <w:t>други бележки.</w:t>
      </w:r>
    </w:p>
    <w:p>
      <w:pPr>
        <w:pStyle w:val="Text1"/>
        <w:rPr>
          <w:noProof/>
        </w:rPr>
      </w:pPr>
      <w:r>
        <w:rPr>
          <w:noProof/>
        </w:rPr>
        <w:t>Същите правила се прилагат и за всяко искане за удължаване на срока.</w:t>
      </w:r>
    </w:p>
    <w:p>
      <w:pPr>
        <w:pStyle w:val="Text1"/>
        <w:rPr>
          <w:noProof/>
        </w:rPr>
      </w:pPr>
      <w:r>
        <w:rPr>
          <w:noProof/>
        </w:rPr>
        <w:t>Комитетът може да изменя формуляра.</w:t>
      </w:r>
    </w:p>
    <w:p>
      <w:pPr>
        <w:pStyle w:val="ManualNumPar1"/>
        <w:rPr>
          <w:noProof/>
        </w:rPr>
      </w:pPr>
      <w:r>
        <w:rPr>
          <w:noProof/>
        </w:rPr>
        <w:t>3.</w:t>
      </w:r>
      <w:r>
        <w:rPr>
          <w:noProof/>
        </w:rPr>
        <w:tab/>
        <w:t>При разглеждането на исканията за дерогация по-специално се взема предвид:</w:t>
      </w:r>
    </w:p>
    <w:p>
      <w:pPr>
        <w:pStyle w:val="Point1"/>
        <w:rPr>
          <w:noProof/>
        </w:rPr>
      </w:pPr>
      <w:r>
        <w:rPr>
          <w:noProof/>
        </w:rPr>
        <w:t>а)</w:t>
      </w:r>
      <w:r>
        <w:rPr>
          <w:noProof/>
        </w:rPr>
        <w:tab/>
        <w:t>равнището на развитие или географското разположение на заинтересованата държава(и) партньор(и) от ИАО;</w:t>
      </w:r>
    </w:p>
    <w:p>
      <w:pPr>
        <w:pStyle w:val="Point1"/>
        <w:rPr>
          <w:noProof/>
        </w:rPr>
      </w:pPr>
      <w:r>
        <w:rPr>
          <w:noProof/>
        </w:rPr>
        <w:t>б)</w:t>
      </w:r>
      <w:r>
        <w:rPr>
          <w:noProof/>
        </w:rPr>
        <w:tab/>
        <w:t>случаите, в които прилагането на съществуващите правила за произход би засегнало чувствително способността на съществуваща промишленост в държава партньор от ИАО да продължи износа си за ЕС, като се посочат по-специално случаите, в които това може да доведе до преустановяване на нейната дейност;</w:t>
      </w:r>
    </w:p>
    <w:p>
      <w:pPr>
        <w:pStyle w:val="Point1"/>
        <w:rPr>
          <w:noProof/>
        </w:rPr>
      </w:pPr>
      <w:r>
        <w:rPr>
          <w:noProof/>
        </w:rPr>
        <w:t>в)</w:t>
      </w:r>
      <w:r>
        <w:rPr>
          <w:noProof/>
        </w:rPr>
        <w:tab/>
        <w:t>специфичните случаи, в които може ясно да се докаже, че правилата за произход могат да възпрепятстват влагането на значителни инвестиции в дадена промишленост, и в които дерогация, която благоприятства осъществяването на инвестиционната програма, би позволила поетапното изпълнение на тези правила.</w:t>
      </w:r>
    </w:p>
    <w:p>
      <w:pPr>
        <w:pStyle w:val="ManualNumPar1"/>
        <w:rPr>
          <w:noProof/>
        </w:rPr>
      </w:pPr>
      <w:r>
        <w:rPr>
          <w:noProof/>
        </w:rPr>
        <w:t>4.</w:t>
      </w:r>
      <w:r>
        <w:rPr>
          <w:noProof/>
        </w:rPr>
        <w:tab/>
        <w:t>При всеки отделен случай се извършва проверка, за да се установи дали правилата относно кумулацията на произхода не предоставят решение на проблема.</w:t>
      </w:r>
    </w:p>
    <w:p>
      <w:pPr>
        <w:pStyle w:val="ManualNumPar1"/>
        <w:rPr>
          <w:noProof/>
        </w:rPr>
      </w:pPr>
      <w:r>
        <w:rPr>
          <w:noProof/>
        </w:rPr>
        <w:t>5.</w:t>
      </w:r>
      <w:r>
        <w:rPr>
          <w:noProof/>
        </w:rPr>
        <w:tab/>
        <w:t>При разглеждането на исканията се отделя особено внимание при всеки отделен случай на възможността да се предостави статут на продукти с произход на продукти, които включват в своя състав материали с произход от съседните развиващи се държави, от най-слаборазвитите държави или от развиващите се държави, с които една или повече от държавите партньори от ИАО имат специални отношения, при условие че може да се установи удовлетворително административно сътрудничество.</w:t>
      </w:r>
    </w:p>
    <w:p>
      <w:pPr>
        <w:pStyle w:val="ManualNumPar1"/>
        <w:rPr>
          <w:i/>
          <w:noProof/>
        </w:rPr>
      </w:pPr>
      <w:r>
        <w:rPr>
          <w:noProof/>
        </w:rPr>
        <w:t>6.</w:t>
      </w:r>
      <w:r>
        <w:rPr>
          <w:noProof/>
        </w:rPr>
        <w:tab/>
        <w:t>Без да се засягат разпоредбите на параграфи 1 — 5, дерогацията се предоставя, при условие че тя не причинява сериозна вреда на икономически отрасъл на ЕС или на една или повече държави членки.</w:t>
      </w:r>
    </w:p>
    <w:p>
      <w:pPr>
        <w:pStyle w:val="ManualNumPar1"/>
        <w:rPr>
          <w:bCs/>
          <w:noProof/>
        </w:rPr>
      </w:pPr>
      <w:r>
        <w:rPr>
          <w:noProof/>
        </w:rPr>
        <w:lastRenderedPageBreak/>
        <w:t>7.</w:t>
      </w:r>
      <w:r>
        <w:rPr>
          <w:noProof/>
        </w:rPr>
        <w:tab/>
      </w:r>
      <w:r>
        <w:rPr>
          <w:rStyle w:val="Strong"/>
          <w:b w:val="0"/>
          <w:noProof/>
        </w:rPr>
        <w:t>Без да се засяга действието на параграфи 1 — 6 и в допълнение към тях, дерогации относно филета (наречени „карета“) от риба тон от позиция</w:t>
      </w:r>
      <w:r>
        <w:rPr>
          <w:rStyle w:val="Strong"/>
          <w:noProof/>
        </w:rPr>
        <w:t xml:space="preserve"> </w:t>
      </w:r>
      <w:r>
        <w:rPr>
          <w:noProof/>
        </w:rPr>
        <w:t>1604, произведени от риба тон без произход от позиции 0302 или 0303, се предоставят в рамките на годишна квота от 5000 тона. Заявленията за такива дерогации се подават от държавите партньори от ИАО в съответствие с гореспоменатата квота до Комитета, който ги предоставя автоматично и ги въвежда в сила посредством решение.</w:t>
      </w:r>
    </w:p>
    <w:p>
      <w:pPr>
        <w:pStyle w:val="ManualNumPar1"/>
        <w:rPr>
          <w:noProof/>
        </w:rPr>
      </w:pPr>
      <w:r>
        <w:rPr>
          <w:noProof/>
        </w:rPr>
        <w:t>8.</w:t>
      </w:r>
      <w:r>
        <w:rPr>
          <w:noProof/>
        </w:rPr>
        <w:tab/>
        <w:t xml:space="preserve">Комитетът предприема необходимите стъпки, за да гарантира, че решението ще се вземе възможно най-бързо и във всеки случай не по-късно от седемдесет и пет (75) работни дни след получаване на искането от съпредседателя на Комитета от страна на ЕС. Ако ЕС не информира дадена държава партньор от ИАО за позицията си по искането в рамките на този срок, искането се счита за прието. </w:t>
      </w:r>
    </w:p>
    <w:p>
      <w:pPr>
        <w:pStyle w:val="PointDouble0"/>
        <w:rPr>
          <w:noProof/>
        </w:rPr>
      </w:pPr>
      <w:r>
        <w:rPr>
          <w:noProof/>
        </w:rPr>
        <w:t>9.</w:t>
      </w:r>
      <w:r>
        <w:rPr>
          <w:noProof/>
        </w:rPr>
        <w:tab/>
        <w:t>а)</w:t>
      </w:r>
      <w:r>
        <w:rPr>
          <w:noProof/>
        </w:rPr>
        <w:tab/>
        <w:t>Срокът на валидност на дерогацията се определя от Комитета, като в общия случай той е пет (5) години.</w:t>
      </w:r>
    </w:p>
    <w:p>
      <w:pPr>
        <w:pStyle w:val="Point1"/>
        <w:rPr>
          <w:noProof/>
        </w:rPr>
      </w:pPr>
      <w:r>
        <w:rPr>
          <w:noProof/>
        </w:rPr>
        <w:t>б)</w:t>
      </w:r>
      <w:r>
        <w:rPr>
          <w:noProof/>
        </w:rPr>
        <w:tab/>
        <w:t>Решението за дерогация може да предвижда подновявания, без да е необходимо ново решение на Комитета, при условие че съответната държава партньор от ИАО представи три (3) месеца преди края на всеки срок доказателство, че все още не може да изпълни условията на настоящия протокол, от които е извършена дерогация.</w:t>
      </w:r>
    </w:p>
    <w:p>
      <w:pPr>
        <w:pStyle w:val="Text2"/>
        <w:rPr>
          <w:noProof/>
        </w:rPr>
      </w:pPr>
      <w:r>
        <w:rPr>
          <w:noProof/>
        </w:rPr>
        <w:t>Ако се направи възражение по отношение на удължаването на срока, Комитетът го разглежда във възможно най-кратък срок и приема решение дали да удължи срока на действие на дерогацията. Комитетът действа в съответствие с изискванията на параграф 8. Предприемат се всички необходими мерки за избягване на прекъсвания в прилагането на дерогацията.</w:t>
      </w:r>
    </w:p>
    <w:p>
      <w:pPr>
        <w:pStyle w:val="Point1"/>
        <w:rPr>
          <w:noProof/>
        </w:rPr>
      </w:pPr>
      <w:r>
        <w:rPr>
          <w:noProof/>
        </w:rPr>
        <w:t>в)</w:t>
      </w:r>
      <w:r>
        <w:rPr>
          <w:noProof/>
        </w:rPr>
        <w:tab/>
        <w:t>В сроковете, посочени в букви a) и б), Комитетът може да преразгледа условията за прилагане на дерогацията, ако е настъпила съществена промяна във фактическата обстановка, мотивирала решението за нейното предоставяне. След приключване на това преразглеждане Комитетът може да реши да измени условията на своето решение по отношение на обхвата на дерогацията или на всяко друго установено преди това условие.</w:t>
      </w:r>
    </w:p>
    <w:p>
      <w:pPr>
        <w:jc w:val="center"/>
        <w:rPr>
          <w:b/>
          <w:noProof/>
        </w:rPr>
      </w:pPr>
      <w:bookmarkStart w:id="7" w:name="_Toc204060729"/>
      <w:r>
        <w:rPr>
          <w:b/>
          <w:noProof/>
        </w:rPr>
        <w:t>ДЯЛ VI</w:t>
      </w:r>
    </w:p>
    <w:p>
      <w:pPr>
        <w:jc w:val="center"/>
        <w:rPr>
          <w:b/>
          <w:noProof/>
        </w:rPr>
      </w:pPr>
      <w:r>
        <w:rPr>
          <w:b/>
          <w:noProof/>
        </w:rPr>
        <w:t>СЕУТА И МЕЛИЛА</w:t>
      </w:r>
      <w:bookmarkEnd w:id="7"/>
    </w:p>
    <w:p>
      <w:pPr>
        <w:pStyle w:val="Titrearticle"/>
        <w:rPr>
          <w:noProof/>
        </w:rPr>
      </w:pPr>
      <w:r>
        <w:rPr>
          <w:noProof/>
        </w:rPr>
        <w:t>ЧЛЕН 41</w:t>
      </w:r>
    </w:p>
    <w:p>
      <w:pPr>
        <w:jc w:val="center"/>
        <w:rPr>
          <w:b/>
          <w:noProof/>
        </w:rPr>
      </w:pPr>
      <w:r>
        <w:rPr>
          <w:b/>
          <w:noProof/>
        </w:rPr>
        <w:t>Специални условия</w:t>
      </w:r>
    </w:p>
    <w:p>
      <w:pPr>
        <w:pStyle w:val="ManualNumPar1"/>
        <w:rPr>
          <w:bCs/>
          <w:noProof/>
        </w:rPr>
      </w:pPr>
      <w:r>
        <w:rPr>
          <w:noProof/>
        </w:rPr>
        <w:t>1.</w:t>
      </w:r>
      <w:r>
        <w:rPr>
          <w:noProof/>
        </w:rPr>
        <w:tab/>
        <w:t xml:space="preserve">Изразът „ЕС“, използван в настоящия протокол, не обхваща Сеута и Мелила. Изразът „продукти с произход от ЕС“ не обхваща продуктите с произход от Сеута и Мелила. </w:t>
      </w:r>
    </w:p>
    <w:p>
      <w:pPr>
        <w:pStyle w:val="ManualNumPar1"/>
        <w:rPr>
          <w:bCs/>
          <w:noProof/>
        </w:rPr>
      </w:pPr>
      <w:r>
        <w:rPr>
          <w:noProof/>
        </w:rPr>
        <w:t>2.</w:t>
      </w:r>
      <w:r>
        <w:rPr>
          <w:noProof/>
        </w:rPr>
        <w:tab/>
        <w:t xml:space="preserve">Разпоредбите на настоящия протокол се прилагат </w:t>
      </w:r>
      <w:r>
        <w:rPr>
          <w:i/>
          <w:noProof/>
        </w:rPr>
        <w:t>mutatis mutandis</w:t>
      </w:r>
      <w:r>
        <w:rPr>
          <w:noProof/>
        </w:rPr>
        <w:t xml:space="preserve"> при определяне дали продуктите могат да се считат с произход от държава партньор от ИАО, когато се внасят в Сеута и Мелила. </w:t>
      </w:r>
    </w:p>
    <w:p>
      <w:pPr>
        <w:pStyle w:val="ManualNumPar1"/>
        <w:rPr>
          <w:bCs/>
          <w:noProof/>
        </w:rPr>
      </w:pPr>
      <w:r>
        <w:rPr>
          <w:noProof/>
        </w:rPr>
        <w:lastRenderedPageBreak/>
        <w:t>3.</w:t>
      </w:r>
      <w:r>
        <w:rPr>
          <w:noProof/>
        </w:rPr>
        <w:tab/>
        <w:t xml:space="preserve">Когато продукти, които са изцяло получени в Сеута, Мелила или в ЕС, се обработват и преработват в държава партньор от ИАО, те се считат за изцяло получени в държава партньор от ИАО. </w:t>
      </w:r>
    </w:p>
    <w:p>
      <w:pPr>
        <w:pStyle w:val="ManualNumPar1"/>
        <w:rPr>
          <w:bCs/>
          <w:noProof/>
        </w:rPr>
      </w:pPr>
      <w:r>
        <w:rPr>
          <w:noProof/>
        </w:rPr>
        <w:t>4.</w:t>
      </w:r>
      <w:r>
        <w:rPr>
          <w:noProof/>
        </w:rPr>
        <w:tab/>
        <w:t xml:space="preserve">Обработките или преработките, извършени в Сеута, Мелила или в ЕС, се считат за извършени в държава партньор от ИАО, когато материалите се подлагат на последваща обработка или преработка в държава партньор от ИАО. </w:t>
      </w:r>
    </w:p>
    <w:p>
      <w:pPr>
        <w:pStyle w:val="ManualNumPar1"/>
        <w:rPr>
          <w:bCs/>
          <w:noProof/>
        </w:rPr>
      </w:pPr>
      <w:r>
        <w:rPr>
          <w:noProof/>
        </w:rPr>
        <w:t>5.</w:t>
      </w:r>
      <w:r>
        <w:rPr>
          <w:noProof/>
        </w:rPr>
        <w:tab/>
        <w:t xml:space="preserve">За целите на прилагането на параграфи 3 и 4 недостатъчните операции, изброени в член 9 от настоящия протокол, не се считат за обработка или преработка. </w:t>
      </w:r>
    </w:p>
    <w:p>
      <w:pPr>
        <w:pStyle w:val="ManualNumPar1"/>
        <w:rPr>
          <w:noProof/>
        </w:rPr>
      </w:pPr>
      <w:r>
        <w:rPr>
          <w:noProof/>
        </w:rPr>
        <w:t>6.</w:t>
      </w:r>
      <w:r>
        <w:rPr>
          <w:noProof/>
        </w:rPr>
        <w:tab/>
        <w:t xml:space="preserve">Сеута и Мелила се считат за една територия. </w:t>
      </w:r>
    </w:p>
    <w:p>
      <w:pPr>
        <w:jc w:val="center"/>
        <w:rPr>
          <w:b/>
          <w:noProof/>
        </w:rPr>
      </w:pPr>
      <w:bookmarkStart w:id="8" w:name="_Toc204060730"/>
      <w:r>
        <w:rPr>
          <w:b/>
          <w:noProof/>
        </w:rPr>
        <w:t>ДЯЛ VII</w:t>
      </w:r>
    </w:p>
    <w:p>
      <w:pPr>
        <w:jc w:val="center"/>
        <w:rPr>
          <w:b/>
          <w:noProof/>
        </w:rPr>
      </w:pPr>
      <w:r>
        <w:rPr>
          <w:b/>
          <w:noProof/>
        </w:rPr>
        <w:t>ЗАКЛЮЧИТЕЛНИ РАЗПОРЕДБИ</w:t>
      </w:r>
      <w:bookmarkEnd w:id="8"/>
    </w:p>
    <w:p>
      <w:pPr>
        <w:pStyle w:val="Titrearticle"/>
        <w:rPr>
          <w:noProof/>
        </w:rPr>
      </w:pPr>
      <w:r>
        <w:rPr>
          <w:noProof/>
        </w:rPr>
        <w:t>ЧЛЕН 42</w:t>
      </w:r>
    </w:p>
    <w:p>
      <w:pPr>
        <w:jc w:val="center"/>
        <w:rPr>
          <w:noProof/>
        </w:rPr>
      </w:pPr>
      <w:r>
        <w:rPr>
          <w:b/>
          <w:noProof/>
        </w:rPr>
        <w:t>Преразглеждане и прилагане на правилата за произход</w:t>
      </w:r>
    </w:p>
    <w:p>
      <w:pPr>
        <w:pStyle w:val="ManualNumPar1"/>
        <w:rPr>
          <w:noProof/>
        </w:rPr>
      </w:pPr>
      <w:r>
        <w:rPr>
          <w:noProof/>
        </w:rPr>
        <w:t>1.</w:t>
      </w:r>
      <w:r>
        <w:rPr>
          <w:noProof/>
        </w:rPr>
        <w:tab/>
        <w:t>В съответствие с членове 9 и 142 от настоящото споразумение, настоящият протокол, включително неговите приложения, се преразглежда на всеки пет (5) години след влизането в сила на настоящото споразумение или когато държавите партньори от ИАО или ЕС отправят искане за това, с оглед внасяне на необходимите изменения или неговото съответно адаптиране, по-специално като се има предвид принципът, че когато е възможно и със съгласието на двете страни, за всяко специфично за съответен продукт правило от приложение II се прилага същото правило за произход по отношение на износа от двете страни. При това преразглеждане страните вземат предвид също така нуждите от развитие на държавите партньори от ИАО, като развитието на технологиите, производствените процеси и всички други фактори. </w:t>
      </w:r>
    </w:p>
    <w:p>
      <w:pPr>
        <w:pStyle w:val="Text1"/>
        <w:rPr>
          <w:b/>
          <w:bCs/>
          <w:noProof/>
        </w:rPr>
      </w:pPr>
      <w:r>
        <w:rPr>
          <w:noProof/>
        </w:rPr>
        <w:t>Взетите решения се изпълняват във възможно най-кратки срокове.</w:t>
      </w:r>
    </w:p>
    <w:p>
      <w:pPr>
        <w:pStyle w:val="ManualNumPar1"/>
        <w:rPr>
          <w:noProof/>
        </w:rPr>
      </w:pPr>
      <w:r>
        <w:rPr>
          <w:noProof/>
        </w:rPr>
        <w:t>2.</w:t>
      </w:r>
      <w:r>
        <w:rPr>
          <w:noProof/>
        </w:rPr>
        <w:tab/>
        <w:t xml:space="preserve">В съответствие с член 29 от настоящото споразумение Комитетът, </w:t>
      </w:r>
      <w:r>
        <w:rPr>
          <w:i/>
          <w:noProof/>
        </w:rPr>
        <w:t>inter alia</w:t>
      </w:r>
      <w:r>
        <w:rPr>
          <w:noProof/>
        </w:rPr>
        <w:t>:</w:t>
      </w:r>
    </w:p>
    <w:p>
      <w:pPr>
        <w:pStyle w:val="Point1"/>
        <w:rPr>
          <w:noProof/>
        </w:rPr>
      </w:pPr>
      <w:r>
        <w:rPr>
          <w:noProof/>
        </w:rPr>
        <w:t>а)</w:t>
      </w:r>
      <w:r>
        <w:rPr>
          <w:noProof/>
        </w:rPr>
        <w:tab/>
        <w:t>взема решения относно кумулацията съгласно условията, определени в член 6;</w:t>
      </w:r>
    </w:p>
    <w:p>
      <w:pPr>
        <w:pStyle w:val="Point1"/>
        <w:rPr>
          <w:noProof/>
        </w:rPr>
      </w:pPr>
      <w:r>
        <w:rPr>
          <w:noProof/>
        </w:rPr>
        <w:t>б)</w:t>
      </w:r>
      <w:r>
        <w:rPr>
          <w:noProof/>
        </w:rPr>
        <w:tab/>
        <w:t>взема решения относно дерогациите от настоящия протокол съгласно условията, определени в член 40;</w:t>
      </w:r>
    </w:p>
    <w:p>
      <w:pPr>
        <w:pStyle w:val="Point1"/>
        <w:rPr>
          <w:noProof/>
        </w:rPr>
      </w:pPr>
      <w:r>
        <w:rPr>
          <w:noProof/>
        </w:rPr>
        <w:t>в)</w:t>
      </w:r>
      <w:r>
        <w:rPr>
          <w:noProof/>
        </w:rPr>
        <w:tab/>
        <w:t>прави препоръки за изменения на настоящия протокол пред Съвета по СИП.</w:t>
      </w:r>
    </w:p>
    <w:p>
      <w:pPr>
        <w:pStyle w:val="Titrearticle"/>
        <w:rPr>
          <w:noProof/>
        </w:rPr>
      </w:pPr>
      <w:r>
        <w:rPr>
          <w:noProof/>
        </w:rPr>
        <w:t>ЧЛЕН 43</w:t>
      </w:r>
    </w:p>
    <w:p>
      <w:pPr>
        <w:jc w:val="center"/>
        <w:rPr>
          <w:b/>
          <w:noProof/>
        </w:rPr>
      </w:pPr>
      <w:r>
        <w:rPr>
          <w:b/>
          <w:noProof/>
        </w:rPr>
        <w:t>Изменение на протокола</w:t>
      </w:r>
    </w:p>
    <w:p>
      <w:pPr>
        <w:rPr>
          <w:noProof/>
        </w:rPr>
      </w:pPr>
      <w:r>
        <w:rPr>
          <w:noProof/>
        </w:rPr>
        <w:t>Съветът по СИП може да реши да измени разпоредбите на настоящия протокол.</w:t>
      </w:r>
    </w:p>
    <w:p>
      <w:pPr>
        <w:pStyle w:val="Titrearticle"/>
        <w:rPr>
          <w:b/>
          <w:noProof/>
        </w:rPr>
      </w:pPr>
      <w:r>
        <w:rPr>
          <w:noProof/>
        </w:rPr>
        <w:t>ЧЛЕН 44</w:t>
      </w:r>
    </w:p>
    <w:p>
      <w:pPr>
        <w:jc w:val="center"/>
        <w:rPr>
          <w:b/>
          <w:noProof/>
        </w:rPr>
      </w:pPr>
      <w:r>
        <w:rPr>
          <w:b/>
          <w:noProof/>
        </w:rPr>
        <w:t>Приложения</w:t>
      </w:r>
    </w:p>
    <w:p>
      <w:pPr>
        <w:rPr>
          <w:noProof/>
        </w:rPr>
      </w:pPr>
      <w:r>
        <w:rPr>
          <w:noProof/>
        </w:rPr>
        <w:lastRenderedPageBreak/>
        <w:t xml:space="preserve">Приложенията към настоящия протокол представляват неразделна част от него. </w:t>
      </w:r>
    </w:p>
    <w:p>
      <w:pPr>
        <w:pStyle w:val="Titrearticle"/>
        <w:rPr>
          <w:b/>
          <w:noProof/>
        </w:rPr>
      </w:pPr>
      <w:r>
        <w:rPr>
          <w:noProof/>
        </w:rPr>
        <w:t>ЧЛЕН 45</w:t>
      </w:r>
    </w:p>
    <w:p>
      <w:pPr>
        <w:jc w:val="center"/>
        <w:rPr>
          <w:b/>
          <w:noProof/>
        </w:rPr>
      </w:pPr>
      <w:r>
        <w:rPr>
          <w:b/>
          <w:noProof/>
        </w:rPr>
        <w:t>Прилагане на протокола</w:t>
      </w:r>
    </w:p>
    <w:p>
      <w:pPr>
        <w:rPr>
          <w:noProof/>
        </w:rPr>
      </w:pPr>
      <w:r>
        <w:rPr>
          <w:noProof/>
        </w:rPr>
        <w:t>ЕС и всяка от държавите партньори от ИАО предприемат необходимите мерки за прилагането на настоящия протокол.</w:t>
      </w:r>
    </w:p>
    <w:p>
      <w:pPr>
        <w:rPr>
          <w:noProof/>
        </w:rPr>
        <w:sectPr>
          <w:endnotePr>
            <w:numFmt w:val="decimal"/>
          </w:endnotePr>
          <w:pgSz w:w="11907" w:h="16840" w:code="9"/>
          <w:pgMar w:top="1134" w:right="1134" w:bottom="1134" w:left="1134" w:header="1134" w:footer="1134" w:gutter="0"/>
          <w:cols w:space="720"/>
          <w:docGrid w:linePitch="326"/>
        </w:sectPr>
      </w:pPr>
    </w:p>
    <w:p>
      <w:pPr>
        <w:jc w:val="center"/>
        <w:rPr>
          <w:b/>
          <w:noProof/>
          <w:u w:val="single"/>
        </w:rPr>
      </w:pPr>
      <w:bookmarkStart w:id="9" w:name="_Toc204060731"/>
      <w:r>
        <w:rPr>
          <w:b/>
          <w:noProof/>
          <w:u w:val="single"/>
        </w:rPr>
        <w:lastRenderedPageBreak/>
        <w:t>ПРИЛОЖЕНИЕ I</w:t>
      </w:r>
    </w:p>
    <w:p>
      <w:pPr>
        <w:jc w:val="center"/>
        <w:rPr>
          <w:noProof/>
        </w:rPr>
      </w:pPr>
      <w:r>
        <w:rPr>
          <w:noProof/>
        </w:rPr>
        <w:t>Протокол 1</w:t>
      </w:r>
    </w:p>
    <w:p>
      <w:pPr>
        <w:jc w:val="center"/>
        <w:rPr>
          <w:noProof/>
        </w:rPr>
      </w:pPr>
      <w:r>
        <w:rPr>
          <w:noProof/>
        </w:rPr>
        <w:t>Уводни бележки към списъка в приложение I</w:t>
      </w:r>
      <w:bookmarkEnd w:id="9"/>
      <w:r>
        <w:rPr>
          <w:noProof/>
        </w:rPr>
        <w:t>I</w:t>
      </w:r>
    </w:p>
    <w:p>
      <w:pPr>
        <w:rPr>
          <w:noProof/>
        </w:rPr>
      </w:pPr>
      <w:r>
        <w:rPr>
          <w:noProof/>
        </w:rPr>
        <w:t>Бележка 1:</w:t>
      </w:r>
    </w:p>
    <w:p>
      <w:pPr>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8 от протокола.</w:t>
      </w:r>
    </w:p>
    <w:p>
      <w:pPr>
        <w:rPr>
          <w:noProof/>
        </w:rPr>
      </w:pPr>
      <w:r>
        <w:rPr>
          <w:noProof/>
        </w:rPr>
        <w:t>Бележка 2:</w:t>
      </w:r>
    </w:p>
    <w:p>
      <w:pPr>
        <w:pStyle w:val="ManualNumPar1"/>
        <w:rPr>
          <w:noProof/>
        </w:rPr>
      </w:pPr>
      <w:r>
        <w:rPr>
          <w:noProof/>
        </w:rPr>
        <w:t>1.</w:t>
      </w:r>
      <w:r>
        <w:rPr>
          <w:noProof/>
        </w:rPr>
        <w:tab/>
        <w:t>В първите две колони от списъка е описан полученият продукт. В първата колона е посочен номерът на позицията или номерът на главата от Хармонизираната система, а втората колона съдържа описанието на стоките, използвано в посочената система за тази позиция или глава. За всяко вписване в първите две колони е посочено правило в колони 3 или 4 и в 5 или 6. Когато в някои случаи вписаният номер в първата колона се предхожда от „ex“, това означава, че правилата в колони 3 или 4 и в 5 или 6 се прилагат само към частта от тази позиция, описана в колона 2.</w:t>
      </w:r>
    </w:p>
    <w:p>
      <w:pPr>
        <w:pStyle w:val="ManualNumPar1"/>
        <w:rPr>
          <w:noProof/>
        </w:rPr>
      </w:pPr>
      <w:r>
        <w:rPr>
          <w:noProof/>
        </w:rPr>
        <w:t>2.</w:t>
      </w:r>
      <w:r>
        <w:rPr>
          <w:noProof/>
        </w:rPr>
        <w:tab/>
        <w:t>Когато няколко номера на позиции са групирани заедно в колона 1 или е посочен номер на глава и поради това при описанието на продуктите в колона 2 е използвана по-обща формулировка, посочените в колони 3 или 4 и в 5 или 6 прилежащи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заедно в колона 1.</w:t>
      </w:r>
    </w:p>
    <w:p>
      <w:pPr>
        <w:pStyle w:val="ManualNumPar1"/>
        <w:rPr>
          <w:noProof/>
        </w:rPr>
      </w:pPr>
      <w:r>
        <w:rPr>
          <w:noProof/>
        </w:rPr>
        <w:t>3.</w:t>
      </w:r>
      <w:r>
        <w:rPr>
          <w:noProof/>
        </w:rPr>
        <w:tab/>
        <w:t>Когато в списъка съществуват различни правила, приложими към различни продукти от една и съща позиция, всяко тире съдържа описание на тази част от позицията, по отношение на която се прилагат прилежащите правила в колони 3 или 4 и в 5 или 6.</w:t>
      </w:r>
    </w:p>
    <w:p>
      <w:pPr>
        <w:pStyle w:val="ManualNumPar1"/>
        <w:rPr>
          <w:noProof/>
        </w:rPr>
      </w:pPr>
      <w:r>
        <w:rPr>
          <w:noProof/>
        </w:rPr>
        <w:t>4.</w:t>
      </w:r>
      <w:r>
        <w:rPr>
          <w:noProof/>
        </w:rPr>
        <w:tab/>
        <w:t>Когато за вписване в първите две колони е посочено правило както в колони 3 или 4, така и в 5 или 6, износителят може да избере алтернативно да приложи правилото, предвидено в колона 3 или в колона 4, или правилото, предвидено в колона 5 или в колона 6. Ако в колона 4 или 6 не е посочено правило за произход, трябва да се приложи правилото, предвидено в колона 3 или 5.</w:t>
      </w:r>
    </w:p>
    <w:p>
      <w:pPr>
        <w:rPr>
          <w:noProof/>
        </w:rPr>
      </w:pPr>
      <w:r>
        <w:rPr>
          <w:noProof/>
        </w:rPr>
        <w:t>Бележка 3:</w:t>
      </w:r>
    </w:p>
    <w:p>
      <w:pPr>
        <w:pStyle w:val="ManualNumPar1"/>
        <w:rPr>
          <w:noProof/>
        </w:rPr>
      </w:pPr>
      <w:r>
        <w:rPr>
          <w:noProof/>
        </w:rPr>
        <w:t>1.</w:t>
      </w:r>
      <w:r>
        <w:rPr>
          <w:noProof/>
        </w:rPr>
        <w:tab/>
        <w:t>Разпоредбите на член 8 от протокола, отнасящи се за продуктите, придобили статут на продукти с произход, които се използват при производството на други продукти, се прилагат независимо дали този статут е бил придобит в завода, където се използват тези продукти, или в друг завод в Европейския съюз или в държавите партньори от ИАО.</w:t>
      </w:r>
    </w:p>
    <w:p>
      <w:pPr>
        <w:pStyle w:val="Text1"/>
        <w:rPr>
          <w:noProof/>
        </w:rPr>
      </w:pPr>
      <w:r>
        <w:rPr>
          <w:noProof/>
        </w:rPr>
        <w:t>Пример:</w:t>
      </w:r>
    </w:p>
    <w:p>
      <w:pPr>
        <w:pStyle w:val="Text1"/>
        <w:rPr>
          <w:noProof/>
        </w:rPr>
      </w:pPr>
      <w:r>
        <w:rPr>
          <w:noProof/>
        </w:rPr>
        <w:t>Двигател от позиция № 8407, за който важи правилото, че стойността на материалите без произход, които могат да бъдат вложени в него, не може да надхвърля 40 % от цената франко завода, е произведен от „други легирани стомани, грубо оформени чрез изчукване или чрез коване“ от позиция № ex 7224.</w:t>
      </w:r>
    </w:p>
    <w:p>
      <w:pPr>
        <w:pStyle w:val="Text1"/>
        <w:rPr>
          <w:noProof/>
        </w:rPr>
      </w:pPr>
      <w:r>
        <w:rPr>
          <w:noProof/>
        </w:rPr>
        <w:lastRenderedPageBreak/>
        <w:t>Ако тази заготовка е била изкована в ЕС от стоманен блок без произход, тя вече е придобила статут на продукт с произход по силата на правилото за позиция № ex 7224 в списъка. В този случай при изчисляването на стойността на двигателя заготовката може да бъде считана за продукт с произход, независимо дали тя е била произведена в същия завод или в друг завод в Европейския съюз. Следователно стойността на стоманения блок без произход не се взема предвид при сумиране на стойността на използваните материали без произход.</w:t>
      </w:r>
    </w:p>
    <w:p>
      <w:pPr>
        <w:pStyle w:val="ManualNumPar1"/>
        <w:rPr>
          <w:noProof/>
        </w:rPr>
      </w:pPr>
      <w:r>
        <w:rPr>
          <w:noProof/>
        </w:rPr>
        <w:t>2.</w:t>
      </w:r>
      <w:r>
        <w:rPr>
          <w:noProof/>
        </w:rPr>
        <w:tab/>
        <w:t>Правилото в списъка определя минималната изискуема степен на обработка или преработка, като извършването на обработка или преработка в по-голяма степен от изискуемата също води до придобиване на статут на продукт с произход; и обратното — извършването на обработка или преработка в по-малка степен не може да доведе до придобиване на статут на продукт с произход. Следователно ако дадено правило предвижда възможността за използване на материал без произход на определен етап от производството, използването на този материал на по-ранен етап от производството е позволено, а използването на този материал на по-късен етап от производството не е позволено.</w:t>
      </w:r>
    </w:p>
    <w:p>
      <w:pPr>
        <w:pStyle w:val="ManualNumPar1"/>
        <w:rPr>
          <w:noProof/>
        </w:rPr>
      </w:pPr>
      <w:r>
        <w:rPr>
          <w:noProof/>
        </w:rPr>
        <w:t>3.</w:t>
      </w:r>
      <w:r>
        <w:rPr>
          <w:noProof/>
        </w:rPr>
        <w:tab/>
        <w:t>Без да се нарушава предвиденото в бележка 3.2, когато дадено правило гласи, че могат да се използват „материали от всяка позиция“, могат да се използват и материали от същата позиция, в която е класиран продуктът, но при условие че се спазват всички специфични ограничения, които също могат да се съдържат в това правило. Въпреки това изразът „производство от материали от всяка позиция, включително от другите материали от позиция № …“ означава, че могат да се използват само материалите, класирани в същата позиция като продукта и с различно описание от това на продукта, дадено в колона 2 от списъка.</w:t>
      </w:r>
    </w:p>
    <w:p>
      <w:pPr>
        <w:pStyle w:val="ManualNumPar1"/>
        <w:rPr>
          <w:noProof/>
        </w:rPr>
      </w:pPr>
      <w:r>
        <w:rPr>
          <w:noProof/>
        </w:rPr>
        <w:t>4.</w:t>
      </w:r>
      <w:r>
        <w:rPr>
          <w:noProof/>
        </w:rPr>
        <w:tab/>
        <w:t>Когато правило в списъка гласи, че определен продукт може да бъде произведен от повече от един материал, това означава, че може да се използват един или повече материали. То не изисква да бъдат използвани всички материали.</w:t>
      </w:r>
    </w:p>
    <w:p>
      <w:pPr>
        <w:pStyle w:val="Text1"/>
        <w:rPr>
          <w:noProof/>
        </w:rPr>
      </w:pPr>
      <w:r>
        <w:rPr>
          <w:noProof/>
        </w:rPr>
        <w:t>Пример:</w:t>
      </w:r>
    </w:p>
    <w:p>
      <w:pPr>
        <w:pStyle w:val="Text1"/>
        <w:rPr>
          <w:noProof/>
        </w:rPr>
      </w:pPr>
      <w:r>
        <w:rPr>
          <w:noProof/>
        </w:rPr>
        <w:t>Правилото за тъкани от позиции № 5208 — 5212 предвижда, че могат да се използват естествени влакна и че измежду останалите материали могат да се използват и химически материали. Това не означава, че трябва да се използват и двата материала; възможно е да се използва единият или другият, или да се използват и двата заедно.</w:t>
      </w:r>
    </w:p>
    <w:p>
      <w:pPr>
        <w:pStyle w:val="ManualNumPar1"/>
        <w:rPr>
          <w:noProof/>
        </w:rPr>
      </w:pPr>
      <w:r>
        <w:rPr>
          <w:noProof/>
        </w:rPr>
        <w:t>5.</w:t>
      </w:r>
      <w:r>
        <w:rPr>
          <w:noProof/>
        </w:rPr>
        <w:tab/>
        <w:t>Когато правило в списъка гласи, че даден продукт трябва да бъде произведен от конкретен материал, това условие очевидно не ограничава използването на други материали, които поради естеството си не могат да изпълнят изискванията на правилото. (Вж. също бележка 6.3 по-долу по отношение на текстилните материали.)</w:t>
      </w:r>
    </w:p>
    <w:p>
      <w:pPr>
        <w:pStyle w:val="Text1"/>
        <w:rPr>
          <w:noProof/>
        </w:rPr>
      </w:pPr>
      <w:r>
        <w:rPr>
          <w:noProof/>
        </w:rPr>
        <w:t>Пример:</w:t>
      </w:r>
    </w:p>
    <w:p>
      <w:pPr>
        <w:pStyle w:val="Text1"/>
        <w:rPr>
          <w:noProof/>
        </w:rPr>
      </w:pPr>
      <w:r>
        <w:rPr>
          <w:noProof/>
        </w:rPr>
        <w:t>Правилото за приготвени храни от позиция № 1904, което изрично изключва използването на житни растения и на техните производни, не ограничава използването на минерални соли, химикали и други добавки, които не са продукти, получени от житни растения.</w:t>
      </w:r>
    </w:p>
    <w:p>
      <w:pPr>
        <w:pStyle w:val="Text1"/>
        <w:rPr>
          <w:noProof/>
        </w:rPr>
      </w:pPr>
      <w:r>
        <w:rPr>
          <w:noProof/>
        </w:rPr>
        <w:lastRenderedPageBreak/>
        <w:t>Това правило обаче не се прилага за продуктите, които, независимо че не могат да бъдат произведени от конкретните материали, включени в списъка, могат да бъдат произведени от материал от същото естество на по-ранен етап от производството.</w:t>
      </w:r>
    </w:p>
    <w:p>
      <w:pPr>
        <w:pStyle w:val="Text1"/>
        <w:rPr>
          <w:noProof/>
        </w:rPr>
      </w:pPr>
      <w:r>
        <w:rPr>
          <w:noProof/>
        </w:rPr>
        <w:t>Пример:</w:t>
      </w:r>
    </w:p>
    <w:p>
      <w:pPr>
        <w:pStyle w:val="Text1"/>
        <w:rPr>
          <w:noProof/>
        </w:rPr>
      </w:pPr>
      <w:r>
        <w:rPr>
          <w:noProof/>
        </w:rPr>
        <w:t>В случай на облекло от ex глава 62, произведено от нетъкани материали, ако за този клас изделия е разрешено използването само на прежди без произход, не е възможно като изходен материал да се използват нетъкани платове — дори и нетъканите платове като правило да не могат да бъдат произведени от прежда. В такива случаи изходният материал, който следва да бъде използван, обикновено е на етапа от обработката, предшестващ преждата, а именно на етап влакно.</w:t>
      </w:r>
    </w:p>
    <w:p>
      <w:pPr>
        <w:pStyle w:val="ManualNumPar1"/>
        <w:rPr>
          <w:noProof/>
        </w:rPr>
      </w:pPr>
      <w:r>
        <w:rPr>
          <w:noProof/>
        </w:rPr>
        <w:t>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надхвърля най-високия от посочените проценти. Освен това отделните проценти не трябва да бъдат превишавани по отношение на конкретните материали, за които се прилагат.</w:t>
      </w:r>
    </w:p>
    <w:p>
      <w:pPr>
        <w:rPr>
          <w:noProof/>
        </w:rPr>
      </w:pPr>
      <w:r>
        <w:rPr>
          <w:noProof/>
        </w:rPr>
        <w:t>Бележка 4:</w:t>
      </w:r>
    </w:p>
    <w:p>
      <w:pPr>
        <w:pStyle w:val="ManualNumPar1"/>
        <w:rPr>
          <w:noProof/>
        </w:rPr>
      </w:pPr>
      <w:r>
        <w:rPr>
          <w:noProof/>
        </w:rPr>
        <w:t>1.</w:t>
      </w:r>
      <w:r>
        <w:rPr>
          <w:noProof/>
        </w:rPr>
        <w:tab/>
        <w:t>Изразът „естествени влакна“, използван в списъка, се отнася за влакна, които не са изкуствени или синтетични. Той се отнася единствено до етапите преди преденето, като включва и отпадъците, и, освен ако не е предвидено друго, включва влакна, които са кардирани, пенирани или обработени по друг начин, но не изпредени.</w:t>
      </w:r>
    </w:p>
    <w:p>
      <w:pPr>
        <w:pStyle w:val="ManualNumPar1"/>
        <w:rPr>
          <w:noProof/>
        </w:rPr>
      </w:pPr>
      <w:r>
        <w:rPr>
          <w:noProof/>
        </w:rPr>
        <w:t>2.</w:t>
      </w:r>
      <w:r>
        <w:rPr>
          <w:noProof/>
        </w:rPr>
        <w:tab/>
        <w:t>Изразът „естествени влакна“ включва конски косми от позиция № 0503, естествена коприна от позиции № 5002 и 5003, както и влакната от вълна, фините или грубите животински косми от позиции № 5101 — 5105, памучните влакна от позиции № 5201 — 5203 и другите растителни влакна от позиции № 5301 — 5305.</w:t>
      </w:r>
    </w:p>
    <w:p>
      <w:pPr>
        <w:pStyle w:val="ManualNumPar1"/>
        <w:rPr>
          <w:noProof/>
        </w:rPr>
      </w:pPr>
      <w:r>
        <w:rPr>
          <w:noProof/>
        </w:rPr>
        <w:t>3.</w:t>
      </w:r>
      <w:r>
        <w:rPr>
          <w:noProof/>
        </w:rPr>
        <w:tab/>
        <w:t>Изразите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 — 63 и които могат да бъдат използвани за производството на изкуствени, синтетични или хартиени влакна или прежди.</w:t>
      </w:r>
    </w:p>
    <w:p>
      <w:pPr>
        <w:pStyle w:val="ManualNumPar1"/>
        <w:rPr>
          <w:noProof/>
        </w:rPr>
      </w:pPr>
      <w:r>
        <w:rPr>
          <w:noProof/>
        </w:rPr>
        <w:t>4.</w:t>
      </w:r>
      <w:r>
        <w:rPr>
          <w:noProof/>
        </w:rPr>
        <w:tab/>
        <w:t>Изразът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 5501 — 5507.</w:t>
      </w:r>
    </w:p>
    <w:p>
      <w:pPr>
        <w:rPr>
          <w:noProof/>
        </w:rPr>
      </w:pPr>
      <w:r>
        <w:rPr>
          <w:noProof/>
        </w:rPr>
        <w:t>Бележка 5:</w:t>
      </w:r>
    </w:p>
    <w:p>
      <w:pPr>
        <w:pStyle w:val="ManualNumPar1"/>
        <w:rPr>
          <w:noProof/>
        </w:rPr>
      </w:pPr>
      <w:r>
        <w:rPr>
          <w:noProof/>
        </w:rPr>
        <w:t>1.</w:t>
      </w:r>
      <w:r>
        <w:rPr>
          <w:noProof/>
        </w:rPr>
        <w:tab/>
        <w:t>Когато за определен продукт в списъка е направена препратка към тази бележка, условията, посочени в колона 3, не се прилагат за отделните основни текстилни материали, използвани при производството на този продукт, които взети заедно представляват 10 % или по-малко от общото тегло на всички използвани основни текстилни материали. (Вж. също бележки 5.3 и 5.4 по-долу.)</w:t>
      </w:r>
    </w:p>
    <w:p>
      <w:pPr>
        <w:pStyle w:val="ManualNumPar1"/>
        <w:rPr>
          <w:noProof/>
        </w:rPr>
      </w:pPr>
      <w:r>
        <w:rPr>
          <w:noProof/>
        </w:rPr>
        <w:t>2.</w:t>
      </w:r>
      <w:r>
        <w:rPr>
          <w:noProof/>
        </w:rPr>
        <w:tab/>
        <w:t>Толерансът обаче, посочен в бележка 5.1, може да се прилага само при смесени продукти, които са били изработени от два или повече основни текстилни материала.</w:t>
      </w:r>
    </w:p>
    <w:p>
      <w:pPr>
        <w:pStyle w:val="Text1"/>
        <w:rPr>
          <w:noProof/>
        </w:rPr>
      </w:pPr>
      <w:r>
        <w:rPr>
          <w:noProof/>
        </w:rPr>
        <w:lastRenderedPageBreak/>
        <w:t>Основните текстилни материали са, както следва:</w:t>
      </w:r>
    </w:p>
    <w:p>
      <w:pPr>
        <w:pStyle w:val="Tiret1"/>
        <w:numPr>
          <w:ilvl w:val="0"/>
          <w:numId w:val="29"/>
        </w:numPr>
        <w:rPr>
          <w:noProof/>
        </w:rPr>
      </w:pPr>
      <w:r>
        <w:rPr>
          <w:noProof/>
        </w:rPr>
        <w:t>eстествена коприна,</w:t>
      </w:r>
    </w:p>
    <w:p>
      <w:pPr>
        <w:pStyle w:val="Tiret1"/>
        <w:rPr>
          <w:noProof/>
        </w:rPr>
      </w:pPr>
      <w:r>
        <w:rPr>
          <w:noProof/>
        </w:rPr>
        <w:t>вълна,</w:t>
      </w:r>
    </w:p>
    <w:p>
      <w:pPr>
        <w:pStyle w:val="Tiret1"/>
        <w:rPr>
          <w:noProof/>
        </w:rPr>
      </w:pPr>
      <w:r>
        <w:rPr>
          <w:noProof/>
        </w:rPr>
        <w:t>груби животински косми,</w:t>
      </w:r>
    </w:p>
    <w:p>
      <w:pPr>
        <w:pStyle w:val="Tiret1"/>
        <w:rPr>
          <w:noProof/>
        </w:rPr>
      </w:pPr>
      <w:r>
        <w:rPr>
          <w:noProof/>
        </w:rPr>
        <w:t>фини животински косми,</w:t>
      </w:r>
    </w:p>
    <w:p>
      <w:pPr>
        <w:pStyle w:val="Tiret1"/>
        <w:rPr>
          <w:noProof/>
        </w:rPr>
      </w:pPr>
      <w:r>
        <w:rPr>
          <w:noProof/>
        </w:rPr>
        <w:t>конски косми,</w:t>
      </w:r>
    </w:p>
    <w:p>
      <w:pPr>
        <w:pStyle w:val="Tiret1"/>
        <w:rPr>
          <w:noProof/>
        </w:rPr>
      </w:pPr>
      <w:r>
        <w:rPr>
          <w:noProof/>
        </w:rPr>
        <w:t>памук,</w:t>
      </w:r>
    </w:p>
    <w:p>
      <w:pPr>
        <w:pStyle w:val="Tiret1"/>
        <w:rPr>
          <w:noProof/>
        </w:rPr>
      </w:pPr>
      <w:r>
        <w:rPr>
          <w:noProof/>
        </w:rPr>
        <w:t>хартия и материали за производство на хартия,</w:t>
      </w:r>
    </w:p>
    <w:p>
      <w:pPr>
        <w:pStyle w:val="Tiret1"/>
        <w:rPr>
          <w:noProof/>
        </w:rPr>
      </w:pPr>
      <w:r>
        <w:rPr>
          <w:noProof/>
        </w:rPr>
        <w:t>лен,</w:t>
      </w:r>
    </w:p>
    <w:p>
      <w:pPr>
        <w:pStyle w:val="Tiret1"/>
        <w:rPr>
          <w:noProof/>
        </w:rPr>
      </w:pPr>
      <w:r>
        <w:rPr>
          <w:noProof/>
        </w:rPr>
        <w:t>коноп,</w:t>
      </w:r>
    </w:p>
    <w:p>
      <w:pPr>
        <w:pStyle w:val="Tiret1"/>
        <w:rPr>
          <w:noProof/>
        </w:rPr>
      </w:pPr>
      <w:r>
        <w:rPr>
          <w:noProof/>
        </w:rPr>
        <w:t>юта и други текстилни ликови влакна,</w:t>
      </w:r>
    </w:p>
    <w:p>
      <w:pPr>
        <w:pStyle w:val="Tiret1"/>
        <w:rPr>
          <w:noProof/>
        </w:rPr>
      </w:pPr>
      <w:r>
        <w:rPr>
          <w:noProof/>
        </w:rPr>
        <w:t>сизал и други текстилни влакна от рода „Agave“,</w:t>
      </w:r>
    </w:p>
    <w:p>
      <w:pPr>
        <w:pStyle w:val="Tiret1"/>
        <w:rPr>
          <w:noProof/>
        </w:rPr>
      </w:pPr>
      <w:r>
        <w:rPr>
          <w:noProof/>
        </w:rPr>
        <w:t>кокосово влакно, абака, рами и други растителни текстилни влакна,</w:t>
      </w:r>
    </w:p>
    <w:p>
      <w:pPr>
        <w:pStyle w:val="Tiret1"/>
        <w:rPr>
          <w:noProof/>
        </w:rPr>
      </w:pPr>
      <w:r>
        <w:rPr>
          <w:noProof/>
        </w:rPr>
        <w:t>синтетични нишки,</w:t>
      </w:r>
    </w:p>
    <w:p>
      <w:pPr>
        <w:pStyle w:val="Tiret1"/>
        <w:rPr>
          <w:noProof/>
        </w:rPr>
      </w:pPr>
      <w:r>
        <w:rPr>
          <w:noProof/>
        </w:rPr>
        <w:t>изкуствени нишки,</w:t>
      </w:r>
    </w:p>
    <w:p>
      <w:pPr>
        <w:pStyle w:val="Tiret1"/>
        <w:rPr>
          <w:noProof/>
        </w:rPr>
      </w:pPr>
      <w:r>
        <w:rPr>
          <w:noProof/>
        </w:rPr>
        <w:t>електропроводими нишки,</w:t>
      </w:r>
    </w:p>
    <w:p>
      <w:pPr>
        <w:pStyle w:val="Tiret1"/>
        <w:rPr>
          <w:noProof/>
        </w:rPr>
      </w:pPr>
      <w:r>
        <w:rPr>
          <w:noProof/>
        </w:rPr>
        <w:t>синтетични щапелни влакна от полипропилен,</w:t>
      </w:r>
    </w:p>
    <w:p>
      <w:pPr>
        <w:pStyle w:val="Tiret1"/>
        <w:rPr>
          <w:noProof/>
        </w:rPr>
      </w:pPr>
      <w:r>
        <w:rPr>
          <w:noProof/>
        </w:rPr>
        <w:t>синтетични щапелни влакна от полиестер,</w:t>
      </w:r>
    </w:p>
    <w:p>
      <w:pPr>
        <w:pStyle w:val="Tiret1"/>
        <w:rPr>
          <w:noProof/>
        </w:rPr>
      </w:pPr>
      <w:r>
        <w:rPr>
          <w:noProof/>
        </w:rPr>
        <w:t>синтетични щапелни влакна от полиамид,</w:t>
      </w:r>
    </w:p>
    <w:p>
      <w:pPr>
        <w:pStyle w:val="Tiret1"/>
        <w:rPr>
          <w:noProof/>
        </w:rPr>
      </w:pPr>
      <w:r>
        <w:rPr>
          <w:noProof/>
        </w:rPr>
        <w:t>синтетични щапелни влакна от полиакрилонитрил,</w:t>
      </w:r>
    </w:p>
    <w:p>
      <w:pPr>
        <w:pStyle w:val="Tiret1"/>
        <w:rPr>
          <w:noProof/>
        </w:rPr>
      </w:pPr>
      <w:r>
        <w:rPr>
          <w:noProof/>
        </w:rPr>
        <w:t>синтетични щапелни влакна от полиимид,</w:t>
      </w:r>
    </w:p>
    <w:p>
      <w:pPr>
        <w:pStyle w:val="Tiret1"/>
        <w:rPr>
          <w:noProof/>
        </w:rPr>
      </w:pPr>
      <w:r>
        <w:rPr>
          <w:noProof/>
        </w:rPr>
        <w:t>синтетични щапелни влакна от политетрафлуороетилен,</w:t>
      </w:r>
    </w:p>
    <w:p>
      <w:pPr>
        <w:pStyle w:val="Tiret1"/>
        <w:rPr>
          <w:noProof/>
        </w:rPr>
      </w:pPr>
      <w:r>
        <w:rPr>
          <w:noProof/>
        </w:rPr>
        <w:t>синтетични щапелни влакна от полифенилен сулфид,</w:t>
      </w:r>
    </w:p>
    <w:p>
      <w:pPr>
        <w:pStyle w:val="Tiret1"/>
        <w:rPr>
          <w:noProof/>
        </w:rPr>
      </w:pPr>
      <w:r>
        <w:rPr>
          <w:noProof/>
        </w:rPr>
        <w:t>синтетични щапелни влакна от поливинилхлорид,</w:t>
      </w:r>
    </w:p>
    <w:p>
      <w:pPr>
        <w:pStyle w:val="Tiret1"/>
        <w:rPr>
          <w:noProof/>
        </w:rPr>
      </w:pPr>
      <w:r>
        <w:rPr>
          <w:noProof/>
        </w:rPr>
        <w:t>други синтетични щапелни влакна,</w:t>
      </w:r>
    </w:p>
    <w:p>
      <w:pPr>
        <w:pStyle w:val="Tiret1"/>
        <w:rPr>
          <w:noProof/>
        </w:rPr>
      </w:pPr>
      <w:r>
        <w:rPr>
          <w:noProof/>
        </w:rPr>
        <w:t>изкуствени щапелни влакна от вискоза,</w:t>
      </w:r>
    </w:p>
    <w:p>
      <w:pPr>
        <w:pStyle w:val="Tiret1"/>
        <w:rPr>
          <w:noProof/>
        </w:rPr>
      </w:pPr>
      <w:r>
        <w:rPr>
          <w:noProof/>
        </w:rPr>
        <w:t>други изкуствени щапелни влакна,</w:t>
      </w:r>
    </w:p>
    <w:p>
      <w:pPr>
        <w:pStyle w:val="Tiret1"/>
        <w:rPr>
          <w:noProof/>
        </w:rPr>
      </w:pPr>
      <w:r>
        <w:rPr>
          <w:noProof/>
        </w:rPr>
        <w:t>прежди от полиуретан, с полиетерни гъвкави сегменти, дори обвити,</w:t>
      </w:r>
    </w:p>
    <w:p>
      <w:pPr>
        <w:pStyle w:val="Tiret1"/>
        <w:rPr>
          <w:noProof/>
        </w:rPr>
      </w:pPr>
      <w:r>
        <w:rPr>
          <w:noProof/>
        </w:rPr>
        <w:t>прежди от полиуретан, с полиестерни гъвкави сегменти, дори обвити,</w:t>
      </w:r>
    </w:p>
    <w:p>
      <w:pPr>
        <w:pStyle w:val="Tiret1"/>
        <w:rPr>
          <w:noProof/>
        </w:rPr>
      </w:pPr>
      <w:r>
        <w:rPr>
          <w:noProof/>
        </w:rPr>
        <w:t xml:space="preserve">продукти от позиция №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w:t>
      </w:r>
      <w:r>
        <w:rPr>
          <w:noProof/>
        </w:rPr>
        <w:lastRenderedPageBreak/>
        <w:t>5 mm, слепена чрез прозрачно или цветно лепило между два слоя пластмасов филм,</w:t>
      </w:r>
    </w:p>
    <w:p>
      <w:pPr>
        <w:pStyle w:val="Tiret1"/>
        <w:rPr>
          <w:noProof/>
        </w:rPr>
      </w:pPr>
      <w:r>
        <w:rPr>
          <w:noProof/>
        </w:rPr>
        <w:t>други продукти от позиция № 5605.</w:t>
      </w:r>
    </w:p>
    <w:p>
      <w:pPr>
        <w:pStyle w:val="Text1"/>
        <w:rPr>
          <w:noProof/>
        </w:rPr>
      </w:pPr>
      <w:r>
        <w:rPr>
          <w:noProof/>
        </w:rPr>
        <w:t>Пример:</w:t>
      </w:r>
    </w:p>
    <w:p>
      <w:pPr>
        <w:pStyle w:val="Text1"/>
        <w:rPr>
          <w:noProof/>
        </w:rPr>
      </w:pPr>
      <w:r>
        <w:rPr>
          <w:noProof/>
        </w:rPr>
        <w:t>Прежда от позиция № 5205, изработена от памучни влакна от позиция № 5203 и синтетични щапелни влакна от позиция № 5506, е смесена прежда. Поради това синтетичните щапелни влакна без произход, които не отговарят на правилата за произход (изискващи производство от химически материали или от предилна маса), могат да бъдат използвани в съотношение до 10 % от теглото на преждата.</w:t>
      </w:r>
    </w:p>
    <w:p>
      <w:pPr>
        <w:pStyle w:val="Text1"/>
        <w:rPr>
          <w:noProof/>
        </w:rPr>
      </w:pPr>
      <w:r>
        <w:rPr>
          <w:noProof/>
        </w:rPr>
        <w:t>Пример:</w:t>
      </w:r>
    </w:p>
    <w:p>
      <w:pPr>
        <w:pStyle w:val="Text1"/>
        <w:rPr>
          <w:noProof/>
        </w:rPr>
      </w:pPr>
      <w:r>
        <w:rPr>
          <w:noProof/>
        </w:rPr>
        <w:t>Вълнена тъкан от позиция № 5112, изработена от вълнена прежда от позиция № 5107 и синтетична прежда от щапелни влакна от позиция № 5509, е смесена тъкан. Поради това синтетичната прежда, която не отговаря на правилата за произход (изискващи производство от химически материали или от предилна маса), или вълнената прежда, която не отговаря на правилата за произход (изискващи производство от естествени влакна, които не са кардирани или пенирани или подготвени по друг начин за предене), или комбинацията от двата вида може да бъде използвана, при условие че общото ѝ тегло не надхвърля 10 % от теглото на тъканта.</w:t>
      </w:r>
    </w:p>
    <w:p>
      <w:pPr>
        <w:pStyle w:val="Text1"/>
        <w:rPr>
          <w:noProof/>
        </w:rPr>
      </w:pPr>
      <w:r>
        <w:rPr>
          <w:noProof/>
        </w:rPr>
        <w:t>Пример:</w:t>
      </w:r>
    </w:p>
    <w:p>
      <w:pPr>
        <w:pStyle w:val="Text1"/>
        <w:rPr>
          <w:noProof/>
        </w:rPr>
      </w:pPr>
      <w:r>
        <w:rPr>
          <w:noProof/>
        </w:rPr>
        <w:t>Тъфтинг изделие от позиция № 5802, изработено от памучна прежда от позиция № 5205 и памучна тъкан от позиция № 5210, е смесен продукт само ако памучната тъкан сама по себе си е смесена тъкан, изработена от прежди, класирани в две отделни позиции, или ако използваните памучни прежди сами по себе си са смеси.</w:t>
      </w:r>
    </w:p>
    <w:p>
      <w:pPr>
        <w:pStyle w:val="Text1"/>
        <w:rPr>
          <w:noProof/>
        </w:rPr>
      </w:pPr>
      <w:r>
        <w:rPr>
          <w:noProof/>
        </w:rPr>
        <w:t>Пример:</w:t>
      </w:r>
    </w:p>
    <w:p>
      <w:pPr>
        <w:pStyle w:val="Text1"/>
        <w:rPr>
          <w:noProof/>
        </w:rPr>
      </w:pPr>
      <w:r>
        <w:rPr>
          <w:noProof/>
        </w:rPr>
        <w:t>Ако съответното тъфтинг изделие е било произведено от памучна прежда от позиция № 5205 и синтетична тъкан от позиция № 5407, тогава очевидно използваните прежди са два отделни основни текстилни материала и тъфтинг изделието съответно е смесен продукт.</w:t>
      </w:r>
    </w:p>
    <w:p>
      <w:pPr>
        <w:pStyle w:val="ManualNumPar1"/>
        <w:rPr>
          <w:noProof/>
        </w:rPr>
      </w:pPr>
      <w:r>
        <w:rPr>
          <w:noProof/>
        </w:rPr>
        <w:t>3.</w:t>
      </w:r>
      <w:r>
        <w:rPr>
          <w:noProof/>
        </w:rPr>
        <w:tab/>
        <w:t>В случай на продукти, включващи „прежди от полиуретан, с полиетерни гъвкави сегменти, дори обвити“, този толеранс е 20 % по отношение на тази прежда.</w:t>
      </w:r>
    </w:p>
    <w:p>
      <w:pPr>
        <w:pStyle w:val="ManualNumPar1"/>
        <w:rPr>
          <w:noProof/>
        </w:rPr>
      </w:pPr>
      <w:r>
        <w:rPr>
          <w:noProof/>
        </w:rPr>
        <w:t>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лепило между два слоя пластмасов филм“, този толеранс е 30 % по отношение на тази лента.</w:t>
      </w:r>
    </w:p>
    <w:p>
      <w:pPr>
        <w:rPr>
          <w:noProof/>
        </w:rPr>
      </w:pPr>
      <w:r>
        <w:rPr>
          <w:noProof/>
        </w:rPr>
        <w:t>Бележка 6:</w:t>
      </w:r>
    </w:p>
    <w:p>
      <w:pPr>
        <w:pStyle w:val="ManualNumPar1"/>
        <w:rPr>
          <w:noProof/>
        </w:rPr>
      </w:pPr>
      <w:r>
        <w:rPr>
          <w:noProof/>
        </w:rPr>
        <w:t>1.</w:t>
      </w:r>
      <w:r>
        <w:rPr>
          <w:noProof/>
        </w:rPr>
        <w:tab/>
        <w:t xml:space="preserve">По отношение на текстилните продукти, които са отбелязани в списъка с бележка под линия, препращаща към настоящата уводна бележка, текстилните гарнитури (пасмантерийни изделия) и принадлежности, които не отговарят на правилото, предвидено в колона 3 от списъка за съответните продукти, които са изработени от </w:t>
      </w:r>
      <w:r>
        <w:rPr>
          <w:noProof/>
        </w:rPr>
        <w:lastRenderedPageBreak/>
        <w:t>тях, могат да се използват, при условие че тяхното тегло не надхвърля 10 % от общото тегло на всички вложени текстилни материали.</w:t>
      </w:r>
    </w:p>
    <w:p>
      <w:pPr>
        <w:pStyle w:val="Text1"/>
        <w:rPr>
          <w:noProof/>
        </w:rPr>
      </w:pPr>
      <w:r>
        <w:rPr>
          <w:noProof/>
        </w:rPr>
        <w:t>Текстилните гарнитури (пасмантерийни изделия) и принадлежности са класирани в глави 50 — 63. Подплатите и междинните подплати не се считат за гарнитури или принадлежности.</w:t>
      </w:r>
    </w:p>
    <w:p>
      <w:pPr>
        <w:pStyle w:val="ManualNumPar1"/>
        <w:rPr>
          <w:noProof/>
        </w:rPr>
      </w:pPr>
      <w:r>
        <w:rPr>
          <w:noProof/>
        </w:rPr>
        <w:t>2.</w:t>
      </w:r>
      <w:r>
        <w:rPr>
          <w:noProof/>
        </w:rPr>
        <w:tab/>
        <w:t>Нетекстилните гарнитури и принадлежности или другите използвани материали, в които се съдържа текстил, не е необходимо да отговарят на условията, предвидени в колона 3, дори ако попадат извън обхвата на бележка 3.5.</w:t>
      </w:r>
    </w:p>
    <w:p>
      <w:pPr>
        <w:pStyle w:val="ManualNumPar1"/>
        <w:rPr>
          <w:noProof/>
        </w:rPr>
      </w:pPr>
      <w:r>
        <w:rPr>
          <w:noProof/>
        </w:rPr>
        <w:t>3.</w:t>
      </w:r>
      <w:r>
        <w:rPr>
          <w:noProof/>
        </w:rPr>
        <w:tab/>
        <w:t>В съответствие с бележка 3.5 всички нетекстилни гарнитури и принадлежности или други продукти, които са без произход и които не съдържат никакъв текстил, могат въпреки това да се използват свободно, когато не могат да бъдат изработени от материалите, изброени в колона 3.</w:t>
      </w:r>
    </w:p>
    <w:p>
      <w:pPr>
        <w:pStyle w:val="Text1"/>
        <w:rPr>
          <w:noProof/>
        </w:rPr>
      </w:pPr>
      <w:r>
        <w:rPr>
          <w:noProof/>
        </w:rPr>
        <w:t>Например</w:t>
      </w:r>
      <w:r>
        <w:rPr>
          <w:rStyle w:val="FootnoteReference"/>
          <w:noProof/>
        </w:rPr>
        <w:footnoteReference w:id="10"/>
      </w:r>
      <w:r>
        <w:rPr>
          <w:noProof/>
        </w:rPr>
        <w:t xml:space="preserve"> ако правило в списъка предвижда, че за определен текстилен артикул, като блуза, трябва да се използва прежда, това не означава, че не могат да се използват метални артикули като копчета, защото те не могат да бъдат направени от текстилни материали.</w:t>
      </w:r>
    </w:p>
    <w:p>
      <w:pPr>
        <w:pStyle w:val="ManualNumPar1"/>
        <w:rPr>
          <w:noProof/>
        </w:rPr>
      </w:pPr>
      <w:r>
        <w:rPr>
          <w:noProof/>
        </w:rPr>
        <w:t>4.</w:t>
      </w:r>
      <w:r>
        <w:rPr>
          <w:noProof/>
        </w:rPr>
        <w:tab/>
        <w:t>Когато се прилага процентно правило, стойността на гарнитурите и принадлежностите трябва да бъде взета предвид при изчисляването на стойността на вложените материали без произход.</w:t>
      </w:r>
    </w:p>
    <w:p>
      <w:pPr>
        <w:rPr>
          <w:noProof/>
        </w:rPr>
      </w:pPr>
      <w:r>
        <w:rPr>
          <w:noProof/>
        </w:rPr>
        <w:t>Бележка 7:</w:t>
      </w:r>
    </w:p>
    <w:p>
      <w:pPr>
        <w:pStyle w:val="ManualNumPar1"/>
        <w:rPr>
          <w:noProof/>
        </w:rPr>
      </w:pPr>
      <w:r>
        <w:rPr>
          <w:noProof/>
        </w:rPr>
        <w:t>1.</w:t>
      </w:r>
      <w:r>
        <w:rPr>
          <w:noProof/>
        </w:rPr>
        <w:tab/>
        <w:t>За целите на позиции № ex 2707, 2713 — 2715, ex 2901, ex 2902 и ex 3403, под „специфични преработки“ се разбират следните операции:</w:t>
      </w:r>
    </w:p>
    <w:p>
      <w:pPr>
        <w:pStyle w:val="Point1"/>
        <w:rPr>
          <w:noProof/>
        </w:rPr>
      </w:pPr>
      <w:r>
        <w:rPr>
          <w:noProof/>
        </w:rPr>
        <w:t>а)</w:t>
      </w:r>
      <w:r>
        <w:rPr>
          <w:noProof/>
        </w:rPr>
        <w:tab/>
        <w:t>вакуумна дестилация;</w:t>
      </w:r>
    </w:p>
    <w:p>
      <w:pPr>
        <w:pStyle w:val="Point1"/>
        <w:rPr>
          <w:noProof/>
        </w:rPr>
      </w:pPr>
      <w:r>
        <w:rPr>
          <w:noProof/>
        </w:rPr>
        <w:t>б)</w:t>
      </w:r>
      <w:r>
        <w:rPr>
          <w:noProof/>
        </w:rPr>
        <w:tab/>
        <w:t>редестилация чрез процес на дълбоко фракциониране</w:t>
      </w:r>
      <w:r>
        <w:rPr>
          <w:rStyle w:val="FootnoteReference"/>
          <w:noProof/>
        </w:rPr>
        <w:footnoteReference w:id="11"/>
      </w:r>
      <w:r>
        <w:rPr>
          <w:noProof/>
        </w:rPr>
        <w:t>;</w:t>
      </w:r>
    </w:p>
    <w:p>
      <w:pPr>
        <w:pStyle w:val="Point1"/>
        <w:rPr>
          <w:noProof/>
        </w:rPr>
      </w:pPr>
      <w:r>
        <w:rPr>
          <w:noProof/>
        </w:rPr>
        <w:t>в)</w:t>
      </w:r>
      <w:r>
        <w:rPr>
          <w:noProof/>
        </w:rPr>
        <w:tab/>
        <w:t>крекинг;</w:t>
      </w:r>
    </w:p>
    <w:p>
      <w:pPr>
        <w:pStyle w:val="Point1"/>
        <w:rPr>
          <w:noProof/>
        </w:rPr>
      </w:pPr>
      <w:r>
        <w:rPr>
          <w:noProof/>
        </w:rPr>
        <w:t>г)</w:t>
      </w:r>
      <w:r>
        <w:rPr>
          <w:noProof/>
        </w:rPr>
        <w:tab/>
        <w:t>риформинг;</w:t>
      </w:r>
    </w:p>
    <w:p>
      <w:pPr>
        <w:pStyle w:val="Point1"/>
        <w:rPr>
          <w:noProof/>
        </w:rPr>
      </w:pPr>
      <w:r>
        <w:rPr>
          <w:noProof/>
        </w:rPr>
        <w:t>д)</w:t>
      </w:r>
      <w:r>
        <w:rPr>
          <w:noProof/>
        </w:rPr>
        <w:tab/>
        <w:t>екстракция чрез селективни разтворители;</w:t>
      </w:r>
    </w:p>
    <w:p>
      <w:pPr>
        <w:pStyle w:val="Point1"/>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rPr>
          <w:noProof/>
        </w:rPr>
      </w:pPr>
      <w:r>
        <w:rPr>
          <w:noProof/>
        </w:rPr>
        <w:t>ж)</w:t>
      </w:r>
      <w:r>
        <w:rPr>
          <w:noProof/>
        </w:rPr>
        <w:tab/>
        <w:t>полимеризация;</w:t>
      </w:r>
    </w:p>
    <w:p>
      <w:pPr>
        <w:pStyle w:val="Point1"/>
        <w:rPr>
          <w:noProof/>
        </w:rPr>
      </w:pPr>
      <w:r>
        <w:rPr>
          <w:noProof/>
        </w:rPr>
        <w:t>з)</w:t>
      </w:r>
      <w:r>
        <w:rPr>
          <w:noProof/>
        </w:rPr>
        <w:tab/>
        <w:t>алкилиране;</w:t>
      </w:r>
    </w:p>
    <w:p>
      <w:pPr>
        <w:pStyle w:val="Point1"/>
        <w:rPr>
          <w:noProof/>
        </w:rPr>
      </w:pPr>
      <w:r>
        <w:rPr>
          <w:noProof/>
        </w:rPr>
        <w:t>и)</w:t>
      </w:r>
      <w:r>
        <w:rPr>
          <w:noProof/>
        </w:rPr>
        <w:tab/>
        <w:t>изомеризация.</w:t>
      </w:r>
    </w:p>
    <w:p>
      <w:pPr>
        <w:pStyle w:val="ManualNumPar1"/>
        <w:rPr>
          <w:noProof/>
        </w:rPr>
      </w:pPr>
      <w:r>
        <w:rPr>
          <w:noProof/>
        </w:rPr>
        <w:lastRenderedPageBreak/>
        <w:t>2.</w:t>
      </w:r>
      <w:r>
        <w:rPr>
          <w:noProof/>
        </w:rPr>
        <w:tab/>
        <w:t>За целите на позиции № 2710, 2711 и 2712 под „специфични преработки“ се разбират следните операции:</w:t>
      </w:r>
    </w:p>
    <w:p>
      <w:pPr>
        <w:pStyle w:val="Point1"/>
        <w:rPr>
          <w:noProof/>
        </w:rPr>
      </w:pPr>
      <w:r>
        <w:rPr>
          <w:noProof/>
        </w:rPr>
        <w:t>а)</w:t>
      </w:r>
      <w:r>
        <w:rPr>
          <w:noProof/>
        </w:rPr>
        <w:tab/>
        <w:t>вакуумна дестилация;</w:t>
      </w:r>
    </w:p>
    <w:p>
      <w:pPr>
        <w:pStyle w:val="Point1"/>
        <w:rPr>
          <w:noProof/>
        </w:rPr>
      </w:pPr>
      <w:r>
        <w:rPr>
          <w:noProof/>
        </w:rPr>
        <w:t>б)</w:t>
      </w:r>
      <w:r>
        <w:rPr>
          <w:noProof/>
        </w:rPr>
        <w:tab/>
        <w:t>редестилация чрез процес на дълбоко фракциониране</w:t>
      </w:r>
      <w:r>
        <w:rPr>
          <w:rStyle w:val="FootnoteReference"/>
          <w:noProof/>
        </w:rPr>
        <w:footnoteReference w:id="12"/>
      </w:r>
      <w:r>
        <w:rPr>
          <w:noProof/>
        </w:rPr>
        <w:t>;</w:t>
      </w:r>
    </w:p>
    <w:p>
      <w:pPr>
        <w:pStyle w:val="Point1"/>
        <w:rPr>
          <w:noProof/>
        </w:rPr>
      </w:pPr>
      <w:r>
        <w:rPr>
          <w:noProof/>
        </w:rPr>
        <w:t>в)</w:t>
      </w:r>
      <w:r>
        <w:rPr>
          <w:noProof/>
        </w:rPr>
        <w:tab/>
        <w:t>крекинг;</w:t>
      </w:r>
    </w:p>
    <w:p>
      <w:pPr>
        <w:pStyle w:val="Point1"/>
        <w:rPr>
          <w:noProof/>
        </w:rPr>
      </w:pPr>
      <w:r>
        <w:rPr>
          <w:noProof/>
        </w:rPr>
        <w:t>г)</w:t>
      </w:r>
      <w:r>
        <w:rPr>
          <w:noProof/>
        </w:rPr>
        <w:tab/>
        <w:t>риформинг;</w:t>
      </w:r>
    </w:p>
    <w:p>
      <w:pPr>
        <w:pStyle w:val="Point1"/>
        <w:rPr>
          <w:noProof/>
        </w:rPr>
      </w:pPr>
      <w:r>
        <w:rPr>
          <w:noProof/>
        </w:rPr>
        <w:t>д)</w:t>
      </w:r>
      <w:r>
        <w:rPr>
          <w:noProof/>
        </w:rPr>
        <w:tab/>
        <w:t>екстракция чрез селективни разтворители;</w:t>
      </w:r>
    </w:p>
    <w:p>
      <w:pPr>
        <w:pStyle w:val="Point1"/>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rPr>
          <w:noProof/>
        </w:rPr>
      </w:pPr>
      <w:r>
        <w:rPr>
          <w:noProof/>
        </w:rPr>
        <w:t>ж)</w:t>
      </w:r>
      <w:r>
        <w:rPr>
          <w:noProof/>
        </w:rPr>
        <w:tab/>
        <w:t>полимеризация;</w:t>
      </w:r>
    </w:p>
    <w:p>
      <w:pPr>
        <w:pStyle w:val="Point1"/>
        <w:rPr>
          <w:noProof/>
        </w:rPr>
      </w:pPr>
      <w:r>
        <w:rPr>
          <w:noProof/>
        </w:rPr>
        <w:t>з)</w:t>
      </w:r>
      <w:r>
        <w:rPr>
          <w:noProof/>
        </w:rPr>
        <w:tab/>
        <w:t>алкилиране;</w:t>
      </w:r>
    </w:p>
    <w:p>
      <w:pPr>
        <w:pStyle w:val="Point1"/>
        <w:rPr>
          <w:noProof/>
        </w:rPr>
      </w:pPr>
      <w:r>
        <w:rPr>
          <w:noProof/>
        </w:rPr>
        <w:t>и)</w:t>
      </w:r>
      <w:r>
        <w:rPr>
          <w:noProof/>
        </w:rPr>
        <w:tab/>
        <w:t>изомеризация;</w:t>
      </w:r>
    </w:p>
    <w:p>
      <w:pPr>
        <w:pStyle w:val="Point1"/>
        <w:rPr>
          <w:noProof/>
        </w:rPr>
      </w:pPr>
      <w:r>
        <w:rPr>
          <w:noProof/>
        </w:rPr>
        <w:t>й)</w:t>
      </w:r>
      <w:r>
        <w:rPr>
          <w:noProof/>
        </w:rPr>
        <w:tab/>
        <w:t>десулфуризация с помощта на водород, само по отношение на тежките масла, попадащи в позиция № ех 2710, водеща до намаляване най-малко с 85 % на съдържанието на сяра в обработваните продукти (метод ASTM D 1266-59 T);</w:t>
      </w:r>
    </w:p>
    <w:p>
      <w:pPr>
        <w:pStyle w:val="Point1"/>
        <w:rPr>
          <w:noProof/>
        </w:rPr>
      </w:pPr>
      <w:r>
        <w:rPr>
          <w:noProof/>
        </w:rPr>
        <w:t>к)</w:t>
      </w:r>
      <w:r>
        <w:rPr>
          <w:noProof/>
        </w:rPr>
        <w:tab/>
        <w:t>депарафинизация по начин, различен от обикновеното филтруване, само за продуктите, попадащи в позиция № 2710;</w:t>
      </w:r>
    </w:p>
    <w:p>
      <w:pPr>
        <w:pStyle w:val="Point1"/>
        <w:rPr>
          <w:noProof/>
        </w:rPr>
      </w:pPr>
      <w:r>
        <w:rPr>
          <w:noProof/>
        </w:rPr>
        <w:t>л)</w:t>
      </w:r>
      <w:r>
        <w:rPr>
          <w:noProof/>
        </w:rPr>
        <w:tab/>
        <w:t>обработка с водород, различна от десулфуризацията, само по отношение на тежките масла, попадащи в позиция № ех 2710, при която водородът участва активно в химическа реакция, осъществена при налягане, по-високо от 20 bar, и при температура, по-висока от 250 °С, с помощта на катализатор. Довършителната обработка с водород на смазочните масла от позиция № ех 2710, целяща подобряване на цвета или на стабилността (например хидроочистка или обезцветяване), обаче не се счита за специфична преработка;</w:t>
      </w:r>
    </w:p>
    <w:p>
      <w:pPr>
        <w:pStyle w:val="Point1"/>
        <w:rPr>
          <w:noProof/>
        </w:rPr>
      </w:pPr>
      <w:r>
        <w:rPr>
          <w:noProof/>
        </w:rPr>
        <w:t>м)</w:t>
      </w:r>
      <w:r>
        <w:rPr>
          <w:noProof/>
        </w:rPr>
        <w:tab/>
        <w:t>атмосферна дестилация, само по отношение на тежките горива (</w:t>
      </w:r>
      <w:r>
        <w:rPr>
          <w:i/>
          <w:noProof/>
        </w:rPr>
        <w:t>fuel oils</w:t>
      </w:r>
      <w:r>
        <w:rPr>
          <w:noProof/>
        </w:rPr>
        <w:t>), попадащи в позиция № ех 2710, при условие че тези продукти при дестилация по метода ASTM D 86 при 300 °С дестилират по-малко от 30 обемни % (включително загубите);</w:t>
      </w:r>
    </w:p>
    <w:p>
      <w:pPr>
        <w:pStyle w:val="Point1"/>
        <w:rPr>
          <w:noProof/>
        </w:rPr>
      </w:pPr>
      <w:r>
        <w:rPr>
          <w:noProof/>
        </w:rPr>
        <w:t>н)</w:t>
      </w:r>
      <w:r>
        <w:rPr>
          <w:noProof/>
        </w:rPr>
        <w:tab/>
        <w:t>обработка чрез електрически ток с висока честота, единствено за тежките масла, различни от газьол и тежки горива (</w:t>
      </w:r>
      <w:r>
        <w:rPr>
          <w:i/>
          <w:noProof/>
        </w:rPr>
        <w:t>fuel oils</w:t>
      </w:r>
      <w:r>
        <w:rPr>
          <w:noProof/>
        </w:rPr>
        <w:t>) от позиция № ex 2710.</w:t>
      </w:r>
    </w:p>
    <w:p>
      <w:pPr>
        <w:pStyle w:val="ManualNumPar1"/>
        <w:rPr>
          <w:noProof/>
        </w:rPr>
      </w:pPr>
      <w:r>
        <w:rPr>
          <w:noProof/>
        </w:rPr>
        <w:t>3.</w:t>
      </w:r>
      <w:r>
        <w:rPr>
          <w:noProof/>
        </w:rPr>
        <w:tab/>
        <w:t xml:space="preserve">За целите на позиции № ех 2707, 2713 — 2715, ех 2901, ех 2902 и ех 3403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всякакви </w:t>
      </w:r>
      <w:r>
        <w:rPr>
          <w:noProof/>
        </w:rPr>
        <w:lastRenderedPageBreak/>
        <w:t>комбинации от тези или подобни операции не придават статут на продукт с произход.</w:t>
      </w:r>
    </w:p>
    <w:p>
      <w:pPr>
        <w:rPr>
          <w:noProof/>
        </w:rPr>
      </w:pPr>
      <w:r>
        <w:rPr>
          <w:noProof/>
        </w:rPr>
        <w:t>Бележка 8</w:t>
      </w:r>
    </w:p>
    <w:p>
      <w:pPr>
        <w:rPr>
          <w:b/>
          <w:noProof/>
        </w:rPr>
      </w:pPr>
      <w:r>
        <w:rPr>
          <w:b/>
          <w:noProof/>
        </w:rPr>
        <w:t>Общи разпоредби относно някои селскостопански стоки</w:t>
      </w:r>
    </w:p>
    <w:p>
      <w:pPr>
        <w:pStyle w:val="ManualNumPar1"/>
        <w:rPr>
          <w:noProof/>
        </w:rPr>
      </w:pPr>
      <w:r>
        <w:rPr>
          <w:noProof/>
        </w:rPr>
        <w:t>1.</w:t>
      </w:r>
      <w:r>
        <w:rPr>
          <w:noProof/>
        </w:rPr>
        <w:tab/>
        <w:t>Всички стоки, представляващи селскостопански стоки и попадащи в глави 6, 7, 8, 9, 10, 12 и в позиция 2401, които са отгледани или прибрани на територията на държавата бенефициер, се третират като стоки с произход от територията на посочената държава, дори ако са отгледани от семена, луковици, подложки, резници, присадки, филизи, пъпки или други живи части от растения, внесени от друга държава.</w:t>
      </w:r>
    </w:p>
    <w:p>
      <w:pPr>
        <w:pStyle w:val="ManualNumPar1"/>
        <w:rPr>
          <w:noProof/>
        </w:rPr>
      </w:pPr>
      <w:r>
        <w:rPr>
          <w:noProof/>
        </w:rPr>
        <w:t>2.</w:t>
      </w:r>
      <w:r>
        <w:rPr>
          <w:noProof/>
        </w:rPr>
        <w:tab/>
        <w:t>В случаи, при които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rPr>
          <w:noProof/>
        </w:rPr>
        <w:sectPr>
          <w:endnotePr>
            <w:numFmt w:val="decimal"/>
          </w:endnotePr>
          <w:pgSz w:w="11907" w:h="16840" w:code="9"/>
          <w:pgMar w:top="1134" w:right="1134" w:bottom="1134" w:left="1134" w:header="1134" w:footer="1134" w:gutter="0"/>
          <w:cols w:space="720"/>
          <w:docGrid w:linePitch="326"/>
        </w:sectPr>
      </w:pPr>
    </w:p>
    <w:p>
      <w:pPr>
        <w:spacing w:before="0" w:after="240"/>
        <w:jc w:val="center"/>
        <w:rPr>
          <w:rFonts w:eastAsia="Times New Roman"/>
          <w:b/>
          <w:noProof/>
          <w:sz w:val="28"/>
          <w:szCs w:val="28"/>
          <w:u w:val="single"/>
        </w:rPr>
      </w:pPr>
      <w:r>
        <w:rPr>
          <w:b/>
          <w:noProof/>
          <w:sz w:val="28"/>
          <w:u w:val="single"/>
        </w:rPr>
        <w:lastRenderedPageBreak/>
        <w:t>ПРИЛОЖЕНИЕ II</w:t>
      </w:r>
    </w:p>
    <w:p>
      <w:pPr>
        <w:spacing w:before="0" w:after="240"/>
        <w:jc w:val="center"/>
        <w:rPr>
          <w:rFonts w:eastAsia="Times New Roman"/>
          <w:noProof/>
          <w:szCs w:val="24"/>
        </w:rPr>
      </w:pPr>
      <w:r>
        <w:rPr>
          <w:noProof/>
        </w:rPr>
        <w:t>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w:t>
      </w:r>
    </w:p>
    <w:p>
      <w:pPr>
        <w:spacing w:after="240"/>
        <w:rPr>
          <w:noProof/>
        </w:rPr>
      </w:pPr>
      <w:r>
        <w:rPr>
          <w:noProof/>
        </w:rPr>
        <w:t>Възможно е не всички продукти, включени в списъка, да попадат в обхвата на настоящото споразумение. Поради това е необходимо да се направи справка с останалите части от настоящото споразумение.</w:t>
      </w:r>
    </w:p>
    <w:tbl>
      <w:tblPr>
        <w:tblW w:w="4533" w:type="pct"/>
        <w:tblInd w:w="-72" w:type="dxa"/>
        <w:tblLayout w:type="fixed"/>
        <w:tblLook w:val="0000" w:firstRow="0" w:lastRow="0" w:firstColumn="0" w:lastColumn="0" w:noHBand="0" w:noVBand="0"/>
      </w:tblPr>
      <w:tblGrid>
        <w:gridCol w:w="989"/>
        <w:gridCol w:w="1951"/>
        <w:gridCol w:w="1537"/>
        <w:gridCol w:w="1456"/>
        <w:gridCol w:w="1501"/>
        <w:gridCol w:w="1494"/>
        <w:gridCol w:w="7"/>
      </w:tblGrid>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Позиция от ХС №</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Описание на продукта</w:t>
            </w:r>
          </w:p>
        </w:tc>
        <w:tc>
          <w:tcPr>
            <w:tcW w:w="3355" w:type="pct"/>
            <w:gridSpan w:val="5"/>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center"/>
              <w:rPr>
                <w:rFonts w:eastAsia="Times New Roman"/>
                <w:b/>
                <w:noProof/>
                <w:sz w:val="16"/>
                <w:szCs w:val="16"/>
              </w:rPr>
            </w:pPr>
            <w:r>
              <w:rPr>
                <w:b/>
                <w:noProof/>
                <w:sz w:val="16"/>
              </w:rPr>
              <w:t>Обработка или преработка, извършена върху материали без произход, която придава статут на продукт с произход</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(1)</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--------------(3)-------------или------------(4)</w:t>
            </w:r>
          </w:p>
        </w:tc>
        <w:tc>
          <w:tcPr>
            <w:tcW w:w="1680" w:type="pct"/>
            <w:gridSpan w:val="3"/>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--------------(5)-------------или-------------(6)</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За износа от ЕС за Източноафриканската общност</w:t>
            </w:r>
          </w:p>
        </w:tc>
        <w:tc>
          <w:tcPr>
            <w:tcW w:w="815"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За износа от ЕС за Източноафриканската общност</w:t>
            </w:r>
          </w:p>
        </w:tc>
        <w:tc>
          <w:tcPr>
            <w:tcW w:w="84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За износа от Източноафриканската общност за ЕС</w:t>
            </w:r>
          </w:p>
        </w:tc>
        <w:tc>
          <w:tcPr>
            <w:tcW w:w="840"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4"/>
                <w:szCs w:val="14"/>
              </w:rPr>
            </w:pPr>
            <w:r>
              <w:rPr>
                <w:b/>
                <w:noProof/>
                <w:sz w:val="14"/>
              </w:rPr>
              <w:t>За износа от Източноафриканската общност за ЕС</w:t>
            </w: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глава 1</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Живи животни</w:t>
            </w: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Всички използвани животни от глава 1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Всички използвани животни от глава 1 трябва да бъдат изцяло получени</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глава 2</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Меса и карантии, годни за консумация</w:t>
            </w:r>
          </w:p>
        </w:tc>
        <w:tc>
          <w:tcPr>
            <w:tcW w:w="86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Производство, при което всички меса и карантии, годни за консумация, използвани в продуктите от настоящата глава, са изцяло получени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Производство, при което всички меса и карантии, годни за консумация, използвани в продуктите от настоящата глава, са изцяло получени </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ех глава 3</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Риби и ракообразни, мекотели и други водни безгръбначни; с изключение на:</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Всички риби и ракообразни, мекотели и други водни безгръбначни са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Всички риби и ракообразни, мекотели и други водни безгръбначни са изцяло получени</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lastRenderedPageBreak/>
              <w:t>0304</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Филета и други меса от риби (дори смлени), пресни, охладени или замразени</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3 са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0305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Производство, при което всички използвани материали от глава 3 трябва да бъдат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0306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Ракообразни, дори без черупки, сушени, осолени или в саламура; ракообразни с черупките, варени във вода или на пара, дори охладени, замразени, сушени, осолени или в саламура; брашна, прахове и агломерати под форма на гранули, от ракообразни, годни за консумация от човека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Производство, при което всички използвани материали от глава 3 трябва да бъдат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Пушени ракообразни, дори без черупки, дори топло пушени</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ex 0307</w:t>
            </w:r>
          </w:p>
          <w:p>
            <w:pPr>
              <w:pageBreakBefore/>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Мекотели, дори без черупки, сушени, осолени или в саламура; брашна, прахове и агломерати под форма на гранули, от мекотели, годни за консумация от човека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Производство, при което всички използвани материали от глава 3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Пушени мекотели, дори без черупки, дори топло пушени</w:t>
            </w:r>
          </w:p>
        </w:tc>
        <w:tc>
          <w:tcPr>
            <w:tcW w:w="860" w:type="pct"/>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0308</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shd w:val="clear" w:color="auto" w:fill="auto"/>
          </w:tcPr>
          <w:p>
            <w:pPr>
              <w:spacing w:before="0" w:after="0"/>
              <w:jc w:val="left"/>
              <w:rPr>
                <w:rFonts w:eastAsia="Times New Roman"/>
                <w:noProof/>
                <w:sz w:val="20"/>
                <w:szCs w:val="24"/>
              </w:rPr>
            </w:pPr>
            <w:r>
              <w:rPr>
                <w:noProof/>
                <w:sz w:val="20"/>
              </w:rPr>
              <w:t>Водни безгръбначни, различни от ракообразните и мекотелите, сушени, осолени или в саламура; брашна, прахове и агломерати под форма на гранули, от водни безгръбначни, различни от ракообразните и мекотелите, годни за консумация от човека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Пушени водни безгръбначни, различни от ракообразните и мекотелите, дори топло пушени</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3 трябва да бъдат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4</w:t>
            </w:r>
          </w:p>
        </w:tc>
        <w:tc>
          <w:tcPr>
            <w:tcW w:w="1092" w:type="pct"/>
            <w:shd w:val="clear" w:color="auto" w:fill="auto"/>
          </w:tcPr>
          <w:p>
            <w:pPr>
              <w:spacing w:before="0" w:after="0"/>
              <w:jc w:val="left"/>
              <w:rPr>
                <w:rFonts w:eastAsia="Times New Roman"/>
                <w:noProof/>
                <w:sz w:val="20"/>
                <w:szCs w:val="24"/>
              </w:rPr>
            </w:pPr>
            <w:r>
              <w:rPr>
                <w:noProof/>
                <w:sz w:val="20"/>
              </w:rPr>
              <w:t xml:space="preserve">Мляко и млечни продукти; птичи яйца; естествен мед; продукти от животински произход, годни за консумация, неупоменати, нито включени другаде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всички материали от глава 4 са изцяло получени;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теглото на използваната захар не надхвърля 40 % от теглото на крайния продукт </w:t>
            </w: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всички материали от глава 4 са изцяло получени;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теглото на използваната захар не надхвърля 40 %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глава 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keepNext/>
              <w:spacing w:before="0" w:after="0"/>
              <w:jc w:val="left"/>
              <w:rPr>
                <w:rFonts w:eastAsia="Times New Roman"/>
                <w:noProof/>
                <w:sz w:val="20"/>
                <w:szCs w:val="24"/>
              </w:rPr>
            </w:pPr>
            <w:r>
              <w:rPr>
                <w:noProof/>
                <w:sz w:val="20"/>
              </w:rPr>
              <w:t xml:space="preserve">Други продукти от животински произход, неупоменати, нито включени другаде </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5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5 трябва да бъдат изцяло получени</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rPr>
              <w:br w:type="page"/>
            </w:r>
            <w:r>
              <w:rPr>
                <w:noProof/>
                <w:sz w:val="20"/>
              </w:rPr>
              <w:t>глава 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Живи растения и цветарски продукти</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Производство, при което всички използвани материали от глава 6 трябва да бъдат изцяло получени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Производство, при което всички използвани материали от глава 6 трябва да бъдат изцяло получени </w:t>
            </w:r>
          </w:p>
          <w:p>
            <w:pPr>
              <w:tabs>
                <w:tab w:val="left" w:pos="-2269"/>
              </w:tabs>
              <w:spacing w:before="0" w:after="0"/>
              <w:ind w:left="399"/>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глава 7</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Зеленчуци, растения, корени и грудки, годни за консумация</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7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7 трябва да бъдат изцяло получени</w:t>
            </w:r>
          </w:p>
          <w:p>
            <w:pPr>
              <w:tabs>
                <w:tab w:val="left" w:pos="-2269"/>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глава 8</w:t>
            </w:r>
          </w:p>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Плодове, годни за консумация; цитрусови или пъпешови кори</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всички използвани плодове и черупкови плодове, годни за консумация, и цитрусови или пъпешови кори от глава 8 трябва да бъдат изцяло получени,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теглото на използваната захар не надхвърля 40 % от теглото на крайния продукт </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плодове и черупкови плодове, годни за консумация, и цитрусови или пъпешови кори от глава 8 трябва да бъдат изцяло получени,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теглото на използваната захар не надхвърля 40 % от теглото на крайния продукт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9</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Кафе, чай, мате и подправки; с изключение на: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9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9 трябва да бъдат изцяло получени</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глава 10</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Житни растения</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10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10 трябва да бъдат изцяло получени</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ех глава 11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Мелничарски продукти; малц; скорбяла и нишесте; инулин; пшеничен глутен; с изключение на: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материали от глави 10 и 11, от позиции 0701 и 2303 и от подпозиция 0710 10 са изцяло получени</w:t>
            </w:r>
          </w:p>
          <w:p>
            <w:pPr>
              <w:spacing w:before="0" w:after="0"/>
              <w:jc w:val="left"/>
              <w:rPr>
                <w:rFonts w:eastAsia="Times New Roman"/>
                <w:noProof/>
                <w:sz w:val="16"/>
                <w:szCs w:val="16"/>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всички материали от глави 10 и 11, от позиции 0701 и 2303 и от подпозиция 0710 10 са изцяло получени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1101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Брашно пшенично или брашно от смес от пшеница и ръж</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глава 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Маслодайни семена и плодове; разни видове семена, семена за посев и плодове; индустриални или медицински растения; слама и фуражи</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12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12 трябва да бъдат изцяло получени</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Height w:val="2037"/>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13</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Естествени лакове, клейове, смоли и други растителни сокове и екстракти</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при което теглото на използваната захар не надхвърля 40 % от теглото на крайния продукт</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331"/>
              </w:tabs>
              <w:suppressAutoHyphens/>
              <w:spacing w:before="90" w:after="54"/>
              <w:jc w:val="left"/>
              <w:rPr>
                <w:rFonts w:eastAsia="Times New Roman"/>
                <w:noProof/>
                <w:spacing w:val="-2"/>
                <w:sz w:val="20"/>
                <w:szCs w:val="24"/>
              </w:rPr>
            </w:pPr>
            <w:r>
              <w:rPr>
                <w:noProof/>
                <w:spacing w:val="-2"/>
                <w:sz w:val="20"/>
              </w:rPr>
              <w:t>Производство от материали от всяка позиция, при което теглото на използваната захар не надхвърля 40 % от теглото на крайния продукт</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глава 14</w:t>
            </w:r>
          </w:p>
        </w:tc>
        <w:tc>
          <w:tcPr>
            <w:tcW w:w="1092" w:type="pct"/>
            <w:shd w:val="clear" w:color="auto" w:fill="auto"/>
          </w:tcPr>
          <w:p>
            <w:pPr>
              <w:spacing w:before="0" w:after="0"/>
              <w:jc w:val="left"/>
              <w:rPr>
                <w:rFonts w:eastAsia="Times New Roman"/>
                <w:noProof/>
                <w:sz w:val="20"/>
                <w:szCs w:val="24"/>
              </w:rPr>
            </w:pPr>
            <w:r>
              <w:rPr>
                <w:noProof/>
                <w:sz w:val="20"/>
              </w:rPr>
              <w:t>Материали за сплитане и други продукти от растителен произход, неупоменати, нито включени другаде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Производство, при което всички използвани материали от глава 14 трябва да бъдат изцяло получени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при което всички използвани материали от глава 14 трябва да бъдат изцяло получени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15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p>
            <w:pPr>
              <w:spacing w:before="0" w:after="0"/>
              <w:jc w:val="left"/>
              <w:rPr>
                <w:rFonts w:eastAsia="Times New Roman"/>
                <w:noProof/>
                <w:sz w:val="20"/>
                <w:szCs w:val="24"/>
              </w:rPr>
            </w:pPr>
          </w:p>
        </w:tc>
        <w:tc>
          <w:tcPr>
            <w:tcW w:w="860" w:type="pct"/>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животински или растителен произход трябва да бъдат изцяло получени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подпозиция, с изключение на тази на продукта</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1501 до 1504</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Мазнини от свине, домашни птици, животни от рода на едрия рогат добитък, овце или кози, риби и т.н.</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глави 2 или 3 трябва да бъдат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1505, 1506 и 1520</w:t>
            </w:r>
          </w:p>
        </w:tc>
        <w:tc>
          <w:tcPr>
            <w:tcW w:w="1092" w:type="pct"/>
            <w:shd w:val="clear" w:color="auto" w:fill="auto"/>
          </w:tcPr>
          <w:p>
            <w:pPr>
              <w:spacing w:before="0" w:after="0"/>
              <w:jc w:val="left"/>
              <w:rPr>
                <w:rFonts w:eastAsia="Times New Roman"/>
                <w:noProof/>
                <w:sz w:val="20"/>
                <w:szCs w:val="24"/>
              </w:rPr>
            </w:pPr>
            <w:r>
              <w:rPr>
                <w:noProof/>
                <w:sz w:val="20"/>
              </w:rPr>
              <w:t>Мазнина от вълна (серей) и производни мастни вещества от нея</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15 трябва да бъдат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4"/>
        </w:trPr>
        <w:tc>
          <w:tcPr>
            <w:tcW w:w="553" w:type="pct"/>
            <w:shd w:val="clear" w:color="auto" w:fill="auto"/>
          </w:tcPr>
          <w:p>
            <w:pPr>
              <w:spacing w:before="0" w:after="0"/>
              <w:jc w:val="left"/>
              <w:rPr>
                <w:rFonts w:eastAsia="Times New Roman"/>
                <w:noProof/>
                <w:sz w:val="20"/>
                <w:szCs w:val="24"/>
              </w:rPr>
            </w:pPr>
            <w:r>
              <w:rPr>
                <w:noProof/>
                <w:sz w:val="20"/>
              </w:rPr>
              <w:t>1509 и 1510</w:t>
            </w:r>
          </w:p>
        </w:tc>
        <w:tc>
          <w:tcPr>
            <w:tcW w:w="1092" w:type="pct"/>
            <w:shd w:val="clear" w:color="auto" w:fill="auto"/>
          </w:tcPr>
          <w:p>
            <w:pPr>
              <w:spacing w:before="0" w:after="0"/>
              <w:jc w:val="left"/>
              <w:rPr>
                <w:rFonts w:eastAsia="Times New Roman"/>
                <w:noProof/>
                <w:sz w:val="20"/>
                <w:szCs w:val="24"/>
              </w:rPr>
            </w:pPr>
            <w:r>
              <w:rPr>
                <w:noProof/>
                <w:sz w:val="20"/>
              </w:rPr>
              <w:t>Маслиново масло и неговите фракции</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растителни материали са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растителни материали са изцяло получени</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1516 и 1517</w:t>
            </w:r>
          </w:p>
        </w:tc>
        <w:tc>
          <w:tcPr>
            <w:tcW w:w="1092" w:type="pct"/>
            <w:shd w:val="clear" w:color="auto" w:fill="auto"/>
          </w:tcPr>
          <w:p>
            <w:pPr>
              <w:spacing w:before="0" w:after="0"/>
              <w:jc w:val="left"/>
              <w:rPr>
                <w:rFonts w:eastAsia="Times New Roman"/>
                <w:noProof/>
                <w:sz w:val="20"/>
                <w:szCs w:val="24"/>
              </w:rPr>
            </w:pPr>
            <w:r>
              <w:rPr>
                <w:noProof/>
                <w:sz w:val="20"/>
              </w:rPr>
              <w:t>Животински и растителни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позиция 1516</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всички използвани материали от глава 4 не надхвърля 40 %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всички използвани материали от глава 4 не надхвърля 40 % от теглото на крайния продукт</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16</w:t>
            </w:r>
          </w:p>
        </w:tc>
        <w:tc>
          <w:tcPr>
            <w:tcW w:w="1092" w:type="pct"/>
            <w:shd w:val="clear" w:color="auto" w:fill="auto"/>
          </w:tcPr>
          <w:p>
            <w:pPr>
              <w:spacing w:before="0" w:after="0"/>
              <w:jc w:val="left"/>
              <w:rPr>
                <w:rFonts w:eastAsia="Times New Roman"/>
                <w:noProof/>
                <w:sz w:val="20"/>
                <w:szCs w:val="24"/>
              </w:rPr>
            </w:pPr>
            <w:r>
              <w:rPr>
                <w:noProof/>
                <w:sz w:val="20"/>
              </w:rPr>
              <w:t>Продукти от месо, риби или ракообразни, мекотели или други водни безгръбначни</w:t>
            </w:r>
          </w:p>
        </w:tc>
        <w:tc>
          <w:tcPr>
            <w:tcW w:w="860" w:type="pct"/>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b/>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b/>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17</w:t>
            </w:r>
          </w:p>
        </w:tc>
        <w:tc>
          <w:tcPr>
            <w:tcW w:w="1092" w:type="pct"/>
            <w:shd w:val="clear" w:color="auto" w:fill="auto"/>
          </w:tcPr>
          <w:p>
            <w:pPr>
              <w:spacing w:before="0" w:after="0"/>
              <w:jc w:val="left"/>
              <w:rPr>
                <w:rFonts w:eastAsia="Times New Roman"/>
                <w:noProof/>
                <w:sz w:val="20"/>
                <w:szCs w:val="24"/>
              </w:rPr>
            </w:pPr>
            <w:r>
              <w:rPr>
                <w:noProof/>
                <w:sz w:val="20"/>
              </w:rPr>
              <w:t>Захар и захарни изделия;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растителни материали са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1702</w:t>
            </w:r>
          </w:p>
        </w:tc>
        <w:tc>
          <w:tcPr>
            <w:tcW w:w="1092" w:type="pct"/>
            <w:shd w:val="clear" w:color="auto" w:fill="auto"/>
          </w:tcPr>
          <w:p>
            <w:pPr>
              <w:spacing w:before="0" w:after="0"/>
              <w:jc w:val="left"/>
              <w:rPr>
                <w:rFonts w:eastAsia="Times New Roman"/>
                <w:noProof/>
                <w:sz w:val="20"/>
                <w:szCs w:val="24"/>
              </w:rPr>
            </w:pPr>
            <w:r>
              <w:rPr>
                <w:noProof/>
                <w:sz w:val="20"/>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материалите от позиции 1101 — 1108, 1701 и 1703 не надхвърля 30 %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материалите от позиции 1101 — 1108, 1701 и 1703 не надхвърля 30 %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1704</w:t>
            </w:r>
          </w:p>
        </w:tc>
        <w:tc>
          <w:tcPr>
            <w:tcW w:w="1092" w:type="pct"/>
            <w:shd w:val="clear" w:color="auto" w:fill="auto"/>
          </w:tcPr>
          <w:p>
            <w:pPr>
              <w:spacing w:before="0" w:after="0"/>
              <w:jc w:val="left"/>
              <w:rPr>
                <w:rFonts w:eastAsia="Times New Roman"/>
                <w:noProof/>
                <w:sz w:val="20"/>
                <w:szCs w:val="24"/>
              </w:rPr>
            </w:pPr>
            <w:r>
              <w:rPr>
                <w:noProof/>
                <w:sz w:val="20"/>
              </w:rPr>
              <w:t>Захарни изделия без какао (включително белия шоколад)</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 отделните тегла на захарта и на материалите от глава 4 не надхвърлят 40 %</w:t>
            </w:r>
          </w:p>
          <w:p>
            <w:pPr>
              <w:spacing w:before="0" w:after="0"/>
              <w:jc w:val="left"/>
              <w:rPr>
                <w:rFonts w:eastAsia="Times New Roman"/>
                <w:noProof/>
                <w:sz w:val="20"/>
                <w:szCs w:val="24"/>
              </w:rPr>
            </w:pPr>
            <w:r>
              <w:rPr>
                <w:noProof/>
                <w:sz w:val="20"/>
              </w:rPr>
              <w:t xml:space="preserve">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18</w:t>
            </w:r>
          </w:p>
        </w:tc>
        <w:tc>
          <w:tcPr>
            <w:tcW w:w="1092" w:type="pct"/>
            <w:shd w:val="clear" w:color="auto" w:fill="auto"/>
          </w:tcPr>
          <w:p>
            <w:pPr>
              <w:spacing w:before="0" w:after="0"/>
              <w:jc w:val="left"/>
              <w:rPr>
                <w:rFonts w:eastAsia="Times New Roman"/>
                <w:noProof/>
                <w:sz w:val="20"/>
                <w:szCs w:val="24"/>
              </w:rPr>
            </w:pPr>
            <w:r>
              <w:rPr>
                <w:noProof/>
                <w:sz w:val="20"/>
              </w:rPr>
              <w:t>Какао и продукти от какао</w:t>
            </w:r>
          </w:p>
        </w:tc>
        <w:tc>
          <w:tcPr>
            <w:tcW w:w="86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1806</w:t>
            </w:r>
          </w:p>
        </w:tc>
        <w:tc>
          <w:tcPr>
            <w:tcW w:w="1092" w:type="pct"/>
            <w:shd w:val="clear" w:color="auto" w:fill="auto"/>
          </w:tcPr>
          <w:p>
            <w:pPr>
              <w:spacing w:before="0" w:after="0"/>
              <w:jc w:val="left"/>
              <w:rPr>
                <w:rFonts w:eastAsia="Times New Roman"/>
                <w:noProof/>
                <w:sz w:val="20"/>
                <w:szCs w:val="24"/>
              </w:rPr>
            </w:pPr>
            <w:r>
              <w:rPr>
                <w:noProof/>
                <w:sz w:val="20"/>
              </w:rPr>
              <w:t>Шоколад и други хранителни продукти, съдържащи какао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7"/>
        </w:trPr>
        <w:tc>
          <w:tcPr>
            <w:tcW w:w="553" w:type="pct"/>
            <w:shd w:val="clear" w:color="auto" w:fill="auto"/>
          </w:tcPr>
          <w:p>
            <w:pPr>
              <w:spacing w:before="0" w:after="0"/>
              <w:jc w:val="left"/>
              <w:rPr>
                <w:rFonts w:eastAsia="Times New Roman"/>
                <w:noProof/>
                <w:sz w:val="20"/>
                <w:szCs w:val="24"/>
              </w:rPr>
            </w:pPr>
            <w:r>
              <w:rPr>
                <w:noProof/>
                <w:sz w:val="20"/>
              </w:rPr>
              <w:lastRenderedPageBreak/>
              <w:t>глава 19</w:t>
            </w:r>
          </w:p>
        </w:tc>
        <w:tc>
          <w:tcPr>
            <w:tcW w:w="1092" w:type="pct"/>
            <w:shd w:val="clear" w:color="auto" w:fill="auto"/>
          </w:tcPr>
          <w:p>
            <w:pPr>
              <w:spacing w:before="0" w:after="0"/>
              <w:jc w:val="left"/>
              <w:rPr>
                <w:rFonts w:eastAsia="Times New Roman"/>
                <w:noProof/>
                <w:sz w:val="20"/>
                <w:szCs w:val="24"/>
              </w:rPr>
            </w:pPr>
            <w:r>
              <w:rPr>
                <w:noProof/>
                <w:sz w:val="20"/>
              </w:rPr>
              <w:t>Хранителни продукти, приготвени на базата на житни растения, брашна, скорбяла, нишесте или мляко; тестени сладкарски изделия</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r>
              <w:rPr>
                <w:noProof/>
                <w:sz w:val="20"/>
              </w:rPr>
              <w:t>- теглото на използваните материали от глави 2, 3 и 16 не надхвърля 20 % от теглото на крайния продукт, и</w:t>
            </w:r>
          </w:p>
          <w:p>
            <w:pPr>
              <w:spacing w:before="0" w:after="0"/>
              <w:jc w:val="left"/>
              <w:rPr>
                <w:rFonts w:eastAsia="Times New Roman"/>
                <w:noProof/>
                <w:sz w:val="20"/>
                <w:szCs w:val="24"/>
              </w:rPr>
            </w:pPr>
            <w:r>
              <w:rPr>
                <w:noProof/>
                <w:sz w:val="20"/>
              </w:rPr>
              <w:t>- теглото на използваните материали от позиции 1006 и 1101 — 1108 не надхвърля 20 % от теглото на крайния продукт, и</w:t>
            </w: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r>
              <w:rPr>
                <w:noProof/>
                <w:sz w:val="20"/>
              </w:rPr>
              <w:t>- теглото на използваните материали от глави 2, 3 и 16 не надхвърля 20 % от теглото на крайния продукт, и</w:t>
            </w:r>
          </w:p>
          <w:p>
            <w:pPr>
              <w:spacing w:before="0" w:after="0"/>
              <w:jc w:val="left"/>
              <w:rPr>
                <w:rFonts w:eastAsia="Times New Roman"/>
                <w:noProof/>
                <w:sz w:val="20"/>
                <w:szCs w:val="24"/>
              </w:rPr>
            </w:pPr>
            <w:r>
              <w:rPr>
                <w:noProof/>
                <w:sz w:val="20"/>
              </w:rPr>
              <w:t>- теглото на използваните материали от позиции 1006 и 1101 — 1108 не надхвърля 20 % от теглото на крайния продукт, и</w:t>
            </w: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20</w:t>
            </w:r>
          </w:p>
          <w:p>
            <w:pPr>
              <w:spacing w:before="0" w:after="0"/>
              <w:jc w:val="left"/>
              <w:rPr>
                <w:rFonts w:eastAsia="Times New Roman"/>
                <w:noProof/>
                <w:sz w:val="20"/>
                <w:szCs w:val="24"/>
              </w:rPr>
            </w:pPr>
          </w:p>
          <w:p>
            <w:pPr>
              <w:spacing w:before="0" w:after="0"/>
              <w:jc w:val="left"/>
              <w:rPr>
                <w:rFonts w:eastAsia="Times New Roman"/>
                <w:noProof/>
                <w:color w:val="FFFF00"/>
                <w:sz w:val="20"/>
                <w:szCs w:val="24"/>
              </w:rPr>
            </w:pPr>
          </w:p>
        </w:tc>
        <w:tc>
          <w:tcPr>
            <w:tcW w:w="1092" w:type="pct"/>
            <w:shd w:val="clear" w:color="auto" w:fill="auto"/>
          </w:tcPr>
          <w:p>
            <w:pPr>
              <w:spacing w:before="0" w:after="0"/>
              <w:jc w:val="left"/>
              <w:rPr>
                <w:rFonts w:eastAsia="Times New Roman"/>
                <w:noProof/>
                <w:sz w:val="20"/>
                <w:szCs w:val="24"/>
              </w:rPr>
            </w:pPr>
            <w:r>
              <w:rPr>
                <w:noProof/>
                <w:sz w:val="20"/>
              </w:rPr>
              <w:t>Хранителни продукти от зеленчуци, плодове или други части от растения; с изключение 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захарта не надхвърля 40 %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захарта не надхвърля 40 %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2002 и 2003</w:t>
            </w:r>
          </w:p>
        </w:tc>
        <w:tc>
          <w:tcPr>
            <w:tcW w:w="1092" w:type="pct"/>
            <w:shd w:val="clear" w:color="auto" w:fill="auto"/>
          </w:tcPr>
          <w:p>
            <w:pPr>
              <w:spacing w:before="0" w:after="0"/>
              <w:jc w:val="left"/>
              <w:rPr>
                <w:rFonts w:eastAsia="Times New Roman"/>
                <w:noProof/>
                <w:sz w:val="20"/>
                <w:szCs w:val="24"/>
              </w:rPr>
            </w:pPr>
            <w:r>
              <w:rPr>
                <w:noProof/>
                <w:sz w:val="20"/>
              </w:rPr>
              <w:t>Домати, гъби и трюфели, приготвени или консервирани по начин, различен от този с оцет или с оцетна киселина</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7 са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7 са изцяло получени</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Игнам (индийски картоф), сладки картофи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с оцетна киселина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highlight w:val="cyan"/>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2004 и</w:t>
            </w:r>
          </w:p>
          <w:p>
            <w:pPr>
              <w:spacing w:before="0" w:after="0"/>
              <w:jc w:val="left"/>
              <w:rPr>
                <w:rFonts w:eastAsia="Times New Roman"/>
                <w:noProof/>
                <w:sz w:val="20"/>
                <w:szCs w:val="24"/>
              </w:rPr>
            </w:pPr>
            <w:r>
              <w:rPr>
                <w:noProof/>
                <w:sz w:val="20"/>
              </w:rPr>
              <w:t>ex 2005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Картофи под формата на брашно, грис или люспи, приготвени или консервирани по начин, различен от този с оцет или с оцетна киселина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растителни материали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захарта не надхвърля 40 %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2008</w:t>
            </w:r>
          </w:p>
        </w:tc>
        <w:tc>
          <w:tcPr>
            <w:tcW w:w="1092" w:type="pct"/>
            <w:shd w:val="clear" w:color="auto" w:fill="auto"/>
          </w:tcPr>
          <w:p>
            <w:pPr>
              <w:spacing w:before="0" w:after="0"/>
              <w:jc w:val="left"/>
              <w:rPr>
                <w:rFonts w:eastAsia="Times New Roman"/>
                <w:noProof/>
                <w:sz w:val="20"/>
                <w:szCs w:val="24"/>
              </w:rPr>
            </w:pPr>
            <w:r>
              <w:rPr>
                <w:noProof/>
                <w:sz w:val="20"/>
              </w:rPr>
              <w:t>Черупкови плодове без прибавка на захар или алкохол</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8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highlight w:val="cyan"/>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захарта не надхвърля 40 %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 xml:space="preserve">глава 21 </w:t>
            </w:r>
          </w:p>
        </w:tc>
        <w:tc>
          <w:tcPr>
            <w:tcW w:w="1092" w:type="pct"/>
            <w:shd w:val="clear" w:color="auto" w:fill="auto"/>
          </w:tcPr>
          <w:p>
            <w:pPr>
              <w:spacing w:before="0" w:after="0"/>
              <w:jc w:val="left"/>
              <w:rPr>
                <w:rFonts w:eastAsia="Times New Roman"/>
                <w:noProof/>
                <w:sz w:val="20"/>
                <w:szCs w:val="24"/>
              </w:rPr>
            </w:pPr>
            <w:r>
              <w:rPr>
                <w:noProof/>
                <w:sz w:val="20"/>
              </w:rPr>
              <w:t>Разни видове хранителни продукти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22</w:t>
            </w:r>
          </w:p>
        </w:tc>
        <w:tc>
          <w:tcPr>
            <w:tcW w:w="1092" w:type="pct"/>
            <w:shd w:val="clear" w:color="auto" w:fill="auto"/>
          </w:tcPr>
          <w:p>
            <w:pPr>
              <w:spacing w:before="0" w:after="0"/>
              <w:jc w:val="left"/>
              <w:rPr>
                <w:rFonts w:eastAsia="Times New Roman"/>
                <w:noProof/>
                <w:sz w:val="20"/>
                <w:szCs w:val="24"/>
              </w:rPr>
            </w:pPr>
            <w:r>
              <w:rPr>
                <w:noProof/>
                <w:sz w:val="20"/>
              </w:rPr>
              <w:t>Безалкохолни и алкохолни напитки и видове оцет</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позиции 2004, 2207 и 2208,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всички използвани материали от подпозиции 0806 10, 2009 61 и 2009 69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позиции 2004, 2207 и 2208,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всички използвани материали от подпозиции 0806 10, 2009 61 и 2009 69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2202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позиция № 2009</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при което: </w:t>
            </w:r>
          </w:p>
          <w:p>
            <w:pPr>
              <w:spacing w:before="0" w:after="0"/>
              <w:jc w:val="left"/>
              <w:rPr>
                <w:rFonts w:eastAsia="Times New Roman"/>
                <w:noProof/>
                <w:sz w:val="20"/>
                <w:szCs w:val="24"/>
              </w:rPr>
            </w:pPr>
            <w:r>
              <w:rPr>
                <w:noProof/>
                <w:sz w:val="20"/>
              </w:rPr>
              <w:t xml:space="preserve">- отделните тегла </w:t>
            </w:r>
          </w:p>
          <w:p>
            <w:pPr>
              <w:spacing w:before="0" w:after="0"/>
              <w:jc w:val="left"/>
              <w:rPr>
                <w:rFonts w:eastAsia="Times New Roman"/>
                <w:noProof/>
                <w:sz w:val="20"/>
                <w:szCs w:val="24"/>
              </w:rPr>
            </w:pPr>
            <w:r>
              <w:rPr>
                <w:noProof/>
                <w:sz w:val="20"/>
              </w:rPr>
              <w:t xml:space="preserve">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при което: </w:t>
            </w:r>
          </w:p>
          <w:p>
            <w:pPr>
              <w:spacing w:before="0" w:after="0"/>
              <w:jc w:val="left"/>
              <w:rPr>
                <w:rFonts w:eastAsia="Times New Roman"/>
                <w:noProof/>
                <w:sz w:val="20"/>
                <w:szCs w:val="24"/>
              </w:rPr>
            </w:pPr>
            <w:r>
              <w:rPr>
                <w:noProof/>
                <w:sz w:val="20"/>
              </w:rPr>
              <w:t xml:space="preserve">- отделните тегла </w:t>
            </w:r>
          </w:p>
          <w:p>
            <w:pPr>
              <w:spacing w:before="0" w:after="0"/>
              <w:jc w:val="left"/>
              <w:rPr>
                <w:rFonts w:eastAsia="Times New Roman"/>
                <w:noProof/>
                <w:sz w:val="20"/>
                <w:szCs w:val="24"/>
              </w:rPr>
            </w:pPr>
            <w:r>
              <w:rPr>
                <w:noProof/>
                <w:sz w:val="20"/>
              </w:rPr>
              <w:t xml:space="preserve">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23</w:t>
            </w:r>
          </w:p>
        </w:tc>
        <w:tc>
          <w:tcPr>
            <w:tcW w:w="1092" w:type="pct"/>
            <w:shd w:val="clear" w:color="auto" w:fill="auto"/>
          </w:tcPr>
          <w:p>
            <w:pPr>
              <w:spacing w:before="0" w:after="0"/>
              <w:jc w:val="left"/>
              <w:rPr>
                <w:rFonts w:eastAsia="Times New Roman"/>
                <w:noProof/>
                <w:sz w:val="20"/>
                <w:szCs w:val="24"/>
              </w:rPr>
            </w:pPr>
            <w:r>
              <w:rPr>
                <w:noProof/>
                <w:sz w:val="20"/>
              </w:rPr>
              <w:t>Остатъци и отпадъци от хранителната промишленост; приготвени храни за животни;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2302 и ex 2303</w:t>
            </w:r>
          </w:p>
        </w:tc>
        <w:tc>
          <w:tcPr>
            <w:tcW w:w="1092" w:type="pct"/>
            <w:shd w:val="clear" w:color="auto" w:fill="auto"/>
          </w:tcPr>
          <w:p>
            <w:pPr>
              <w:spacing w:before="0" w:after="0"/>
              <w:jc w:val="left"/>
              <w:rPr>
                <w:rFonts w:eastAsia="Times New Roman"/>
                <w:noProof/>
                <w:sz w:val="20"/>
                <w:szCs w:val="24"/>
              </w:rPr>
            </w:pPr>
            <w:r>
              <w:rPr>
                <w:noProof/>
                <w:sz w:val="20"/>
              </w:rPr>
              <w:t>Трици и други видове отпадъци, получени при пресяване, смилане или друг вид обработка на житни или бобови растения. Остатъци от производството на нишесте или скорбяла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използваните материали от глава 10 не надхвърля 20 %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използваните материали от глава 10 не надхвърля 20 %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r>
              <w:rPr>
                <w:noProof/>
                <w:sz w:val="20"/>
              </w:rPr>
              <w:t>2309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Препарати от видовете, използвани за храна на животни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8"/>
                <w:szCs w:val="18"/>
              </w:rPr>
            </w:pPr>
            <w:r>
              <w:rPr>
                <w:noProof/>
                <w:sz w:val="18"/>
              </w:rPr>
              <w:t>Производство от материали от всяка позиция, с изключение на тази на продукта, при което:</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всички използвани материали от глави 2 и 3 са изцяло получени, и</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теглото на използваните материали от глави 10 и 11 и от позиции 2302 и 2303 не надхвърля 20 % от теглото на крайния продукт, и</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18"/>
                <w:szCs w:val="18"/>
              </w:rPr>
            </w:pPr>
            <w:r>
              <w:rPr>
                <w:noProof/>
                <w:sz w:val="18"/>
              </w:rPr>
              <w:t xml:space="preserve">- общото комбинирано тегло на използваната захар и </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на използваните материали от глава 4 не надхвърля 60 % от теглото на крайния продукт</w:t>
            </w: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rPr>
                <w:rFonts w:eastAsia="Times New Roman"/>
                <w:noProof/>
                <w:sz w:val="18"/>
                <w:szCs w:val="18"/>
              </w:rPr>
            </w:pPr>
            <w:r>
              <w:rPr>
                <w:noProof/>
                <w:sz w:val="18"/>
              </w:rPr>
              <w:t>Производство от материали от всяка позиция, с изключение на тази на продукта, при което:</w:t>
            </w:r>
          </w:p>
          <w:p>
            <w:pPr>
              <w:spacing w:before="0" w:after="0"/>
              <w:rPr>
                <w:rFonts w:eastAsia="Times New Roman"/>
                <w:noProof/>
                <w:sz w:val="18"/>
                <w:szCs w:val="18"/>
              </w:rPr>
            </w:pPr>
          </w:p>
          <w:p>
            <w:pPr>
              <w:spacing w:before="0" w:after="0"/>
              <w:rPr>
                <w:rFonts w:eastAsia="Times New Roman"/>
                <w:noProof/>
                <w:sz w:val="18"/>
                <w:szCs w:val="18"/>
              </w:rPr>
            </w:pPr>
            <w:r>
              <w:rPr>
                <w:noProof/>
                <w:sz w:val="18"/>
              </w:rPr>
              <w:t>- всички използвани материали от глави 2 и 3 са изцяло получени, и</w:t>
            </w:r>
          </w:p>
          <w:p>
            <w:pPr>
              <w:spacing w:before="0" w:after="0"/>
              <w:rPr>
                <w:rFonts w:eastAsia="Times New Roman"/>
                <w:noProof/>
                <w:sz w:val="18"/>
                <w:szCs w:val="18"/>
              </w:rPr>
            </w:pPr>
          </w:p>
          <w:p>
            <w:pPr>
              <w:spacing w:before="0" w:after="0"/>
              <w:rPr>
                <w:rFonts w:eastAsia="Times New Roman"/>
                <w:noProof/>
                <w:sz w:val="18"/>
                <w:szCs w:val="18"/>
              </w:rPr>
            </w:pPr>
            <w:r>
              <w:rPr>
                <w:noProof/>
                <w:sz w:val="18"/>
              </w:rPr>
              <w:t>- теглото на използваните материали от глави 10 и 11 и от позиции 2302 и 2303 не надхвърля 20 % от теглото на крайния продукт, и</w:t>
            </w:r>
          </w:p>
          <w:p>
            <w:pPr>
              <w:spacing w:before="0" w:after="0"/>
              <w:rPr>
                <w:rFonts w:eastAsia="Times New Roman"/>
                <w:noProof/>
                <w:sz w:val="18"/>
                <w:szCs w:val="18"/>
              </w:rPr>
            </w:pPr>
          </w:p>
          <w:p>
            <w:pPr>
              <w:spacing w:before="0" w:after="0"/>
              <w:rPr>
                <w:rFonts w:eastAsia="Times New Roman"/>
                <w:noProof/>
                <w:sz w:val="18"/>
                <w:szCs w:val="18"/>
              </w:rPr>
            </w:pPr>
            <w:r>
              <w:rPr>
                <w:noProof/>
                <w:sz w:val="18"/>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rPr>
                <w:rFonts w:eastAsia="Times New Roman"/>
                <w:noProof/>
                <w:sz w:val="18"/>
                <w:szCs w:val="18"/>
              </w:rPr>
            </w:pPr>
          </w:p>
          <w:p>
            <w:pPr>
              <w:spacing w:before="0" w:after="0"/>
              <w:rPr>
                <w:rFonts w:eastAsia="Times New Roman"/>
                <w:noProof/>
                <w:sz w:val="18"/>
                <w:szCs w:val="18"/>
              </w:rPr>
            </w:pPr>
            <w:r>
              <w:rPr>
                <w:noProof/>
                <w:sz w:val="18"/>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18"/>
                <w:szCs w:val="18"/>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24</w:t>
            </w:r>
          </w:p>
        </w:tc>
        <w:tc>
          <w:tcPr>
            <w:tcW w:w="1092" w:type="pct"/>
            <w:shd w:val="clear" w:color="auto" w:fill="auto"/>
          </w:tcPr>
          <w:p>
            <w:pPr>
              <w:spacing w:before="0" w:after="0"/>
              <w:jc w:val="left"/>
              <w:rPr>
                <w:rFonts w:eastAsia="Times New Roman"/>
                <w:noProof/>
                <w:sz w:val="20"/>
                <w:szCs w:val="24"/>
              </w:rPr>
            </w:pPr>
            <w:r>
              <w:rPr>
                <w:noProof/>
                <w:sz w:val="20"/>
              </w:rPr>
              <w:t>Тютюн и обработени заместители на тютюна; с изключение 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24 са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при което теглото на използваните материали от глава 24 не надхвърля 30 % от общото тегло на използваните материали от глава 24</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2401</w:t>
            </w:r>
          </w:p>
        </w:tc>
        <w:tc>
          <w:tcPr>
            <w:tcW w:w="1092" w:type="pct"/>
            <w:shd w:val="clear" w:color="auto" w:fill="auto"/>
          </w:tcPr>
          <w:p>
            <w:pPr>
              <w:spacing w:before="0" w:after="0"/>
              <w:jc w:val="left"/>
              <w:rPr>
                <w:rFonts w:eastAsia="Times New Roman"/>
                <w:noProof/>
                <w:sz w:val="20"/>
                <w:szCs w:val="24"/>
              </w:rPr>
            </w:pPr>
            <w:r>
              <w:rPr>
                <w:noProof/>
                <w:sz w:val="20"/>
              </w:rPr>
              <w:t>Сурови или необработени тютюни; отпадъци от тютюн</w:t>
            </w:r>
          </w:p>
        </w:tc>
        <w:tc>
          <w:tcPr>
            <w:tcW w:w="860" w:type="pct"/>
            <w:shd w:val="clear" w:color="auto" w:fill="auto"/>
          </w:tcPr>
          <w:p>
            <w:pPr>
              <w:spacing w:before="0" w:after="0"/>
              <w:jc w:val="left"/>
              <w:rPr>
                <w:rFonts w:eastAsia="Times New Roman"/>
                <w:noProof/>
                <w:sz w:val="20"/>
                <w:szCs w:val="24"/>
              </w:rPr>
            </w:pPr>
            <w:r>
              <w:rPr>
                <w:noProof/>
                <w:sz w:val="20"/>
              </w:rPr>
              <w:t>Всички сурови или необработени тютюни и отпадъци от тютюн от глава 24 са изцяло получени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color w:val="000000"/>
                <w:sz w:val="20"/>
              </w:rPr>
              <w:t>Всички сурови или необработени тютюни и отпадъци от тютюн от глава 24 са изцяло получени</w:t>
            </w:r>
          </w:p>
          <w:p>
            <w:pPr>
              <w:spacing w:before="0" w:after="0"/>
              <w:jc w:val="left"/>
              <w:rPr>
                <w:rFonts w:eastAsia="Times New Roman"/>
                <w:noProof/>
                <w:color w:val="000000"/>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2402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Пури (включително тези с отрязани краища), пурети и цигари от тютюн или от заместители на тютюна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тютюна за пушене от подпозиция 2403 10,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най-малко 10 тегловни % от използвания суров или необработен тютюн или отпадъци от тютюн от позиция 2401 са изцяло получени,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най-малко 10 тегловни % от всички използвани материали от глава 24 са изцяло получени</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Производство от материали от всяка позиция, с изключение на тази на продукта и на тютюна за пушене от подпозиция 2403 10, при което:</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най-малко 10 тегловни % от използвания суров или необработен тютюн или отпадъци от тютюн от позиция 2401 са изцяло получени, и</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най-малко 10 тегловни % от всички използвани материали от глава 24 са изцяло получени</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25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Сол; сяра; пръст и камъни; гипс, вар и цимент;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2519</w:t>
            </w:r>
          </w:p>
        </w:tc>
        <w:tc>
          <w:tcPr>
            <w:tcW w:w="1092" w:type="pct"/>
            <w:shd w:val="clear" w:color="auto" w:fill="auto"/>
          </w:tcPr>
          <w:p>
            <w:pPr>
              <w:spacing w:before="0" w:after="0"/>
              <w:jc w:val="left"/>
              <w:rPr>
                <w:rFonts w:eastAsia="Times New Roman"/>
                <w:noProof/>
                <w:sz w:val="20"/>
                <w:szCs w:val="24"/>
              </w:rPr>
            </w:pPr>
            <w:r>
              <w:rPr>
                <w:noProof/>
                <w:sz w:val="20"/>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Естественият магнезиев карбонат (магнезит) обаче може да бъде използван</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Естественият магнезиев карбонат (магнезит) обаче може да бъде използван</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Руди, шлаки и пепели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t>ех глава 27</w:t>
            </w:r>
          </w:p>
        </w:tc>
        <w:tc>
          <w:tcPr>
            <w:tcW w:w="1092" w:type="pct"/>
            <w:shd w:val="clear" w:color="auto" w:fill="auto"/>
          </w:tcPr>
          <w:p>
            <w:pPr>
              <w:spacing w:before="0" w:after="0"/>
              <w:jc w:val="left"/>
              <w:rPr>
                <w:rFonts w:eastAsia="Times New Roman"/>
                <w:noProof/>
                <w:sz w:val="20"/>
                <w:szCs w:val="24"/>
              </w:rPr>
            </w:pPr>
            <w:r>
              <w:rPr>
                <w:noProof/>
                <w:sz w:val="20"/>
              </w:rPr>
              <w:t>Минерални горива, минерални масла и продукти от тяхната дестилация; битуминозни материали; минерални восъци; с изключение на:</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2707</w:t>
            </w:r>
          </w:p>
        </w:tc>
        <w:tc>
          <w:tcPr>
            <w:tcW w:w="1092" w:type="pct"/>
            <w:shd w:val="clear" w:color="auto" w:fill="auto"/>
          </w:tcPr>
          <w:p>
            <w:pPr>
              <w:spacing w:before="0" w:after="0"/>
              <w:jc w:val="left"/>
              <w:rPr>
                <w:rFonts w:eastAsia="Times New Roman"/>
                <w:noProof/>
                <w:sz w:val="20"/>
                <w:szCs w:val="24"/>
              </w:rPr>
            </w:pPr>
            <w:r>
              <w:rPr>
                <w:noProof/>
                <w:sz w:val="20"/>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°С (включително смесите от петролен етер и бензол), предназначени да бъдат използвани като моторно гориво или като гориво за отопление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3"/>
            </w:r>
          </w:p>
        </w:tc>
        <w:tc>
          <w:tcPr>
            <w:tcW w:w="815" w:type="pct"/>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4"/>
            </w:r>
          </w:p>
        </w:tc>
        <w:tc>
          <w:tcPr>
            <w:tcW w:w="840" w:type="pct"/>
            <w:gridSpan w:val="2"/>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2710</w:t>
            </w:r>
          </w:p>
        </w:tc>
        <w:tc>
          <w:tcPr>
            <w:tcW w:w="1092" w:type="pct"/>
            <w:shd w:val="clear" w:color="auto" w:fill="auto"/>
          </w:tcPr>
          <w:p>
            <w:pPr>
              <w:spacing w:before="0" w:after="0"/>
              <w:jc w:val="left"/>
              <w:rPr>
                <w:rFonts w:eastAsia="Times New Roman"/>
                <w:noProof/>
                <w:sz w:val="20"/>
                <w:szCs w:val="24"/>
              </w:rPr>
            </w:pPr>
            <w:r>
              <w:rPr>
                <w:noProof/>
                <w:sz w:val="20"/>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w:t>
            </w:r>
          </w:p>
        </w:tc>
        <w:tc>
          <w:tcPr>
            <w:tcW w:w="86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b/>
                <w:noProof/>
                <w:sz w:val="20"/>
                <w:vertAlign w:val="superscript"/>
              </w:rPr>
              <w:t xml:space="preserve"> </w:t>
            </w:r>
            <w:r>
              <w:rPr>
                <w:rStyle w:val="FootnoteReference"/>
                <w:noProof/>
              </w:rPr>
              <w:footnoteReference w:id="15"/>
            </w:r>
          </w:p>
        </w:tc>
        <w:tc>
          <w:tcPr>
            <w:tcW w:w="815" w:type="pct"/>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6"/>
            </w:r>
          </w:p>
        </w:tc>
        <w:tc>
          <w:tcPr>
            <w:tcW w:w="840" w:type="pct"/>
            <w:gridSpan w:val="2"/>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2711</w:t>
            </w:r>
          </w:p>
        </w:tc>
        <w:tc>
          <w:tcPr>
            <w:tcW w:w="1092" w:type="pct"/>
            <w:shd w:val="clear" w:color="auto" w:fill="auto"/>
          </w:tcPr>
          <w:p>
            <w:pPr>
              <w:spacing w:before="0" w:after="0"/>
              <w:jc w:val="left"/>
              <w:rPr>
                <w:rFonts w:eastAsia="Times New Roman"/>
                <w:noProof/>
                <w:sz w:val="20"/>
                <w:szCs w:val="24"/>
              </w:rPr>
            </w:pPr>
            <w:r>
              <w:rPr>
                <w:noProof/>
                <w:sz w:val="20"/>
              </w:rPr>
              <w:t>Нефтен газ и други газообразни въглеводороди</w:t>
            </w:r>
          </w:p>
        </w:tc>
        <w:tc>
          <w:tcPr>
            <w:tcW w:w="86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7"/>
            </w:r>
          </w:p>
        </w:tc>
        <w:tc>
          <w:tcPr>
            <w:tcW w:w="815" w:type="pct"/>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8"/>
            </w:r>
          </w:p>
        </w:tc>
        <w:tc>
          <w:tcPr>
            <w:tcW w:w="840" w:type="pct"/>
            <w:gridSpan w:val="2"/>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2712</w:t>
            </w:r>
          </w:p>
        </w:tc>
        <w:tc>
          <w:tcPr>
            <w:tcW w:w="1092" w:type="pct"/>
            <w:shd w:val="clear" w:color="auto" w:fill="auto"/>
          </w:tcPr>
          <w:p>
            <w:pPr>
              <w:spacing w:before="0" w:after="0"/>
              <w:jc w:val="left"/>
              <w:rPr>
                <w:rFonts w:eastAsia="Times New Roman"/>
                <w:noProof/>
                <w:sz w:val="20"/>
                <w:szCs w:val="24"/>
              </w:rPr>
            </w:pPr>
            <w:r>
              <w:rPr>
                <w:noProof/>
                <w:sz w:val="20"/>
              </w:rPr>
              <w:t>Вазелин; парафин, микрокристален нефтен восък, суров парафин (</w:t>
            </w:r>
            <w:r>
              <w:rPr>
                <w:i/>
                <w:noProof/>
                <w:sz w:val="20"/>
              </w:rPr>
              <w:t>slack wax</w:t>
            </w:r>
            <w:r>
              <w:rPr>
                <w:noProof/>
                <w:sz w:val="20"/>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86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b/>
                <w:noProof/>
                <w:sz w:val="20"/>
                <w:vertAlign w:val="superscript"/>
              </w:rPr>
              <w:t xml:space="preserve"> </w:t>
            </w:r>
            <w:r>
              <w:rPr>
                <w:rStyle w:val="FootnoteReference"/>
                <w:noProof/>
              </w:rPr>
              <w:footnoteReference w:id="19"/>
            </w:r>
          </w:p>
        </w:tc>
        <w:tc>
          <w:tcPr>
            <w:tcW w:w="815" w:type="pct"/>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20"/>
            </w:r>
          </w:p>
        </w:tc>
        <w:tc>
          <w:tcPr>
            <w:tcW w:w="840" w:type="pct"/>
            <w:gridSpan w:val="2"/>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2713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Нефтен кокс, нефтен битум и други остатъци от нефтeни масла или от масла от битуминозни материали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21"/>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22"/>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28</w:t>
            </w:r>
          </w:p>
          <w:p>
            <w:pPr>
              <w:spacing w:before="100" w:beforeAutospacing="1" w:after="100" w:afterAutospacing="1"/>
              <w:rPr>
                <w:rFonts w:eastAsia="Times New Roman"/>
                <w:noProof/>
                <w:sz w:val="16"/>
                <w:szCs w:val="16"/>
                <w:highlight w:val="yellow"/>
              </w:rPr>
            </w:pPr>
          </w:p>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2811</w:t>
            </w:r>
          </w:p>
        </w:tc>
        <w:tc>
          <w:tcPr>
            <w:tcW w:w="1092" w:type="pct"/>
            <w:shd w:val="clear" w:color="auto" w:fill="auto"/>
          </w:tcPr>
          <w:p>
            <w:pPr>
              <w:spacing w:before="0" w:after="0"/>
              <w:jc w:val="left"/>
              <w:rPr>
                <w:rFonts w:eastAsia="Times New Roman"/>
                <w:noProof/>
                <w:sz w:val="20"/>
                <w:szCs w:val="24"/>
              </w:rPr>
            </w:pPr>
            <w:r>
              <w:rPr>
                <w:noProof/>
                <w:sz w:val="20"/>
              </w:rPr>
              <w:t>Серен триоксид</w:t>
            </w:r>
          </w:p>
        </w:tc>
        <w:tc>
          <w:tcPr>
            <w:tcW w:w="860" w:type="pct"/>
            <w:shd w:val="clear" w:color="auto" w:fill="auto"/>
          </w:tcPr>
          <w:p>
            <w:pPr>
              <w:spacing w:before="60" w:after="60"/>
              <w:jc w:val="left"/>
              <w:rPr>
                <w:rFonts w:eastAsia="Times New Roman"/>
                <w:i/>
                <w:iCs/>
                <w:noProof/>
                <w:sz w:val="20"/>
                <w:szCs w:val="24"/>
              </w:rPr>
            </w:pPr>
            <w:r>
              <w:rPr>
                <w:noProof/>
                <w:sz w:val="20"/>
              </w:rPr>
              <w:t>Производство от серен диоксид</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серен диоксид</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2840</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Натриев перборат</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динатриев тетраборат пентахидрат</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shd w:val="clear" w:color="auto" w:fill="auto"/>
          </w:tcPr>
          <w:p>
            <w:pPr>
              <w:spacing w:before="0" w:after="0"/>
              <w:jc w:val="left"/>
              <w:rPr>
                <w:rFonts w:eastAsia="Times New Roman"/>
                <w:noProof/>
                <w:sz w:val="20"/>
                <w:szCs w:val="24"/>
              </w:rPr>
            </w:pPr>
            <w:r>
              <w:rPr>
                <w:noProof/>
                <w:sz w:val="20"/>
              </w:rPr>
              <w:t>Производство от динатриев тетраборат пентахидрат</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2842 10</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EUAlbertina-Bold-Identity-H"/>
                <w:noProof/>
                <w:sz w:val="20"/>
                <w:szCs w:val="24"/>
              </w:rPr>
            </w:pPr>
            <w:r>
              <w:rPr>
                <w:noProof/>
                <w:sz w:val="20"/>
              </w:rPr>
              <w:t xml:space="preserve">Алуминосиликати с неопределен химичен състав </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2843</w:t>
            </w:r>
          </w:p>
        </w:tc>
        <w:tc>
          <w:tcPr>
            <w:tcW w:w="1092" w:type="pct"/>
            <w:shd w:val="clear" w:color="auto" w:fill="auto"/>
          </w:tcPr>
          <w:p>
            <w:pPr>
              <w:spacing w:before="0" w:after="0"/>
              <w:jc w:val="left"/>
              <w:rPr>
                <w:rFonts w:eastAsia="EUAlbertina-Bold-Identity-H"/>
                <w:noProof/>
                <w:sz w:val="20"/>
                <w:szCs w:val="24"/>
              </w:rPr>
            </w:pPr>
            <w:r>
              <w:rPr>
                <w:noProof/>
                <w:sz w:val="20"/>
              </w:rPr>
              <w:t>Благородни метали в колоидно състояние; неорганични или органични съединения на благородните метали, с определен или неопределен химичен състав; амалгами на благородни метали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2843</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2843</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2852</w:t>
            </w:r>
          </w:p>
        </w:tc>
        <w:tc>
          <w:tcPr>
            <w:tcW w:w="1092" w:type="pct"/>
            <w:shd w:val="clear" w:color="auto" w:fill="auto"/>
          </w:tcPr>
          <w:p>
            <w:pPr>
              <w:spacing w:before="0" w:after="0"/>
              <w:jc w:val="left"/>
              <w:rPr>
                <w:rFonts w:eastAsia="Times New Roman"/>
                <w:noProof/>
                <w:sz w:val="20"/>
                <w:szCs w:val="24"/>
              </w:rPr>
            </w:pPr>
            <w:r>
              <w:rPr>
                <w:noProof/>
                <w:sz w:val="20"/>
              </w:rPr>
              <w:t>Съединения на живака с вътрешни етери и техните халогено-, сулфо-, нитро- или нитрозопроизводни</w:t>
            </w:r>
          </w:p>
          <w:p>
            <w:pPr>
              <w:spacing w:before="0" w:after="0"/>
              <w:jc w:val="left"/>
              <w:rPr>
                <w:rFonts w:eastAsia="EUAlbertina-Bold-Identity-H"/>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Съединения на живака с други хетероциклени съединения, съдържащи само кислородни хетероатоми: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Вътрешни етери и техните халогено-, сулфо-, нитро- или нитрозопроизводни</w:t>
            </w:r>
          </w:p>
          <w:p>
            <w:pPr>
              <w:spacing w:before="0" w:after="0"/>
              <w:ind w:left="36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jc w:val="left"/>
              <w:rPr>
                <w:rFonts w:eastAsia="Times New Roman"/>
                <w:noProof/>
                <w:sz w:val="20"/>
                <w:szCs w:val="24"/>
              </w:rPr>
            </w:pPr>
            <w:r>
              <w:rPr>
                <w:noProof/>
                <w:sz w:val="20"/>
              </w:rPr>
              <w:t>-- Циклени ацетали и вътрешни хемиацетали и техните халогено-, сулфо-, нитро- или нитрозопроизводни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 </w:t>
            </w:r>
          </w:p>
          <w:p>
            <w:pPr>
              <w:spacing w:before="60" w:after="6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w:t>
            </w: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Съединения на живака с други неорганични или органични съединения на благородните метали, с определен или неопределен химичен състав; амалгами на благородни метали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2843</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2843</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Казеинати и други казеинови производни, съдържащи съединения на живака; казеинови лепила, съдържащи съединения на живака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Други албумини, албуминати и други производни на албумините, съдържащи съединения на живака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Пептони и техните производни, съдържащи съединения на живака; други протеинови вещества и техните производни, неупоменати, нито включени другаде, съдържащи съединения на живака; стрити на прах кожи, обработени или не с хром, съдържащи съединения на живака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Съединения на живака с нуклеинови киселини и техните соли, с определен или неопределен химичен състав; други хетероциклени съединения</w:t>
            </w:r>
          </w:p>
          <w:p>
            <w:pPr>
              <w:spacing w:before="0" w:after="0"/>
              <w:jc w:val="left"/>
              <w:rPr>
                <w:rFonts w:eastAsia="EUAlbertina-Bold-Identity-H"/>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2852, 2932, 2933 и 2934 обаче не трябва да надхвърля 20 % от цената на продукта франко завода</w:t>
            </w:r>
          </w:p>
          <w:p>
            <w:pPr>
              <w:spacing w:before="60" w:after="60"/>
              <w:jc w:val="left"/>
              <w:rPr>
                <w:rFonts w:eastAsia="Times New Roman"/>
                <w:i/>
                <w:iCs/>
                <w:noProof/>
                <w:sz w:val="20"/>
                <w:szCs w:val="24"/>
              </w:rPr>
            </w:pPr>
            <w:r>
              <w:rPr>
                <w:i/>
                <w:noProof/>
                <w:sz w:val="20"/>
              </w:rPr>
              <w:t>или</w:t>
            </w:r>
          </w:p>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2852, 2932, 2933 и 2934 обаче не трябва да надхвърля 20 % от цената на продукта франко завода</w:t>
            </w:r>
          </w:p>
          <w:p>
            <w:pPr>
              <w:spacing w:before="60" w:after="60"/>
              <w:jc w:val="left"/>
              <w:rPr>
                <w:rFonts w:eastAsia="Times New Roman"/>
                <w:i/>
                <w:iCs/>
                <w:noProof/>
                <w:sz w:val="20"/>
                <w:szCs w:val="24"/>
              </w:rPr>
            </w:pPr>
            <w:r>
              <w:rPr>
                <w:i/>
                <w:noProof/>
                <w:sz w:val="20"/>
              </w:rPr>
              <w:t>или</w:t>
            </w:r>
          </w:p>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Диагностични или лабораторни реактиви върху всякакъв носител, приготвени диагностични или лабораторни реактиви, съдържащи съединения на живака, дори представени върху носител, различни от посочените в позиция 3002 или 3006; сертифицирани еталонни материали, съдържащи съединения на живака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съдържащи съединения на живака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ех глава 29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Органични химични продукти;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2905</w:t>
            </w:r>
          </w:p>
        </w:tc>
        <w:tc>
          <w:tcPr>
            <w:tcW w:w="1092" w:type="pct"/>
            <w:shd w:val="clear" w:color="auto" w:fill="auto"/>
          </w:tcPr>
          <w:p>
            <w:pPr>
              <w:spacing w:before="0" w:after="0"/>
              <w:jc w:val="left"/>
              <w:rPr>
                <w:rFonts w:eastAsia="Times New Roman"/>
                <w:noProof/>
                <w:sz w:val="20"/>
                <w:szCs w:val="24"/>
              </w:rPr>
            </w:pPr>
            <w:r>
              <w:rPr>
                <w:noProof/>
                <w:sz w:val="20"/>
              </w:rPr>
              <w:t>Метални алкохолати на алкохоли от настоящата позиция и на етанол</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2905 Могат обаче да се използват метални алкохолати от настоящата позиция,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2905 Могат обаче да се използват метални алкохолати от настоящата позиция,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2905 43,</w:t>
            </w:r>
            <w:r>
              <w:rPr>
                <w:noProof/>
              </w:rPr>
              <w:br/>
            </w:r>
            <w:r>
              <w:rPr>
                <w:noProof/>
                <w:sz w:val="20"/>
              </w:rPr>
              <w:t>2905 44 и</w:t>
            </w:r>
            <w:r>
              <w:rPr>
                <w:noProof/>
              </w:rPr>
              <w:br/>
            </w:r>
            <w:r>
              <w:rPr>
                <w:noProof/>
                <w:sz w:val="20"/>
              </w:rPr>
              <w:t>2905 45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Манитол; D-Глюцитол (сорбитол); Глицерол</w:t>
            </w:r>
          </w:p>
        </w:tc>
        <w:tc>
          <w:tcPr>
            <w:tcW w:w="860" w:type="pct"/>
            <w:tcBorders>
              <w:bottom w:val="single" w:sz="4" w:space="0" w:color="auto"/>
            </w:tcBorders>
            <w:shd w:val="clear" w:color="auto" w:fill="auto"/>
          </w:tcPr>
          <w:p>
            <w:pPr>
              <w:spacing w:before="60" w:after="60"/>
              <w:jc w:val="left"/>
              <w:rPr>
                <w:rFonts w:eastAsia="Times New Roman"/>
                <w:i/>
                <w:noProof/>
                <w:sz w:val="20"/>
                <w:szCs w:val="24"/>
              </w:rPr>
            </w:pPr>
            <w:r>
              <w:rPr>
                <w:noProof/>
                <w:sz w:val="20"/>
              </w:rPr>
              <w:t>Производство от материали от всяка подпозиция, с изключение на тази на продукта. Материалите от същата подпозиция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подпозиция, с изключение на тази на продукта. Материалите от същата подпозиция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2915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Стойността на всички използвани материали от позиции 2915 и 2916 обаче не трябва да надхвърля 20 %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2915 и 2916 обаче не трябва да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val="restar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ex 2932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Вътрешни етери и техните халогено-, сулфо-, нитро- или нитрозопроизводни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tcBorders>
              <w:bottom w:val="single" w:sz="4" w:space="0" w:color="auto"/>
            </w:tcBorders>
            <w:shd w:val="clear" w:color="auto" w:fill="auto"/>
          </w:tcPr>
          <w:p>
            <w:pPr>
              <w:pageBreakBefore/>
              <w:spacing w:before="0" w:after="0"/>
              <w:jc w:val="left"/>
              <w:rPr>
                <w:rFonts w:eastAsia="Times New Roman"/>
                <w:noProof/>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Циклени ацетали и вътрешни хемиацетали и техните халогено-, сулфо-, нитро- или нитрозопроизводни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 xml:space="preserve">Производство от материали от всяка позиция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Хетероциклени съединения, съдържащи само азотни хетероатоми</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2934</w:t>
            </w:r>
          </w:p>
        </w:tc>
        <w:tc>
          <w:tcPr>
            <w:tcW w:w="1092" w:type="pct"/>
            <w:shd w:val="clear" w:color="auto" w:fill="auto"/>
          </w:tcPr>
          <w:p>
            <w:pPr>
              <w:spacing w:before="0" w:after="0"/>
              <w:jc w:val="left"/>
              <w:rPr>
                <w:rFonts w:eastAsia="Times New Roman"/>
                <w:noProof/>
                <w:sz w:val="20"/>
                <w:szCs w:val="24"/>
              </w:rPr>
            </w:pPr>
            <w:r>
              <w:rPr>
                <w:noProof/>
                <w:sz w:val="20"/>
              </w:rPr>
              <w:t>Нуклеинови киселини и техните соли; други хетероциклени съединения</w:t>
            </w:r>
          </w:p>
        </w:tc>
        <w:tc>
          <w:tcPr>
            <w:tcW w:w="860" w:type="pct"/>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2937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Хормони, простагландини, тромбоксани и левкотриени, естествени или възпроизведени чрез синтез; техните производни и структурни аналози, включително верижно модифицираните полипептиди, използвани главно като хормони:</w:t>
            </w:r>
          </w:p>
        </w:tc>
        <w:tc>
          <w:tcPr>
            <w:tcW w:w="860" w:type="pct"/>
            <w:shd w:val="clear" w:color="auto" w:fill="auto"/>
          </w:tcPr>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Други хетероциклени съединения, съдържащи само азотни хетероатоми</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Други нуклеинови киселини и техните соли; други хетероциклени съединения</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2939 11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Концентрати от макова слама, съдържащи тегловно не по-малко от 50 % алкалоиди </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при което теглото на използваната захар не надхвърля 40 %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pacing w:val="-2"/>
                <w:sz w:val="20"/>
              </w:rPr>
              <w:t>Производство от материали от всяка позиция, при което теглото на използваната захар не надхвърля 40 % от теглото на крайния продукт</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ех глава 30</w:t>
            </w:r>
          </w:p>
          <w:p>
            <w:pPr>
              <w:spacing w:before="0" w:after="0"/>
              <w:jc w:val="left"/>
              <w:rPr>
                <w:rFonts w:eastAsia="Times New Roman"/>
                <w:noProof/>
                <w:sz w:val="18"/>
                <w:szCs w:val="18"/>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Фармацевтични продукти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3002</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Други съединения с карбоксилимидна функционална група (включително захарина и неговите соли) или с иминна функционална група, под формата на пептиди и протеини, които участват пряко в регулацията на имунологичните процеси </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Други хетероциклени съединения, съдържащи само азотни хетероатоми, в чиято структура се съдържа некондензиран имидазолов пръстен (хидрогениран или не), под формата на пептиди и протеини, които участват пряко в регулацията на имунологичните процеси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Други нуклеинови киселини и техните соли, с определен или неопределен химичен състав, под формата на пептиди и протеини, които участват пряко в регулацията на имунологичните процеси; други хетероциклени съединения, под формата на пептиди и протеини, които участват пряко в регулацията на имунологичните процеси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color w:val="1F497D"/>
                <w:sz w:val="20"/>
                <w:szCs w:val="24"/>
              </w:rPr>
            </w:pPr>
            <w:r>
              <w:rPr>
                <w:noProof/>
                <w:sz w:val="20"/>
              </w:rPr>
              <w:t>- Други хормони, простагландини, тромбоксани и левкотриени, естествени или възпроизведени чрез синтез, под формата на пептиди и протеини (различни от стоките от позиция 2937), които участват пряко в регулацията на имунологичните процеси; техните производни и структурни аналози, включително верижно модифицираните полипептиди, използвани главно като хормони, под формата на пептиди и протеини (различни от стоките от позиция 2937), които участват пряко в регулацията на имунологичните процеси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Други полиетери в първични форми, под формата на пептиди и протеини, които участват пряко в регулацията на имунологичните процеси</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r>
              <w:rPr>
                <w:rStyle w:val="FootnoteReference"/>
                <w:noProof/>
              </w:rPr>
              <w:footnoteReference w:id="23"/>
            </w:r>
          </w:p>
          <w:p>
            <w:pPr>
              <w:autoSpaceDE w:val="0"/>
              <w:autoSpaceDN w:val="0"/>
              <w:adjustRightInd w:val="0"/>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r>
              <w:rPr>
                <w:rStyle w:val="FootnoteReference"/>
                <w:noProof/>
              </w:rPr>
              <w:footnoteReference w:id="24"/>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3006 </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Приспособления за стомия, изработени от пластмаси</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 xml:space="preserve"> </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Стерилни резорбируеми конци, употребявани в хирургията или стоматологията, и стерилни средства за предотвратяване на сраствания, използвани в хирургията или стоматологията, дори резорбируеми: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Изработени от пластмаси: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Листове или фолио от йономери</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Фолио от пластмаса, метализирано</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Други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autoSpaceDE w:val="0"/>
              <w:autoSpaceDN w:val="0"/>
              <w:adjustRightInd w:val="0"/>
              <w:spacing w:before="60" w:after="60"/>
              <w:jc w:val="left"/>
              <w:rPr>
                <w:rFonts w:eastAsia="Times New Roman"/>
                <w:noProof/>
                <w:sz w:val="20"/>
                <w:szCs w:val="24"/>
              </w:rPr>
            </w:pPr>
            <w:r>
              <w:rPr>
                <w:noProof/>
                <w:sz w:val="20"/>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p>
            <w:pPr>
              <w:spacing w:before="60" w:after="60"/>
              <w:jc w:val="left"/>
              <w:rPr>
                <w:rFonts w:eastAsia="Times New Roman"/>
                <w:i/>
                <w:iCs/>
                <w:noProof/>
                <w:sz w:val="20"/>
                <w:szCs w:val="24"/>
              </w:rPr>
            </w:pPr>
          </w:p>
          <w:p>
            <w:pPr>
              <w:spacing w:before="60" w:after="60"/>
              <w:jc w:val="left"/>
              <w:rPr>
                <w:rFonts w:eastAsia="Times New Roman"/>
                <w:noProof/>
                <w:sz w:val="20"/>
                <w:szCs w:val="24"/>
              </w:rPr>
            </w:pPr>
            <w:r>
              <w:rPr>
                <w:noProof/>
                <w:sz w:val="20"/>
              </w:rPr>
              <w:t>Производство от високопрозрачно полиестерно фолио с дебелина, по-малка от 23 микрона</w:t>
            </w:r>
            <w:r>
              <w:rPr>
                <w:rStyle w:val="FootnoteReference"/>
                <w:noProof/>
              </w:rPr>
              <w:footnoteReference w:id="25"/>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високопрозрачно полиестерно фолио с дебелина, по-малка от 23 микрона</w:t>
            </w:r>
            <w:r>
              <w:rPr>
                <w:rStyle w:val="FootnoteReference"/>
                <w:noProof/>
              </w:rPr>
              <w:footnoteReference w:id="26"/>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Изработени от тъкани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Плетене, придружено от боядисване или от флокиране или от промазване</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Флокиране, придружено от боядисване или от печатане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Пресукване или текстуриране, придружено от плетене, при условие че стойността на използваните непресукани и нетекстурирани прежди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Плетене, придружено от боядисване или от флокиране или от промазване</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Флокиране, придружено от боядисване или от печатане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Пресукване или текстуриране, придружено от плетене, при условие че стойността на използваните непресукани и нетекстурирани прежди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3006 70</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ex 3006 92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Фармацевтични отпадъци: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31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Торове</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Дъбилни или багрилни екстракти; танини и техните производни; пигменти и други багрилни вещества; бои и лакове; китове; мастила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3"/>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Етерични масла и резиноиди; готови парфюмерийни или тоалетни продукти и козметични препарати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34</w:t>
            </w:r>
          </w:p>
        </w:tc>
        <w:tc>
          <w:tcPr>
            <w:tcW w:w="1092" w:type="pct"/>
            <w:shd w:val="clear" w:color="auto" w:fill="auto"/>
          </w:tcPr>
          <w:p>
            <w:pPr>
              <w:spacing w:before="0" w:after="0"/>
              <w:jc w:val="left"/>
              <w:rPr>
                <w:rFonts w:eastAsia="Times New Roman"/>
                <w:noProof/>
                <w:sz w:val="20"/>
                <w:szCs w:val="24"/>
              </w:rPr>
            </w:pPr>
            <w:r>
              <w:rPr>
                <w:noProof/>
                <w:sz w:val="20"/>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3404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Изкуствени восъци и восъчни препарати: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На базата на парафин, нефтени восъци, восъци, получени от битуминозни минерали, суров парафин (slack wax) или парафинови отпадъци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35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Белтъчни вещества; продукти на базата на модифицирани скорбяла или нишесте; лепила; ензими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Барути и експлозиви; пиротехнически артикули; кибрити; пирофорни сплави; възпламенителни материали</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37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Фотографски или кинематографски продукти</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38</w:t>
            </w:r>
          </w:p>
        </w:tc>
        <w:tc>
          <w:tcPr>
            <w:tcW w:w="1092" w:type="pct"/>
            <w:shd w:val="clear" w:color="auto" w:fill="auto"/>
          </w:tcPr>
          <w:p>
            <w:pPr>
              <w:spacing w:before="0" w:after="0"/>
              <w:jc w:val="left"/>
              <w:rPr>
                <w:rFonts w:eastAsia="Times New Roman"/>
                <w:noProof/>
                <w:sz w:val="20"/>
                <w:szCs w:val="24"/>
              </w:rPr>
            </w:pPr>
            <w:r>
              <w:rPr>
                <w:noProof/>
                <w:sz w:val="20"/>
              </w:rPr>
              <w:t>Различни видове продукти на химическата промишленост; с изключение на:</w:t>
            </w:r>
          </w:p>
        </w:tc>
        <w:tc>
          <w:tcPr>
            <w:tcW w:w="860" w:type="pct"/>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3803</w:t>
            </w:r>
          </w:p>
        </w:tc>
        <w:tc>
          <w:tcPr>
            <w:tcW w:w="1092" w:type="pct"/>
            <w:shd w:val="clear" w:color="auto" w:fill="auto"/>
          </w:tcPr>
          <w:p>
            <w:pPr>
              <w:spacing w:before="0" w:after="0"/>
              <w:jc w:val="left"/>
              <w:rPr>
                <w:rFonts w:eastAsia="Times New Roman"/>
                <w:noProof/>
                <w:sz w:val="20"/>
                <w:szCs w:val="24"/>
              </w:rPr>
            </w:pPr>
            <w:r>
              <w:rPr>
                <w:noProof/>
                <w:sz w:val="20"/>
              </w:rPr>
              <w:t>Рафинирано талово масло</w:t>
            </w:r>
          </w:p>
        </w:tc>
        <w:tc>
          <w:tcPr>
            <w:tcW w:w="860" w:type="pct"/>
            <w:shd w:val="clear" w:color="auto" w:fill="auto"/>
          </w:tcPr>
          <w:p>
            <w:pPr>
              <w:spacing w:before="60" w:after="60"/>
              <w:jc w:val="left"/>
              <w:rPr>
                <w:rFonts w:eastAsia="Times New Roman"/>
                <w:i/>
                <w:iCs/>
                <w:noProof/>
                <w:sz w:val="20"/>
                <w:szCs w:val="24"/>
              </w:rPr>
            </w:pPr>
            <w:r>
              <w:rPr>
                <w:noProof/>
                <w:sz w:val="20"/>
              </w:rPr>
              <w:t>Рафиниране на сурово талово масло</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shd w:val="clear" w:color="auto" w:fill="auto"/>
          </w:tcPr>
          <w:p>
            <w:pPr>
              <w:spacing w:before="0" w:after="0"/>
              <w:jc w:val="left"/>
              <w:rPr>
                <w:rFonts w:eastAsia="Times New Roman"/>
                <w:noProof/>
                <w:sz w:val="20"/>
                <w:szCs w:val="24"/>
              </w:rPr>
            </w:pPr>
            <w:r>
              <w:rPr>
                <w:noProof/>
                <w:sz w:val="20"/>
              </w:rPr>
              <w:t>Рафиниране на сурово талово масло</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3805</w:t>
            </w:r>
          </w:p>
        </w:tc>
        <w:tc>
          <w:tcPr>
            <w:tcW w:w="1092" w:type="pct"/>
            <w:shd w:val="clear" w:color="auto" w:fill="auto"/>
          </w:tcPr>
          <w:p>
            <w:pPr>
              <w:spacing w:before="0" w:after="0"/>
              <w:jc w:val="left"/>
              <w:rPr>
                <w:rFonts w:eastAsia="Times New Roman"/>
                <w:noProof/>
                <w:sz w:val="20"/>
                <w:szCs w:val="24"/>
              </w:rPr>
            </w:pPr>
            <w:r>
              <w:rPr>
                <w:noProof/>
                <w:sz w:val="20"/>
              </w:rPr>
              <w:t>Терпентиново масло (есенция), получено при производството на целулоза по сулфатен метод, пречистено</w:t>
            </w:r>
          </w:p>
        </w:tc>
        <w:tc>
          <w:tcPr>
            <w:tcW w:w="860" w:type="pct"/>
            <w:shd w:val="clear" w:color="auto" w:fill="auto"/>
          </w:tcPr>
          <w:p>
            <w:pPr>
              <w:spacing w:before="60" w:after="60"/>
              <w:jc w:val="left"/>
              <w:rPr>
                <w:rFonts w:eastAsia="Times New Roman"/>
                <w:noProof/>
                <w:sz w:val="20"/>
                <w:szCs w:val="24"/>
              </w:rPr>
            </w:pPr>
            <w:r>
              <w:rPr>
                <w:noProof/>
                <w:sz w:val="20"/>
              </w:rPr>
              <w:t>Пречистване чрез дестилация или рафиниране на сурово терпентиново масло (есенция), получено при производството на целулоза по сулфатен метод</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shd w:val="clear" w:color="auto" w:fill="auto"/>
          </w:tcPr>
          <w:p>
            <w:pPr>
              <w:spacing w:before="0" w:after="0"/>
              <w:jc w:val="left"/>
              <w:rPr>
                <w:rFonts w:eastAsia="Times New Roman"/>
                <w:noProof/>
                <w:sz w:val="20"/>
                <w:szCs w:val="24"/>
              </w:rPr>
            </w:pPr>
            <w:r>
              <w:rPr>
                <w:noProof/>
                <w:sz w:val="20"/>
              </w:rPr>
              <w:t>Пречистване чрез дестилация или рафиниране на сурово терпентиново масло (есенция), получено при производството на целулоза по сулфатен метод</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3806 30</w:t>
            </w:r>
          </w:p>
        </w:tc>
        <w:tc>
          <w:tcPr>
            <w:tcW w:w="1092" w:type="pct"/>
            <w:shd w:val="clear" w:color="auto" w:fill="auto"/>
          </w:tcPr>
          <w:p>
            <w:pPr>
              <w:spacing w:before="0" w:after="0"/>
              <w:jc w:val="left"/>
              <w:rPr>
                <w:rFonts w:eastAsia="Times New Roman"/>
                <w:noProof/>
                <w:sz w:val="20"/>
                <w:szCs w:val="24"/>
              </w:rPr>
            </w:pPr>
            <w:r>
              <w:rPr>
                <w:noProof/>
                <w:sz w:val="20"/>
              </w:rPr>
              <w:t>Естерни смоли</w:t>
            </w:r>
          </w:p>
        </w:tc>
        <w:tc>
          <w:tcPr>
            <w:tcW w:w="860" w:type="pct"/>
            <w:shd w:val="clear" w:color="auto" w:fill="auto"/>
          </w:tcPr>
          <w:p>
            <w:pPr>
              <w:spacing w:before="60" w:after="60"/>
              <w:jc w:val="left"/>
              <w:rPr>
                <w:rFonts w:eastAsia="Times New Roman"/>
                <w:i/>
                <w:iCs/>
                <w:noProof/>
                <w:sz w:val="20"/>
                <w:szCs w:val="24"/>
              </w:rPr>
            </w:pPr>
            <w:r>
              <w:rPr>
                <w:noProof/>
                <w:sz w:val="20"/>
              </w:rPr>
              <w:t>Производство от смолни киселини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смолни киселини</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3807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Дървесна смола (дървесен катран от смола)</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Дестилация на дървесен катран</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Дестилация на дървесен катран</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3809 10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 на базата на скорбялни материали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3823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Промишлени монокарбоксилни мастни киселини; масла, получени при рафиниране, съдържащи киселини; промишлени мастни алкохоли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3823</w:t>
            </w:r>
          </w:p>
          <w:p>
            <w:pPr>
              <w:spacing w:before="60" w:after="60"/>
              <w:jc w:val="left"/>
              <w:rPr>
                <w:rFonts w:eastAsia="Times New Roman"/>
                <w:noProof/>
                <w:sz w:val="20"/>
                <w:szCs w:val="24"/>
              </w:rPr>
            </w:pPr>
            <w:r>
              <w:rPr>
                <w:noProof/>
                <w:sz w:val="20"/>
              </w:rPr>
              <w:t>или</w:t>
            </w:r>
          </w:p>
          <w:p>
            <w:pPr>
              <w:spacing w:before="0" w:after="0"/>
              <w:jc w:val="left"/>
              <w:rPr>
                <w:rFonts w:eastAsia="Times New Roman"/>
                <w:b/>
                <w:noProof/>
                <w:sz w:val="20"/>
                <w:szCs w:val="24"/>
              </w:rPr>
            </w:pPr>
            <w:r>
              <w:rPr>
                <w:noProof/>
                <w:sz w:val="20"/>
              </w:rPr>
              <w:t xml:space="preserve">Производство,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3823</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3825</w:t>
            </w:r>
          </w:p>
        </w:tc>
        <w:tc>
          <w:tcPr>
            <w:tcW w:w="1092" w:type="pct"/>
            <w:shd w:val="clear" w:color="auto" w:fill="auto"/>
          </w:tcPr>
          <w:p>
            <w:pPr>
              <w:spacing w:before="0" w:after="0"/>
              <w:jc w:val="left"/>
              <w:rPr>
                <w:rFonts w:eastAsia="Times New Roman"/>
                <w:noProof/>
                <w:sz w:val="20"/>
                <w:szCs w:val="24"/>
              </w:rPr>
            </w:pPr>
            <w:r>
              <w:rPr>
                <w:noProof/>
                <w:sz w:val="20"/>
              </w:rPr>
              <w:t>Отпадъчни продукти от химическата или свързани с нея промишлености, неупоменати, нито включени другаде; битови отпадъци; утайки от отпадъчни води; други отпадъци, упоменати в забележка 6 към настоящата глава:</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xml:space="preserve"> - Вати, марли, бинтове и аналогични артикули (например превръзки, пластири, синапизми), напоени или промазани с фармацевтични субстанции или пригодени за продажба на дребно за медицински, хирургически, стоматологични или ветеринарни цели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Клинични отпадъци: хирургически ръкавици, ръкавици без пръсти и ръкавици с един пръст</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 xml:space="preserve"> </w:t>
            </w:r>
          </w:p>
        </w:tc>
        <w:tc>
          <w:tcPr>
            <w:tcW w:w="1092" w:type="pct"/>
            <w:shd w:val="clear" w:color="auto" w:fill="auto"/>
          </w:tcPr>
          <w:p>
            <w:pPr>
              <w:spacing w:before="0" w:after="0"/>
              <w:jc w:val="left"/>
              <w:rPr>
                <w:rFonts w:eastAsia="Times New Roman"/>
                <w:noProof/>
                <w:sz w:val="20"/>
                <w:szCs w:val="24"/>
              </w:rPr>
            </w:pPr>
            <w:r>
              <w:rPr>
                <w:noProof/>
                <w:sz w:val="20"/>
              </w:rPr>
              <w:t>- Спринцовки, игли, катетри, канюли, тръбички и подобни инструменти</w:t>
            </w:r>
          </w:p>
        </w:tc>
        <w:tc>
          <w:tcPr>
            <w:tcW w:w="860" w:type="pct"/>
            <w:shd w:val="clear" w:color="auto" w:fill="auto"/>
          </w:tcPr>
          <w:p>
            <w:pPr>
              <w:spacing w:before="60" w:after="60"/>
              <w:ind w:left="113" w:hanging="113"/>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3824 60</w:t>
            </w:r>
          </w:p>
        </w:tc>
        <w:tc>
          <w:tcPr>
            <w:tcW w:w="1092" w:type="pct"/>
            <w:shd w:val="clear" w:color="auto" w:fill="auto"/>
          </w:tcPr>
          <w:p>
            <w:pPr>
              <w:spacing w:before="0" w:after="0"/>
              <w:jc w:val="left"/>
              <w:rPr>
                <w:rFonts w:eastAsia="Times New Roman"/>
                <w:noProof/>
                <w:sz w:val="20"/>
                <w:szCs w:val="24"/>
              </w:rPr>
            </w:pPr>
            <w:r>
              <w:rPr>
                <w:noProof/>
                <w:sz w:val="20"/>
              </w:rPr>
              <w:t>Сорбитол, различен от посочения в позиция № 2905</w:t>
            </w:r>
          </w:p>
        </w:tc>
        <w:tc>
          <w:tcPr>
            <w:tcW w:w="860" w:type="pct"/>
            <w:shd w:val="clear" w:color="auto" w:fill="auto"/>
          </w:tcPr>
          <w:p>
            <w:pPr>
              <w:spacing w:before="0" w:after="0"/>
              <w:jc w:val="left"/>
              <w:rPr>
                <w:rFonts w:eastAsia="Times New Roman"/>
                <w:i/>
                <w:noProof/>
                <w:sz w:val="20"/>
                <w:szCs w:val="24"/>
              </w:rPr>
            </w:pPr>
            <w:r>
              <w:rPr>
                <w:noProof/>
                <w:sz w:val="20"/>
              </w:rPr>
              <w:t>Производство от материали от всяка подпозиция, с изключение на тази на продукта и с изключение на материали от подпозиция 2905 44. Материалите от същата подпозиция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подпозиция, с изключение на тази на продукта и с изключение на материали от подпозиция 2905 44. Материалите от същата подпозиция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39</w:t>
            </w:r>
          </w:p>
        </w:tc>
        <w:tc>
          <w:tcPr>
            <w:tcW w:w="1092" w:type="pct"/>
            <w:shd w:val="clear" w:color="auto" w:fill="auto"/>
          </w:tcPr>
          <w:p>
            <w:pPr>
              <w:spacing w:before="0" w:after="0"/>
              <w:jc w:val="left"/>
              <w:rPr>
                <w:rFonts w:eastAsia="Times New Roman"/>
                <w:noProof/>
                <w:sz w:val="20"/>
                <w:szCs w:val="24"/>
              </w:rPr>
            </w:pPr>
            <w:r>
              <w:rPr>
                <w:noProof/>
                <w:sz w:val="20"/>
              </w:rPr>
              <w:t>Пластмаси и пластмасови изделия; с изключение на:</w:t>
            </w:r>
          </w:p>
        </w:tc>
        <w:tc>
          <w:tcPr>
            <w:tcW w:w="860" w:type="pct"/>
            <w:shd w:val="clear" w:color="auto" w:fill="auto"/>
          </w:tcPr>
          <w:p>
            <w:pPr>
              <w:spacing w:before="60" w:after="60"/>
              <w:ind w:left="-107"/>
              <w:jc w:val="left"/>
              <w:rPr>
                <w:rFonts w:eastAsia="Times New Roman"/>
                <w:iCs/>
                <w:noProof/>
                <w:sz w:val="20"/>
                <w:szCs w:val="24"/>
              </w:rPr>
            </w:pPr>
            <w:r>
              <w:rPr>
                <w:noProof/>
                <w:sz w:val="20"/>
              </w:rPr>
              <w:t>Производство от материали от всяка позиция, с изключение на тази на продукта</w:t>
            </w:r>
          </w:p>
          <w:p>
            <w:pPr>
              <w:spacing w:before="0" w:after="0"/>
              <w:ind w:left="-107"/>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lastRenderedPageBreak/>
              <w:t>ex 3907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Съполимер, произведен от поликарбонат и акрилонитрил-бутадиен-стиренов съполимер (ABS)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r>
              <w:rPr>
                <w:rStyle w:val="FootnoteReference"/>
                <w:noProof/>
              </w:rPr>
              <w:footnoteReference w:id="27"/>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r>
              <w:rPr>
                <w:rStyle w:val="FootnoteReference"/>
                <w:noProof/>
              </w:rPr>
              <w:footnoteReference w:id="28"/>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16"/>
                <w:szCs w:val="16"/>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Полиестер </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от поликарбонат от тетрабромо-(бисфенол 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от поликарбонат от тетрабромо-(бисфенол 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color w:val="000000"/>
                <w:sz w:val="20"/>
                <w:szCs w:val="24"/>
              </w:rPr>
            </w:pPr>
            <w:r>
              <w:rPr>
                <w:noProof/>
                <w:color w:val="000000"/>
                <w:sz w:val="20"/>
              </w:rPr>
              <w:t>Производство от поликарбонат от тетрабромо-(бисфенол 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ex 3920</w:t>
            </w:r>
          </w:p>
        </w:tc>
        <w:tc>
          <w:tcPr>
            <w:tcW w:w="1092" w:type="pct"/>
            <w:shd w:val="clear" w:color="auto" w:fill="auto"/>
          </w:tcPr>
          <w:p>
            <w:pPr>
              <w:spacing w:before="0" w:after="0"/>
              <w:jc w:val="left"/>
              <w:rPr>
                <w:rFonts w:eastAsia="Times New Roman"/>
                <w:noProof/>
                <w:sz w:val="20"/>
                <w:szCs w:val="24"/>
              </w:rPr>
            </w:pPr>
            <w:r>
              <w:rPr>
                <w:noProof/>
                <w:sz w:val="20"/>
              </w:rPr>
              <w:t>- Листове или фолио от йономери</w:t>
            </w:r>
          </w:p>
        </w:tc>
        <w:tc>
          <w:tcPr>
            <w:tcW w:w="860" w:type="pct"/>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3921</w:t>
            </w:r>
          </w:p>
        </w:tc>
        <w:tc>
          <w:tcPr>
            <w:tcW w:w="1092" w:type="pct"/>
            <w:shd w:val="clear" w:color="auto" w:fill="auto"/>
          </w:tcPr>
          <w:p>
            <w:pPr>
              <w:spacing w:before="0" w:after="0"/>
              <w:jc w:val="left"/>
              <w:rPr>
                <w:rFonts w:eastAsia="Times New Roman"/>
                <w:noProof/>
                <w:sz w:val="20"/>
                <w:szCs w:val="24"/>
              </w:rPr>
            </w:pPr>
            <w:r>
              <w:rPr>
                <w:noProof/>
                <w:sz w:val="20"/>
              </w:rPr>
              <w:t>Фолио от пластмаса, метализирано</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високопрозрачно полиестерно фолио с дебелина, по-малка от 23 микрона</w:t>
            </w:r>
            <w:r>
              <w:rPr>
                <w:rStyle w:val="FootnoteReference"/>
                <w:noProof/>
              </w:rPr>
              <w:footnoteReference w:id="29"/>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високопрозрачно полиестерно фолио с дебелина, по-малка от 23 микрона</w:t>
            </w:r>
            <w:r>
              <w:rPr>
                <w:rStyle w:val="FootnoteReference"/>
                <w:noProof/>
              </w:rPr>
              <w:footnoteReference w:id="30"/>
            </w:r>
            <w:r>
              <w:rPr>
                <w:noProof/>
                <w:sz w:val="20"/>
              </w:rPr>
              <w:t xml:space="preserve"> </w:t>
            </w: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40</w:t>
            </w:r>
          </w:p>
        </w:tc>
        <w:tc>
          <w:tcPr>
            <w:tcW w:w="1092" w:type="pct"/>
            <w:shd w:val="clear" w:color="auto" w:fill="auto"/>
          </w:tcPr>
          <w:p>
            <w:pPr>
              <w:spacing w:before="0" w:after="0"/>
              <w:jc w:val="left"/>
              <w:rPr>
                <w:rFonts w:eastAsia="Times New Roman"/>
                <w:noProof/>
                <w:sz w:val="20"/>
                <w:szCs w:val="24"/>
              </w:rPr>
            </w:pPr>
            <w:r>
              <w:rPr>
                <w:noProof/>
                <w:sz w:val="20"/>
              </w:rPr>
              <w:t>Каучук и каучукови изделия; с изключение на:</w:t>
            </w:r>
          </w:p>
        </w:tc>
        <w:tc>
          <w:tcPr>
            <w:tcW w:w="860" w:type="pct"/>
            <w:shd w:val="clear" w:color="auto" w:fill="auto"/>
          </w:tcPr>
          <w:p>
            <w:pPr>
              <w:spacing w:before="60" w:after="60"/>
              <w:jc w:val="left"/>
              <w:rPr>
                <w:rFonts w:eastAsia="Times New Roman"/>
                <w:noProof/>
                <w:sz w:val="16"/>
                <w:szCs w:val="16"/>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4012</w:t>
            </w:r>
          </w:p>
        </w:tc>
        <w:tc>
          <w:tcPr>
            <w:tcW w:w="1092" w:type="pct"/>
            <w:shd w:val="clear" w:color="auto" w:fill="auto"/>
          </w:tcPr>
          <w:p>
            <w:pPr>
              <w:spacing w:before="0" w:after="0"/>
              <w:jc w:val="left"/>
              <w:rPr>
                <w:rFonts w:eastAsia="Times New Roman"/>
                <w:noProof/>
                <w:sz w:val="20"/>
                <w:szCs w:val="24"/>
              </w:rPr>
            </w:pPr>
            <w:r>
              <w:rPr>
                <w:noProof/>
                <w:sz w:val="20"/>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Регенерирани пневматични гуми и бандажи, плътни или кухи (полуплътни), от каучук</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Регенериране на употребявани гуми</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Регенериране на употребявани гуми</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6820"/>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тези от позиции 4011 и 4012</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тези от позиции 4011 и 4012</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4101 до 4103</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към глава 41; други сурови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б) или в) към глава 41</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4104 до 4106</w:t>
            </w:r>
          </w:p>
        </w:tc>
        <w:tc>
          <w:tcPr>
            <w:tcW w:w="1092" w:type="pct"/>
            <w:shd w:val="clear" w:color="auto" w:fill="auto"/>
          </w:tcPr>
          <w:p>
            <w:pPr>
              <w:spacing w:before="0" w:after="0"/>
              <w:jc w:val="left"/>
              <w:rPr>
                <w:rFonts w:eastAsia="Times New Roman"/>
                <w:noProof/>
                <w:sz w:val="20"/>
                <w:szCs w:val="24"/>
              </w:rPr>
            </w:pPr>
            <w:r>
              <w:rPr>
                <w:noProof/>
                <w:sz w:val="20"/>
              </w:rPr>
              <w:t>Дъбени или „crust“ кожи, обезкосмени, дори цепени, но необработени по друг начин</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Повторно дъбене на дъбени или предварително дъбени кожи от подпозиции 4104 11, 4104 19, 4105 10, 4106 21, 4106 31 или 4106 91</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Повторно дъбене на дъбени или предварително дъбени кожи от подпозиции 4104 11, 4104 19, 4105 10, 4106 21, 4106 31 или 4106 91</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4107, 4112 и 4113</w:t>
            </w:r>
          </w:p>
        </w:tc>
        <w:tc>
          <w:tcPr>
            <w:tcW w:w="1092" w:type="pct"/>
            <w:shd w:val="clear" w:color="auto" w:fill="auto"/>
          </w:tcPr>
          <w:p>
            <w:pPr>
              <w:spacing w:before="0" w:after="0"/>
              <w:jc w:val="left"/>
              <w:rPr>
                <w:rFonts w:eastAsia="Times New Roman"/>
                <w:noProof/>
                <w:sz w:val="20"/>
                <w:szCs w:val="24"/>
              </w:rPr>
            </w:pPr>
            <w:r>
              <w:rPr>
                <w:noProof/>
                <w:sz w:val="20"/>
              </w:rPr>
              <w:t>Дъбени или „crust“ кожи, допълнително обработени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материали от подпозиции 4104 41, 4104 49, 4105 30, 4106 22, 4106 32 и 4106 92 единствено ако се извършва операция по повторно дъбене на дъбени или „crust“ кожи в сухо състояние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материали от подпозиции 4104 41, 4104 49, 4105 30, 4106 22, 4106 32 и 4106 92 единствено ако се извършва операция по повторно дъбене на дъбени или „crust“ кожи в сухо състояние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4114 и</w:t>
            </w:r>
          </w:p>
          <w:p>
            <w:pPr>
              <w:spacing w:before="0" w:after="0"/>
              <w:jc w:val="left"/>
              <w:rPr>
                <w:rFonts w:eastAsia="Times New Roman"/>
                <w:noProof/>
                <w:sz w:val="20"/>
                <w:szCs w:val="24"/>
              </w:rPr>
            </w:pPr>
            <w:r>
              <w:rPr>
                <w:noProof/>
                <w:sz w:val="20"/>
              </w:rPr>
              <w:t>4115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Замшеви кожи — гюдерии (включително комбинирано маслено-формалиново дъбени кожи); кожи с лаково или друго покритие; метализирани кожи; възстановена кожа на базата на кожа или кожени влакна, на плочи, листове или</w:t>
            </w:r>
          </w:p>
          <w:p>
            <w:pPr>
              <w:autoSpaceDE w:val="0"/>
              <w:autoSpaceDN w:val="0"/>
              <w:adjustRightInd w:val="0"/>
              <w:spacing w:before="0" w:after="0"/>
              <w:jc w:val="left"/>
              <w:rPr>
                <w:rFonts w:eastAsia="Times New Roman"/>
                <w:noProof/>
                <w:sz w:val="20"/>
                <w:szCs w:val="24"/>
              </w:rPr>
            </w:pPr>
            <w:r>
              <w:rPr>
                <w:noProof/>
                <w:sz w:val="20"/>
              </w:rPr>
              <w:t>ленти, дори навити на рула; изрезки и други отпадъци от обработени кожи или от възстановена кожа, негодни за производството на кожени изделия; стърготини, прах и брашно от кожа</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42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Кожени изделия; седларски или сарашки артикули; пътнически артикули, ръчни чанти и други подобни; изделия от черва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977"/>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43</w:t>
            </w:r>
          </w:p>
        </w:tc>
        <w:tc>
          <w:tcPr>
            <w:tcW w:w="1092" w:type="pct"/>
            <w:shd w:val="clear" w:color="auto" w:fill="auto"/>
          </w:tcPr>
          <w:p>
            <w:pPr>
              <w:spacing w:before="0" w:after="0"/>
              <w:jc w:val="left"/>
              <w:rPr>
                <w:rFonts w:eastAsia="Times New Roman"/>
                <w:noProof/>
                <w:sz w:val="20"/>
                <w:szCs w:val="24"/>
              </w:rPr>
            </w:pPr>
            <w:r>
              <w:rPr>
                <w:noProof/>
                <w:sz w:val="20"/>
              </w:rPr>
              <w:t>Кожухарски кожи и облекла от тях; изкуствени кожухарски кожи; с изключение на:</w:t>
            </w:r>
          </w:p>
        </w:tc>
        <w:tc>
          <w:tcPr>
            <w:tcW w:w="86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60" w:after="60"/>
              <w:jc w:val="left"/>
              <w:rPr>
                <w:rFonts w:eastAsia="Times New Roman"/>
                <w:i/>
                <w:iCs/>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4301</w:t>
            </w:r>
          </w:p>
        </w:tc>
        <w:tc>
          <w:tcPr>
            <w:tcW w:w="1092" w:type="pct"/>
            <w:shd w:val="clear" w:color="auto" w:fill="auto"/>
          </w:tcPr>
          <w:p>
            <w:pPr>
              <w:spacing w:before="0" w:after="0"/>
              <w:jc w:val="left"/>
              <w:rPr>
                <w:rFonts w:eastAsia="Times New Roman"/>
                <w:noProof/>
                <w:sz w:val="20"/>
                <w:szCs w:val="24"/>
              </w:rPr>
            </w:pPr>
            <w:r>
              <w:rPr>
                <w:noProof/>
                <w:sz w:val="20"/>
              </w:rPr>
              <w:t>Сурови кожухарски кожи (включително главите, опашките, крачетата и други части, годни за употреба в кожухарството), различни от суровите кожи от позиция 4101, 4102 или 4103</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ex 4302</w:t>
            </w:r>
          </w:p>
        </w:tc>
        <w:tc>
          <w:tcPr>
            <w:tcW w:w="1092" w:type="pct"/>
            <w:shd w:val="clear" w:color="auto" w:fill="auto"/>
          </w:tcPr>
          <w:p>
            <w:pPr>
              <w:spacing w:before="0" w:after="0"/>
              <w:jc w:val="left"/>
              <w:rPr>
                <w:rFonts w:eastAsia="Times New Roman"/>
                <w:noProof/>
                <w:sz w:val="20"/>
                <w:szCs w:val="24"/>
              </w:rPr>
            </w:pPr>
            <w:r>
              <w:rPr>
                <w:noProof/>
                <w:sz w:val="20"/>
              </w:rPr>
              <w:t>Дъбени или апретирани кожухарски кожи, съединени:</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На платна, на кръстове и други подобни форми</w:t>
            </w:r>
          </w:p>
        </w:tc>
        <w:tc>
          <w:tcPr>
            <w:tcW w:w="860" w:type="pct"/>
            <w:shd w:val="clear" w:color="auto" w:fill="auto"/>
          </w:tcPr>
          <w:p>
            <w:pPr>
              <w:spacing w:before="0" w:after="0"/>
              <w:jc w:val="left"/>
              <w:rPr>
                <w:rFonts w:eastAsia="Times New Roman"/>
                <w:noProof/>
                <w:sz w:val="20"/>
                <w:szCs w:val="24"/>
              </w:rPr>
            </w:pPr>
            <w:r>
              <w:rPr>
                <w:noProof/>
                <w:sz w:val="20"/>
              </w:rPr>
              <w:t>Избелване или боядисване, в допълнение към рязането и съединяването на несъединени дъбени или апретирани кожухарски кожи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Избелване или боядисване, в допълнение към рязането и съединяването на несъединени дъбени или апретирани кожухарски кожи</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несъединени дъбени или апретирани кожухарски кожи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несъединени дъбени или апретирани кожухарски кожи</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4303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Облекла, допълнения към облеклото и други артикули от кожухарски кожи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несъединени дъбени или апретирани кожухарски кожи от позиция 4302</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несъединени дъбени или апретирани кожухарски кожи от позиция № 4302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ех глава 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Дървен материал и изделия от дървен материал; дървени въглища;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ex 4407</w:t>
            </w:r>
          </w:p>
        </w:tc>
        <w:tc>
          <w:tcPr>
            <w:tcW w:w="1092" w:type="pct"/>
            <w:shd w:val="clear" w:color="auto" w:fill="auto"/>
          </w:tcPr>
          <w:p>
            <w:pPr>
              <w:spacing w:before="0" w:after="0"/>
              <w:jc w:val="left"/>
              <w:rPr>
                <w:rFonts w:eastAsia="Times New Roman"/>
                <w:noProof/>
                <w:sz w:val="20"/>
                <w:szCs w:val="24"/>
              </w:rPr>
            </w:pPr>
            <w:r>
              <w:rPr>
                <w:noProof/>
                <w:sz w:val="20"/>
              </w:rPr>
              <w:t>Дървен материал, нарязан или бичен надлъжно, цепен или кръгообразно нарязан, с дебелина над 6 mm, рендосан, шлифован или клинозъбно съединен</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b/>
                <w:noProof/>
                <w:sz w:val="20"/>
                <w:szCs w:val="24"/>
              </w:rPr>
            </w:pPr>
            <w:r>
              <w:rPr>
                <w:noProof/>
                <w:sz w:val="20"/>
              </w:rPr>
              <w:t>Рендосване, шлифоване или клинозъбно съединяване</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Рендосване, шлифоване или клинозъбно съединяване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4408</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Фурнирни листове и развиван фурнир за шперплат, с дебелина, непревишаваща 6 mm, челно съединени, и друг надлъжно нарязан дървен материал, нацепен или кръгообразно развит, с дебелина, непревишаваща 6 mm, рендосан, шлифован или клинозъбно съединен</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Цепене, рендосване, шлифоване или клинозъбно съединяване</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Цепене, рендосване, шлифоване или клинозъбно съединяване</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ex 4410 до</w:t>
            </w:r>
          </w:p>
          <w:p>
            <w:pPr>
              <w:spacing w:before="0" w:after="0"/>
              <w:jc w:val="left"/>
              <w:rPr>
                <w:rFonts w:eastAsia="Times New Roman"/>
                <w:noProof/>
                <w:sz w:val="20"/>
                <w:szCs w:val="24"/>
              </w:rPr>
            </w:pPr>
            <w:r>
              <w:rPr>
                <w:noProof/>
                <w:sz w:val="20"/>
              </w:rPr>
              <w:t>ex 4413</w:t>
            </w:r>
          </w:p>
        </w:tc>
        <w:tc>
          <w:tcPr>
            <w:tcW w:w="1092" w:type="pct"/>
            <w:shd w:val="clear" w:color="auto" w:fill="auto"/>
          </w:tcPr>
          <w:p>
            <w:pPr>
              <w:spacing w:before="0" w:after="0"/>
              <w:jc w:val="left"/>
              <w:rPr>
                <w:rFonts w:eastAsia="Times New Roman"/>
                <w:noProof/>
                <w:sz w:val="20"/>
                <w:szCs w:val="24"/>
              </w:rPr>
            </w:pPr>
            <w:r>
              <w:rPr>
                <w:noProof/>
                <w:sz w:val="20"/>
              </w:rPr>
              <w:t>Пръчки и дървени профили, включително обработени первази и други подобни обработени елементи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Преработка във форма на пръчки или дървени профили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Преработка във форма на пръчки или дървени профили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4415</w:t>
            </w:r>
          </w:p>
        </w:tc>
        <w:tc>
          <w:tcPr>
            <w:tcW w:w="1092" w:type="pct"/>
            <w:shd w:val="clear" w:color="auto" w:fill="auto"/>
          </w:tcPr>
          <w:p>
            <w:pPr>
              <w:spacing w:before="0" w:after="0"/>
              <w:jc w:val="left"/>
              <w:rPr>
                <w:rFonts w:eastAsia="Times New Roman"/>
                <w:noProof/>
                <w:sz w:val="20"/>
                <w:szCs w:val="24"/>
              </w:rPr>
            </w:pPr>
            <w:r>
              <w:rPr>
                <w:noProof/>
                <w:sz w:val="20"/>
              </w:rPr>
              <w:t>Каси, касетки, щайги, барабани и други подобни амбалажи от дървен материал</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дъски, неизрязани по размер</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дъски, неизрязани по размер</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150"/>
        </w:trPr>
        <w:tc>
          <w:tcPr>
            <w:tcW w:w="553" w:type="pct"/>
            <w:shd w:val="clear" w:color="auto" w:fill="auto"/>
          </w:tcPr>
          <w:p>
            <w:pPr>
              <w:spacing w:before="0" w:after="0"/>
              <w:jc w:val="left"/>
              <w:rPr>
                <w:rFonts w:eastAsia="Times New Roman"/>
                <w:noProof/>
                <w:sz w:val="20"/>
                <w:szCs w:val="24"/>
              </w:rPr>
            </w:pPr>
            <w:r>
              <w:rPr>
                <w:noProof/>
                <w:sz w:val="20"/>
              </w:rPr>
              <w:t>ex 4418</w:t>
            </w:r>
          </w:p>
        </w:tc>
        <w:tc>
          <w:tcPr>
            <w:tcW w:w="1092" w:type="pct"/>
            <w:shd w:val="clear" w:color="auto" w:fill="auto"/>
          </w:tcPr>
          <w:p>
            <w:pPr>
              <w:spacing w:before="0" w:after="0"/>
              <w:jc w:val="left"/>
              <w:rPr>
                <w:rFonts w:eastAsia="Times New Roman"/>
                <w:noProof/>
                <w:sz w:val="20"/>
                <w:szCs w:val="24"/>
              </w:rPr>
            </w:pPr>
            <w:r>
              <w:rPr>
                <w:noProof/>
                <w:sz w:val="20"/>
              </w:rPr>
              <w:t>Дърводелски изделия и части за конструкции от дърво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порести дървесни плочи и покривни шиндри („</w:t>
            </w:r>
            <w:r>
              <w:rPr>
                <w:i/>
                <w:noProof/>
                <w:sz w:val="20"/>
              </w:rPr>
              <w:t>shingles</w:t>
            </w:r>
            <w:r>
              <w:rPr>
                <w:noProof/>
                <w:sz w:val="20"/>
              </w:rPr>
              <w:t>“ и „</w:t>
            </w:r>
            <w:r>
              <w:rPr>
                <w:i/>
                <w:noProof/>
                <w:sz w:val="20"/>
              </w:rPr>
              <w:t>shakes</w:t>
            </w:r>
            <w:r>
              <w:rPr>
                <w:noProof/>
                <w:sz w:val="20"/>
              </w:rPr>
              <w:t xml:space="preserve">“), от дървен материал </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порести дървесни плочи и покривни шиндри („</w:t>
            </w:r>
            <w:r>
              <w:rPr>
                <w:i/>
                <w:noProof/>
                <w:sz w:val="20"/>
              </w:rPr>
              <w:t>shingles</w:t>
            </w:r>
            <w:r>
              <w:rPr>
                <w:noProof/>
                <w:sz w:val="20"/>
              </w:rPr>
              <w:t>“ и „</w:t>
            </w:r>
            <w:r>
              <w:rPr>
                <w:i/>
                <w:noProof/>
                <w:sz w:val="20"/>
              </w:rPr>
              <w:t>shakes</w:t>
            </w:r>
            <w:r>
              <w:rPr>
                <w:noProof/>
                <w:sz w:val="20"/>
              </w:rPr>
              <w:t>“), от дървен материал</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Пръчки и дървени профили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Преработка във форма на пръчки или дървени профили</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Преработка във форма на пръчки или дървени профили</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118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ex 4421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Дървен материал, приготвен за кибритени клечки; дървени клечки или щифтове за обувки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от дървен материал от всяка позиция, с изключение на профилирания дървен материал от позиция 4409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дървен материал от всяка позиция, с изключение на профилирания дървен материал от позиция № 4409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глава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Корк и коркови изделия</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Тръстикови или кошничарски изделия</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Дървесна маса или маса от други влакнести целулозни материали; хартия или картон за рециклиране (отпадъци и остатъци)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8"/>
                <w:szCs w:val="18"/>
              </w:rPr>
            </w:pPr>
            <w:r>
              <w:rPr>
                <w:noProof/>
                <w:sz w:val="20"/>
              </w:rPr>
              <w:t xml:space="preserve">Производство от материали от всяка позиция, с изключение на тази на продукта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глава 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Хартии и картони; изделия от целулозна маса, от хартия или от картон</w:t>
            </w:r>
          </w:p>
        </w:tc>
        <w:tc>
          <w:tcPr>
            <w:tcW w:w="860" w:type="pct"/>
            <w:tcBorders>
              <w:bottom w:val="single" w:sz="4" w:space="0" w:color="auto"/>
            </w:tcBorders>
            <w:shd w:val="clear" w:color="auto" w:fill="auto"/>
          </w:tcPr>
          <w:p>
            <w:pPr>
              <w:spacing w:before="60" w:after="60"/>
              <w:jc w:val="left"/>
              <w:rPr>
                <w:rFonts w:eastAsia="Times New Roman"/>
                <w:noProof/>
                <w:sz w:val="16"/>
                <w:szCs w:val="16"/>
                <w:vertAlign w:val="subscript"/>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глава 49</w:t>
            </w:r>
          </w:p>
        </w:tc>
        <w:tc>
          <w:tcPr>
            <w:tcW w:w="1092" w:type="pct"/>
            <w:shd w:val="clear" w:color="auto" w:fill="auto"/>
          </w:tcPr>
          <w:p>
            <w:pPr>
              <w:spacing w:before="0" w:after="0"/>
              <w:jc w:val="left"/>
              <w:rPr>
                <w:rFonts w:eastAsia="Times New Roman"/>
                <w:noProof/>
                <w:sz w:val="20"/>
                <w:szCs w:val="24"/>
              </w:rPr>
            </w:pPr>
            <w:r>
              <w:rPr>
                <w:noProof/>
                <w:sz w:val="20"/>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50</w:t>
            </w:r>
          </w:p>
        </w:tc>
        <w:tc>
          <w:tcPr>
            <w:tcW w:w="1092" w:type="pct"/>
            <w:shd w:val="clear" w:color="auto" w:fill="auto"/>
          </w:tcPr>
          <w:p>
            <w:pPr>
              <w:spacing w:before="0" w:after="0"/>
              <w:jc w:val="left"/>
              <w:rPr>
                <w:rFonts w:eastAsia="Times New Roman"/>
                <w:noProof/>
                <w:sz w:val="20"/>
                <w:szCs w:val="24"/>
              </w:rPr>
            </w:pPr>
            <w:r>
              <w:rPr>
                <w:noProof/>
                <w:sz w:val="20"/>
              </w:rPr>
              <w:t>Естествена коприна;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5003</w:t>
            </w:r>
          </w:p>
        </w:tc>
        <w:tc>
          <w:tcPr>
            <w:tcW w:w="1092" w:type="pct"/>
            <w:shd w:val="clear" w:color="auto" w:fill="auto"/>
          </w:tcPr>
          <w:p>
            <w:pPr>
              <w:spacing w:before="0" w:after="0"/>
              <w:jc w:val="left"/>
              <w:rPr>
                <w:rFonts w:eastAsia="Times New Roman"/>
                <w:noProof/>
                <w:sz w:val="20"/>
                <w:szCs w:val="24"/>
              </w:rPr>
            </w:pPr>
            <w:r>
              <w:rPr>
                <w:noProof/>
                <w:sz w:val="20"/>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Кардиране или пениране на отпадъци от естествена коприна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Кардиране или пениране на отпадъци от естествена коприна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от 5004 до ex 5006</w:t>
            </w:r>
          </w:p>
        </w:tc>
        <w:tc>
          <w:tcPr>
            <w:tcW w:w="1092" w:type="pct"/>
            <w:shd w:val="clear" w:color="auto" w:fill="auto"/>
          </w:tcPr>
          <w:p>
            <w:pPr>
              <w:spacing w:before="0" w:after="0"/>
              <w:jc w:val="left"/>
              <w:rPr>
                <w:rFonts w:eastAsia="Times New Roman"/>
                <w:noProof/>
                <w:sz w:val="20"/>
                <w:szCs w:val="24"/>
              </w:rPr>
            </w:pPr>
            <w:r>
              <w:rPr>
                <w:noProof/>
                <w:sz w:val="20"/>
              </w:rPr>
              <w:t>Прежди от естествена коприна и прежди от отпадъци от естествена коприна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 или пресукване</w:t>
            </w:r>
            <w:r>
              <w:rPr>
                <w:rStyle w:val="FootnoteReference"/>
                <w:noProof/>
              </w:rPr>
              <w:footnoteReference w:id="3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 или пресукване</w:t>
            </w:r>
            <w:r>
              <w:rPr>
                <w:rStyle w:val="FootnoteReference"/>
                <w:noProof/>
              </w:rPr>
              <w:footnoteReference w:id="3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5007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Тъкани от естествена коприна или от отпадъци от естествена коприна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33"/>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34"/>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ех глава 51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Вълна, фини и груби животински косми; прежди и тъкани от конски косми; с изключение на:</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от 5106 до 5110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Прежди от вълна, от фини или груби животински косми или от конски косми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35"/>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36"/>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от 5111 до 5113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Тъкани от вълна, от фини или груби животински косми или от конски косми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tabs>
                <w:tab w:val="num" w:pos="567"/>
              </w:tabs>
              <w:spacing w:before="60" w:after="60"/>
              <w:ind w:left="567" w:hanging="567"/>
              <w:jc w:val="left"/>
              <w:rPr>
                <w:rFonts w:eastAsia="Times New Roman"/>
                <w:noProof/>
                <w:sz w:val="20"/>
                <w:szCs w:val="24"/>
              </w:rPr>
            </w:pPr>
            <w:r>
              <w:rPr>
                <w:noProof/>
                <w:sz w:val="20"/>
              </w:rPr>
              <w:t>Тъкане</w:t>
            </w:r>
            <w:r>
              <w:rPr>
                <w:rStyle w:val="FootnoteReference"/>
                <w:noProof/>
              </w:rPr>
              <w:footnoteReference w:id="37"/>
            </w:r>
          </w:p>
          <w:p>
            <w:pPr>
              <w:tabs>
                <w:tab w:val="num" w:pos="567"/>
              </w:tabs>
              <w:spacing w:before="60" w:after="60"/>
              <w:ind w:left="567" w:hanging="567"/>
              <w:jc w:val="left"/>
              <w:rPr>
                <w:rFonts w:eastAsia="Times New Roman"/>
                <w:i/>
                <w:iCs/>
                <w:noProof/>
                <w:sz w:val="20"/>
                <w:szCs w:val="24"/>
              </w:rPr>
            </w:pPr>
            <w:r>
              <w:rPr>
                <w:i/>
                <w:noProof/>
                <w:sz w:val="20"/>
              </w:rPr>
              <w:t>или</w:t>
            </w:r>
          </w:p>
          <w:p>
            <w:pPr>
              <w:spacing w:before="0" w:after="0"/>
              <w:jc w:val="left"/>
              <w:rPr>
                <w:rFonts w:eastAsia="Times New Roman"/>
                <w:noProof/>
                <w:sz w:val="16"/>
                <w:szCs w:val="16"/>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38"/>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52</w:t>
            </w:r>
          </w:p>
        </w:tc>
        <w:tc>
          <w:tcPr>
            <w:tcW w:w="1092" w:type="pct"/>
            <w:shd w:val="clear" w:color="auto" w:fill="auto"/>
          </w:tcPr>
          <w:p>
            <w:pPr>
              <w:spacing w:before="0" w:after="0"/>
              <w:jc w:val="left"/>
              <w:rPr>
                <w:rFonts w:eastAsia="Times New Roman"/>
                <w:noProof/>
                <w:sz w:val="20"/>
                <w:szCs w:val="24"/>
              </w:rPr>
            </w:pPr>
            <w:r>
              <w:rPr>
                <w:noProof/>
                <w:sz w:val="20"/>
              </w:rPr>
              <w:t>Памук; с изключение на:</w:t>
            </w:r>
          </w:p>
        </w:tc>
        <w:tc>
          <w:tcPr>
            <w:tcW w:w="860" w:type="pct"/>
            <w:shd w:val="clear" w:color="auto" w:fill="auto"/>
          </w:tcPr>
          <w:p>
            <w:pPr>
              <w:spacing w:before="0" w:after="0"/>
              <w:jc w:val="left"/>
              <w:rPr>
                <w:rFonts w:eastAsia="Times New Roman"/>
                <w:noProof/>
                <w:sz w:val="16"/>
                <w:szCs w:val="16"/>
                <w:highlight w:val="cyan"/>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5204 до 5207</w:t>
            </w:r>
          </w:p>
        </w:tc>
        <w:tc>
          <w:tcPr>
            <w:tcW w:w="1092" w:type="pct"/>
            <w:shd w:val="clear" w:color="auto" w:fill="auto"/>
          </w:tcPr>
          <w:p>
            <w:pPr>
              <w:spacing w:before="0" w:after="0"/>
              <w:jc w:val="left"/>
              <w:rPr>
                <w:rFonts w:eastAsia="Times New Roman"/>
                <w:noProof/>
                <w:sz w:val="20"/>
                <w:szCs w:val="24"/>
              </w:rPr>
            </w:pPr>
            <w:r>
              <w:rPr>
                <w:noProof/>
                <w:sz w:val="20"/>
              </w:rPr>
              <w:t>Прежди и конци от памук</w:t>
            </w: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3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4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от 5208 до 5212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Памучни тъкани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1"/>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2"/>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ех глава 53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растителни текстилни влакна; хартиена прежда и тъкани от хартиена прежда; с изключение на:</w:t>
            </w: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5306 до 5308</w:t>
            </w:r>
          </w:p>
        </w:tc>
        <w:tc>
          <w:tcPr>
            <w:tcW w:w="1092" w:type="pct"/>
            <w:shd w:val="clear" w:color="auto" w:fill="auto"/>
          </w:tcPr>
          <w:p>
            <w:pPr>
              <w:spacing w:before="0" w:after="0"/>
              <w:jc w:val="left"/>
              <w:rPr>
                <w:rFonts w:eastAsia="Times New Roman"/>
                <w:noProof/>
                <w:sz w:val="20"/>
                <w:szCs w:val="24"/>
              </w:rPr>
            </w:pPr>
            <w:r>
              <w:rPr>
                <w:noProof/>
                <w:sz w:val="20"/>
              </w:rPr>
              <w:t>Прежди от други растителни текстилни влакна; хартиени прежди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4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4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от 5309 до 5311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Тъкани от други растителни текстилни влакна; тъкани от хартиени прежди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5"/>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6"/>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5401 до 5406</w:t>
            </w:r>
          </w:p>
        </w:tc>
        <w:tc>
          <w:tcPr>
            <w:tcW w:w="1092" w:type="pct"/>
            <w:shd w:val="clear" w:color="auto" w:fill="auto"/>
          </w:tcPr>
          <w:p>
            <w:pPr>
              <w:spacing w:before="0" w:after="0"/>
              <w:jc w:val="left"/>
              <w:rPr>
                <w:rFonts w:eastAsia="Times New Roman"/>
                <w:noProof/>
                <w:sz w:val="20"/>
                <w:szCs w:val="24"/>
              </w:rPr>
            </w:pPr>
            <w:r>
              <w:rPr>
                <w:noProof/>
                <w:sz w:val="20"/>
              </w:rPr>
              <w:t>Прежди, монофиламенти и конци от синтетични или изкуствени нишки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r>
              <w:rPr>
                <w:rStyle w:val="FootnoteReference"/>
                <w:noProof/>
              </w:rPr>
              <w:footnoteReference w:id="47"/>
            </w:r>
          </w:p>
          <w:p>
            <w:pPr>
              <w:spacing w:before="0" w:after="0"/>
              <w:jc w:val="left"/>
              <w:rPr>
                <w:rFonts w:eastAsia="Times New Roman"/>
                <w:noProof/>
                <w:sz w:val="16"/>
                <w:szCs w:val="16"/>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r>
              <w:rPr>
                <w:rStyle w:val="FootnoteReference"/>
                <w:noProof/>
              </w:rPr>
              <w:footnoteReference w:id="48"/>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5407 и 5408</w:t>
            </w:r>
          </w:p>
        </w:tc>
        <w:tc>
          <w:tcPr>
            <w:tcW w:w="1092" w:type="pct"/>
            <w:shd w:val="clear" w:color="auto" w:fill="auto"/>
          </w:tcPr>
          <w:p>
            <w:pPr>
              <w:spacing w:before="0" w:after="0"/>
              <w:jc w:val="left"/>
              <w:rPr>
                <w:rFonts w:eastAsia="Times New Roman"/>
                <w:noProof/>
                <w:sz w:val="20"/>
                <w:szCs w:val="24"/>
              </w:rPr>
            </w:pPr>
            <w:r>
              <w:rPr>
                <w:noProof/>
                <w:sz w:val="20"/>
              </w:rPr>
              <w:t>Тъкани от прежди от синтетични или изкуствени нишки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9"/>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5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от 5501 до 5507</w:t>
            </w:r>
          </w:p>
        </w:tc>
        <w:tc>
          <w:tcPr>
            <w:tcW w:w="1092" w:type="pct"/>
            <w:shd w:val="clear" w:color="auto" w:fill="auto"/>
          </w:tcPr>
          <w:p>
            <w:pPr>
              <w:spacing w:before="0" w:after="0"/>
              <w:jc w:val="left"/>
              <w:rPr>
                <w:rFonts w:eastAsia="Times New Roman"/>
                <w:noProof/>
                <w:sz w:val="20"/>
                <w:szCs w:val="24"/>
              </w:rPr>
            </w:pPr>
            <w:r>
              <w:rPr>
                <w:noProof/>
                <w:sz w:val="20"/>
              </w:rPr>
              <w:t>Щапелни синтетични или изкуствени влакна</w:t>
            </w: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5508 до 5511</w:t>
            </w:r>
          </w:p>
        </w:tc>
        <w:tc>
          <w:tcPr>
            <w:tcW w:w="1092" w:type="pct"/>
            <w:shd w:val="clear" w:color="auto" w:fill="auto"/>
          </w:tcPr>
          <w:p>
            <w:pPr>
              <w:spacing w:before="0" w:after="0"/>
              <w:jc w:val="left"/>
              <w:rPr>
                <w:rFonts w:eastAsia="Times New Roman"/>
                <w:noProof/>
                <w:sz w:val="20"/>
                <w:szCs w:val="24"/>
              </w:rPr>
            </w:pPr>
            <w:r>
              <w:rPr>
                <w:noProof/>
                <w:sz w:val="20"/>
              </w:rPr>
              <w:t>Прежди и шевни конци от синтетични или изкуствени щапелни влакна</w:t>
            </w: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5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5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5512 до 5516</w:t>
            </w:r>
          </w:p>
        </w:tc>
        <w:tc>
          <w:tcPr>
            <w:tcW w:w="1092" w:type="pct"/>
            <w:shd w:val="clear" w:color="auto" w:fill="auto"/>
          </w:tcPr>
          <w:p>
            <w:pPr>
              <w:spacing w:before="0" w:after="0"/>
              <w:jc w:val="left"/>
              <w:rPr>
                <w:rFonts w:eastAsia="Times New Roman"/>
                <w:noProof/>
                <w:sz w:val="20"/>
                <w:szCs w:val="24"/>
              </w:rPr>
            </w:pPr>
            <w:r>
              <w:rPr>
                <w:noProof/>
                <w:sz w:val="20"/>
              </w:rPr>
              <w:t>Тъкани от щапелни синтетични или изкуствени влакна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53"/>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54"/>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ех глава 56</w:t>
            </w:r>
          </w:p>
        </w:tc>
        <w:tc>
          <w:tcPr>
            <w:tcW w:w="1092" w:type="pct"/>
            <w:shd w:val="clear" w:color="auto" w:fill="auto"/>
          </w:tcPr>
          <w:p>
            <w:pPr>
              <w:spacing w:before="0" w:after="0"/>
              <w:jc w:val="left"/>
              <w:rPr>
                <w:rFonts w:eastAsia="Times New Roman"/>
                <w:noProof/>
                <w:sz w:val="20"/>
                <w:szCs w:val="24"/>
              </w:rPr>
            </w:pPr>
            <w:r>
              <w:rPr>
                <w:noProof/>
                <w:sz w:val="20"/>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860" w:type="pct"/>
            <w:shd w:val="clear" w:color="auto" w:fill="auto"/>
          </w:tcPr>
          <w:p>
            <w:pPr>
              <w:spacing w:before="60" w:after="6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Флокиране, придружено от боядисване или от печатане</w:t>
            </w:r>
            <w:r>
              <w:rPr>
                <w:rStyle w:val="FootnoteReference"/>
                <w:noProof/>
              </w:rPr>
              <w:footnoteReference w:id="55"/>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Флокиране, придружено от боядисване или от печатане</w:t>
            </w:r>
            <w:r>
              <w:rPr>
                <w:rStyle w:val="FootnoteReference"/>
                <w:noProof/>
              </w:rPr>
              <w:footnoteReference w:id="56"/>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5602</w:t>
            </w:r>
          </w:p>
        </w:tc>
        <w:tc>
          <w:tcPr>
            <w:tcW w:w="1092" w:type="pct"/>
            <w:shd w:val="clear" w:color="auto" w:fill="auto"/>
          </w:tcPr>
          <w:p>
            <w:pPr>
              <w:spacing w:before="0" w:after="0"/>
              <w:jc w:val="left"/>
              <w:rPr>
                <w:rFonts w:eastAsia="Times New Roman"/>
                <w:noProof/>
                <w:sz w:val="20"/>
                <w:szCs w:val="24"/>
              </w:rPr>
            </w:pPr>
            <w:r>
              <w:rPr>
                <w:noProof/>
                <w:sz w:val="20"/>
              </w:rPr>
              <w:t>Филцове, дори импрегнирани, промазани, покрити или ламинирани: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p>
        </w:tc>
        <w:tc>
          <w:tcPr>
            <w:tcW w:w="1092" w:type="pct"/>
            <w:shd w:val="clear" w:color="auto" w:fill="auto"/>
          </w:tcPr>
          <w:p>
            <w:pPr>
              <w:spacing w:before="0" w:after="0"/>
              <w:jc w:val="left"/>
              <w:rPr>
                <w:rFonts w:eastAsia="Times New Roman"/>
                <w:noProof/>
                <w:sz w:val="20"/>
                <w:szCs w:val="24"/>
              </w:rPr>
            </w:pPr>
            <w:r>
              <w:rPr>
                <w:noProof/>
                <w:sz w:val="20"/>
              </w:rPr>
              <w:t>- Иглонабити филцове</w:t>
            </w:r>
          </w:p>
        </w:tc>
        <w:tc>
          <w:tcPr>
            <w:tcW w:w="860" w:type="pct"/>
            <w:shd w:val="clear" w:color="auto" w:fill="auto"/>
          </w:tcPr>
          <w:p>
            <w:pPr>
              <w:spacing w:before="60" w:after="60"/>
              <w:jc w:val="left"/>
              <w:rPr>
                <w:rFonts w:eastAsia="Times New Roman"/>
                <w:noProof/>
                <w:sz w:val="20"/>
                <w:szCs w:val="24"/>
              </w:rPr>
            </w:pPr>
            <w:r>
              <w:rPr>
                <w:noProof/>
                <w:sz w:val="20"/>
              </w:rPr>
              <w:t xml:space="preserve">Екструдиране на синтетични или изкуствени влакна, придружено от образуване на тъкани, </w:t>
            </w:r>
          </w:p>
          <w:p>
            <w:pPr>
              <w:spacing w:before="60" w:after="60"/>
              <w:ind w:left="113" w:hanging="113"/>
              <w:jc w:val="left"/>
              <w:rPr>
                <w:rFonts w:eastAsia="Times New Roman"/>
                <w:noProof/>
                <w:sz w:val="20"/>
                <w:szCs w:val="24"/>
              </w:rPr>
            </w:pPr>
            <w:r>
              <w:rPr>
                <w:noProof/>
                <w:sz w:val="20"/>
              </w:rPr>
              <w:t>Обаче:</w:t>
            </w:r>
          </w:p>
          <w:p>
            <w:pPr>
              <w:spacing w:before="60" w:after="60"/>
              <w:ind w:left="113" w:hanging="113"/>
              <w:jc w:val="left"/>
              <w:rPr>
                <w:rFonts w:eastAsia="Times New Roman"/>
                <w:noProof/>
                <w:sz w:val="20"/>
                <w:szCs w:val="24"/>
              </w:rPr>
            </w:pPr>
            <w:r>
              <w:rPr>
                <w:noProof/>
                <w:sz w:val="20"/>
              </w:rPr>
              <w:t>-</w:t>
            </w:r>
            <w:r>
              <w:rPr>
                <w:noProof/>
              </w:rPr>
              <w:tab/>
            </w:r>
            <w:r>
              <w:rPr>
                <w:noProof/>
                <w:sz w:val="20"/>
              </w:rPr>
              <w:t>полипропиленови нишки от позиция 5402,</w:t>
            </w:r>
          </w:p>
          <w:p>
            <w:pPr>
              <w:spacing w:before="60" w:after="60"/>
              <w:ind w:left="113" w:hanging="113"/>
              <w:jc w:val="left"/>
              <w:rPr>
                <w:rFonts w:eastAsia="Times New Roman"/>
                <w:noProof/>
                <w:sz w:val="20"/>
                <w:szCs w:val="24"/>
              </w:rPr>
            </w:pPr>
            <w:r>
              <w:rPr>
                <w:noProof/>
                <w:sz w:val="20"/>
              </w:rPr>
              <w:t>-</w:t>
            </w:r>
            <w:r>
              <w:rPr>
                <w:noProof/>
              </w:rPr>
              <w:tab/>
            </w:r>
            <w:r>
              <w:rPr>
                <w:noProof/>
                <w:sz w:val="20"/>
              </w:rPr>
              <w:t>полипропиленови влакна от позиция 5503 или 5506, или</w:t>
            </w:r>
          </w:p>
          <w:p>
            <w:pPr>
              <w:spacing w:before="60" w:after="60"/>
              <w:ind w:left="113" w:hanging="113"/>
              <w:jc w:val="left"/>
              <w:rPr>
                <w:rFonts w:eastAsia="Times New Roman"/>
                <w:noProof/>
                <w:sz w:val="20"/>
                <w:szCs w:val="24"/>
              </w:rPr>
            </w:pPr>
            <w:r>
              <w:rPr>
                <w:noProof/>
                <w:sz w:val="20"/>
              </w:rPr>
              <w:t>-</w:t>
            </w:r>
            <w:r>
              <w:rPr>
                <w:noProof/>
              </w:rPr>
              <w:tab/>
            </w:r>
            <w:r>
              <w:rPr>
                <w:noProof/>
                <w:sz w:val="20"/>
              </w:rPr>
              <w:t>кабели от полипропиленови нишки от позиция 5501,</w:t>
            </w:r>
          </w:p>
          <w:p>
            <w:pPr>
              <w:spacing w:before="60" w:after="60"/>
              <w:jc w:val="left"/>
              <w:rPr>
                <w:rFonts w:eastAsia="Times New Roman"/>
                <w:noProof/>
                <w:sz w:val="20"/>
                <w:szCs w:val="24"/>
              </w:rPr>
            </w:pPr>
            <w:r>
              <w:rPr>
                <w:noProof/>
                <w:sz w:val="20"/>
              </w:rPr>
              <w:t>чиято линейна плътност във всички случаи на единична нишка или влакно е по-малка от 9 dtex,</w:t>
            </w:r>
          </w:p>
          <w:p>
            <w:pPr>
              <w:spacing w:before="60" w:after="60"/>
              <w:jc w:val="left"/>
              <w:rPr>
                <w:rFonts w:eastAsia="Times New Roman"/>
                <w:noProof/>
                <w:sz w:val="20"/>
                <w:szCs w:val="24"/>
              </w:rPr>
            </w:pPr>
            <w:r>
              <w:rPr>
                <w:noProof/>
                <w:sz w:val="20"/>
              </w:rPr>
              <w:t>могат да бъдат използвани, при условие че тяхната обща стойност не надхвърля 40 %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Единствено образуване на тъкани в случай на филц, изработен от естествени влакна</w:t>
            </w:r>
            <w:r>
              <w:rPr>
                <w:rStyle w:val="FootnoteReference"/>
                <w:noProof/>
              </w:rPr>
              <w:footnoteReference w:id="57"/>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Екструдиране на синтетични или изкуствени влакна, придружено от образуване на тъкани, </w:t>
            </w:r>
          </w:p>
          <w:p>
            <w:pPr>
              <w:spacing w:before="60" w:after="60"/>
              <w:ind w:left="113" w:hanging="113"/>
              <w:jc w:val="left"/>
              <w:rPr>
                <w:rFonts w:eastAsia="Times New Roman"/>
                <w:noProof/>
                <w:sz w:val="20"/>
                <w:szCs w:val="24"/>
              </w:rPr>
            </w:pPr>
            <w:r>
              <w:rPr>
                <w:noProof/>
                <w:sz w:val="20"/>
              </w:rPr>
              <w:t>Обаче:</w:t>
            </w:r>
          </w:p>
          <w:p>
            <w:pPr>
              <w:spacing w:before="60" w:after="60"/>
              <w:ind w:left="113" w:hanging="113"/>
              <w:jc w:val="left"/>
              <w:rPr>
                <w:rFonts w:eastAsia="Times New Roman"/>
                <w:noProof/>
                <w:sz w:val="20"/>
                <w:szCs w:val="24"/>
              </w:rPr>
            </w:pPr>
            <w:r>
              <w:rPr>
                <w:noProof/>
                <w:sz w:val="20"/>
              </w:rPr>
              <w:t>-</w:t>
            </w:r>
            <w:r>
              <w:rPr>
                <w:noProof/>
              </w:rPr>
              <w:tab/>
            </w:r>
            <w:r>
              <w:rPr>
                <w:noProof/>
                <w:sz w:val="20"/>
              </w:rPr>
              <w:t>полипропиленови нишки от позиция 5402,</w:t>
            </w:r>
          </w:p>
          <w:p>
            <w:pPr>
              <w:spacing w:before="60" w:after="60"/>
              <w:ind w:left="113" w:hanging="113"/>
              <w:jc w:val="left"/>
              <w:rPr>
                <w:rFonts w:eastAsia="Times New Roman"/>
                <w:noProof/>
                <w:sz w:val="20"/>
                <w:szCs w:val="24"/>
              </w:rPr>
            </w:pPr>
            <w:r>
              <w:rPr>
                <w:noProof/>
                <w:sz w:val="20"/>
              </w:rPr>
              <w:t>-</w:t>
            </w:r>
            <w:r>
              <w:rPr>
                <w:noProof/>
              </w:rPr>
              <w:tab/>
            </w:r>
            <w:r>
              <w:rPr>
                <w:noProof/>
                <w:sz w:val="20"/>
              </w:rPr>
              <w:t>полипропиленови влакна от позиция 5503 или 5506, или</w:t>
            </w:r>
          </w:p>
          <w:p>
            <w:pPr>
              <w:spacing w:before="60" w:after="60"/>
              <w:ind w:left="113" w:hanging="113"/>
              <w:jc w:val="left"/>
              <w:rPr>
                <w:rFonts w:eastAsia="Times New Roman"/>
                <w:noProof/>
                <w:sz w:val="20"/>
                <w:szCs w:val="24"/>
              </w:rPr>
            </w:pPr>
            <w:r>
              <w:rPr>
                <w:noProof/>
                <w:sz w:val="20"/>
              </w:rPr>
              <w:t>-</w:t>
            </w:r>
            <w:r>
              <w:rPr>
                <w:noProof/>
              </w:rPr>
              <w:tab/>
            </w:r>
            <w:r>
              <w:rPr>
                <w:noProof/>
                <w:sz w:val="20"/>
              </w:rPr>
              <w:t>кабели от полипропиленови нишки от позиция 5501,</w:t>
            </w:r>
          </w:p>
          <w:p>
            <w:pPr>
              <w:spacing w:before="60" w:after="60"/>
              <w:jc w:val="left"/>
              <w:rPr>
                <w:rFonts w:eastAsia="Times New Roman"/>
                <w:noProof/>
                <w:sz w:val="20"/>
                <w:szCs w:val="24"/>
              </w:rPr>
            </w:pPr>
            <w:r>
              <w:rPr>
                <w:noProof/>
                <w:sz w:val="20"/>
              </w:rPr>
              <w:t>чиято линейна плътност във всички случаи на единична нишка или влакно е по-малка от 9 dtex,</w:t>
            </w:r>
          </w:p>
          <w:p>
            <w:pPr>
              <w:spacing w:before="60" w:after="60"/>
              <w:jc w:val="left"/>
              <w:rPr>
                <w:rFonts w:eastAsia="Times New Roman"/>
                <w:noProof/>
                <w:sz w:val="20"/>
                <w:szCs w:val="24"/>
              </w:rPr>
            </w:pPr>
            <w:r>
              <w:rPr>
                <w:noProof/>
                <w:sz w:val="20"/>
              </w:rPr>
              <w:t>могат да бъдат използвани, при условие че тяхната обща стойност не надхвърля 40 % от цената на продукта франко завода</w:t>
            </w:r>
          </w:p>
          <w:p>
            <w:pPr>
              <w:spacing w:before="60" w:after="60"/>
              <w:ind w:left="113" w:hanging="113"/>
              <w:jc w:val="left"/>
              <w:rPr>
                <w:rFonts w:eastAsia="Times New Roman"/>
                <w:i/>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Единствено образуване на тъкани в случай на филц, изработен от естествени влакна</w:t>
            </w:r>
            <w:r>
              <w:rPr>
                <w:rStyle w:val="FootnoteReference"/>
                <w:noProof/>
              </w:rPr>
              <w:footnoteReference w:id="58"/>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60" w:after="60"/>
              <w:jc w:val="left"/>
              <w:rPr>
                <w:rFonts w:eastAsia="Times New Roman"/>
                <w:noProof/>
                <w:sz w:val="20"/>
                <w:szCs w:val="24"/>
              </w:rPr>
            </w:pPr>
            <w:r>
              <w:rPr>
                <w:noProof/>
                <w:sz w:val="20"/>
              </w:rPr>
              <w:t xml:space="preserve">Екструдиране на синтетични или изкуствени влакна, придружено от образуване на тъкани, </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Единствено образуване на тъкани в случай на друг филц, изработен от естествени влакна</w:t>
            </w:r>
            <w:r>
              <w:rPr>
                <w:rStyle w:val="FootnoteReference"/>
                <w:noProof/>
              </w:rPr>
              <w:footnoteReference w:id="59"/>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Екструдиране на синтетични или изкуствени влакна, придружено от образуване на тъкани, </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Единствено образуване на тъкани в случай на друг филц, изработен от естествени влакна</w:t>
            </w:r>
            <w:r>
              <w:rPr>
                <w:rStyle w:val="FootnoteReference"/>
                <w:noProof/>
              </w:rPr>
              <w:footnoteReference w:id="6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5603</w:t>
            </w:r>
          </w:p>
        </w:tc>
        <w:tc>
          <w:tcPr>
            <w:tcW w:w="1092" w:type="pct"/>
            <w:shd w:val="clear" w:color="auto" w:fill="auto"/>
          </w:tcPr>
          <w:p>
            <w:pPr>
              <w:spacing w:before="0" w:after="0"/>
              <w:jc w:val="left"/>
              <w:rPr>
                <w:rFonts w:eastAsia="Times New Roman"/>
                <w:noProof/>
                <w:sz w:val="20"/>
                <w:szCs w:val="24"/>
              </w:rPr>
            </w:pPr>
            <w:r>
              <w:rPr>
                <w:noProof/>
                <w:sz w:val="20"/>
              </w:rPr>
              <w:t>Нетъкани текстилни материали, дори импрегнирани, промазани, покрити или ламинирани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Която и да е преработка без тъкане, включително пробиване с игли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5604</w:t>
            </w:r>
          </w:p>
        </w:tc>
        <w:tc>
          <w:tcPr>
            <w:tcW w:w="1092" w:type="pct"/>
            <w:shd w:val="clear" w:color="auto" w:fill="auto"/>
          </w:tcPr>
          <w:p>
            <w:pPr>
              <w:spacing w:before="0" w:after="0"/>
              <w:jc w:val="left"/>
              <w:rPr>
                <w:rFonts w:eastAsia="Times New Roman"/>
                <w:noProof/>
                <w:sz w:val="20"/>
                <w:szCs w:val="24"/>
              </w:rPr>
            </w:pPr>
            <w:r>
              <w:rPr>
                <w:noProof/>
                <w:sz w:val="20"/>
              </w:rPr>
              <w:t>Нишки и въжета от каучук, покрити с текстил; текстилни прежди, ленти и подобни форми от позиция № 5404 или 5405, импрегнирани, промазани, покрити или обвити с каучук или с пластмаси: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Нишки и въжета от каучук, покрити с текстил</w:t>
            </w:r>
          </w:p>
        </w:tc>
        <w:tc>
          <w:tcPr>
            <w:tcW w:w="860" w:type="pct"/>
            <w:shd w:val="clear" w:color="auto" w:fill="auto"/>
          </w:tcPr>
          <w:p>
            <w:pPr>
              <w:spacing w:before="0" w:after="0"/>
              <w:jc w:val="left"/>
              <w:rPr>
                <w:rFonts w:eastAsia="Times New Roman"/>
                <w:noProof/>
                <w:sz w:val="20"/>
                <w:szCs w:val="24"/>
              </w:rPr>
            </w:pPr>
            <w:r>
              <w:rPr>
                <w:noProof/>
                <w:sz w:val="20"/>
              </w:rPr>
              <w:t>Производство от нишки или въжета от каучук, непокрити с текстил</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нишки или въжета от каучук, непокрити с текстил</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r>
              <w:rPr>
                <w:rStyle w:val="FootnoteReference"/>
                <w:noProof/>
              </w:rPr>
              <w:footnoteReference w:id="6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r>
              <w:rPr>
                <w:rStyle w:val="FootnoteReference"/>
                <w:noProof/>
              </w:rPr>
              <w:footnoteReference w:id="6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5605</w:t>
            </w:r>
          </w:p>
        </w:tc>
        <w:tc>
          <w:tcPr>
            <w:tcW w:w="1092" w:type="pct"/>
            <w:shd w:val="clear" w:color="auto" w:fill="auto"/>
          </w:tcPr>
          <w:p>
            <w:pPr>
              <w:spacing w:before="0" w:after="0"/>
              <w:jc w:val="left"/>
              <w:rPr>
                <w:rFonts w:eastAsia="Times New Roman"/>
                <w:noProof/>
                <w:sz w:val="20"/>
                <w:szCs w:val="24"/>
              </w:rPr>
            </w:pPr>
            <w:r>
              <w:rPr>
                <w:noProof/>
                <w:sz w:val="20"/>
              </w:rPr>
              <w:t>Метални и метализирани прежди, дори обвити, съставени от текстилни прежди, от ленти или от подобни форми от позиция № 5404 или 5405, комбинирани с метал под формата на конци, ленти или прах или покрити с метал</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r>
              <w:rPr>
                <w:rStyle w:val="FootnoteReference"/>
                <w:noProof/>
              </w:rPr>
              <w:footnoteReference w:id="63"/>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r>
              <w:rPr>
                <w:rStyle w:val="FootnoteReference"/>
                <w:noProof/>
              </w:rPr>
              <w:footnoteReference w:id="6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5606</w:t>
            </w:r>
          </w:p>
        </w:tc>
        <w:tc>
          <w:tcPr>
            <w:tcW w:w="1092" w:type="pct"/>
            <w:shd w:val="clear" w:color="auto" w:fill="auto"/>
          </w:tcPr>
          <w:p>
            <w:pPr>
              <w:spacing w:before="0" w:after="0"/>
              <w:jc w:val="left"/>
              <w:rPr>
                <w:rFonts w:eastAsia="Times New Roman"/>
                <w:noProof/>
                <w:sz w:val="20"/>
                <w:szCs w:val="24"/>
              </w:rPr>
            </w:pPr>
            <w:r>
              <w:rPr>
                <w:noProof/>
                <w:sz w:val="20"/>
              </w:rPr>
              <w:t>Обвити прежди, обвити ленти и подобни форми от позиция № 5404 или 5405, различни от тези от позиция № 5605 и различни от обвитите прежди от конски косми; шенилна прежда; прежди, наречени „във верижка“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Изпридане, придружено от флокиране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Флокиране, придружено от боядисване</w:t>
            </w:r>
            <w:r>
              <w:rPr>
                <w:rStyle w:val="FootnoteReference"/>
                <w:noProof/>
              </w:rPr>
              <w:footnoteReference w:id="6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Изпридане, придружено от флокиране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Флокиране, придружено от боядисване</w:t>
            </w:r>
            <w:r>
              <w:rPr>
                <w:rStyle w:val="FootnoteReference"/>
                <w:noProof/>
              </w:rPr>
              <w:footnoteReference w:id="66"/>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57</w:t>
            </w:r>
          </w:p>
        </w:tc>
        <w:tc>
          <w:tcPr>
            <w:tcW w:w="1092" w:type="pct"/>
            <w:shd w:val="clear" w:color="auto" w:fill="auto"/>
          </w:tcPr>
          <w:p>
            <w:pPr>
              <w:spacing w:before="0" w:after="0"/>
              <w:jc w:val="left"/>
              <w:rPr>
                <w:rFonts w:eastAsia="Times New Roman"/>
                <w:noProof/>
                <w:sz w:val="20"/>
                <w:szCs w:val="24"/>
              </w:rPr>
            </w:pPr>
            <w:r>
              <w:rPr>
                <w:noProof/>
                <w:sz w:val="20"/>
              </w:rPr>
              <w:t>Килими и други подови настилки от текстилни материали: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16"/>
                <w:szCs w:val="16"/>
              </w:rPr>
            </w:pPr>
            <w:r>
              <w:rPr>
                <w:noProof/>
                <w:sz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 xml:space="preserve">Производство от прежди от кокосови влакна или сизал или юта </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 xml:space="preserve">Флокиране, придружено от боядисване или от печатане </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Тъфтинг, придружен от боядисване или от печатане</w:t>
            </w:r>
          </w:p>
          <w:p>
            <w:pPr>
              <w:spacing w:before="60" w:after="60"/>
              <w:jc w:val="left"/>
              <w:rPr>
                <w:rFonts w:eastAsia="Times New Roman"/>
                <w:noProof/>
                <w:sz w:val="16"/>
                <w:szCs w:val="16"/>
              </w:rPr>
            </w:pPr>
            <w:r>
              <w:rPr>
                <w:noProof/>
                <w:sz w:val="16"/>
              </w:rPr>
              <w:t>Екструдиране на синтетични или изкуствени влакна, придружено от техники за обработка без тъкане, включително пробиване с игли</w:t>
            </w:r>
            <w:r>
              <w:rPr>
                <w:rStyle w:val="FootnoteReference"/>
                <w:noProof/>
              </w:rPr>
              <w:footnoteReference w:id="67"/>
            </w:r>
          </w:p>
          <w:p>
            <w:pPr>
              <w:spacing w:before="60" w:after="60"/>
              <w:ind w:left="113" w:hanging="113"/>
              <w:jc w:val="left"/>
              <w:rPr>
                <w:rFonts w:eastAsia="Times New Roman"/>
                <w:noProof/>
                <w:sz w:val="16"/>
                <w:szCs w:val="16"/>
              </w:rPr>
            </w:pPr>
            <w:r>
              <w:rPr>
                <w:noProof/>
                <w:sz w:val="16"/>
              </w:rPr>
              <w:t>Обаче:</w:t>
            </w:r>
          </w:p>
          <w:p>
            <w:pPr>
              <w:spacing w:before="60" w:after="60"/>
              <w:ind w:left="113" w:hanging="113"/>
              <w:jc w:val="left"/>
              <w:rPr>
                <w:rFonts w:eastAsia="Times New Roman"/>
                <w:noProof/>
                <w:sz w:val="16"/>
                <w:szCs w:val="16"/>
              </w:rPr>
            </w:pPr>
            <w:r>
              <w:rPr>
                <w:noProof/>
                <w:sz w:val="16"/>
              </w:rPr>
              <w:t>-</w:t>
            </w:r>
            <w:r>
              <w:rPr>
                <w:noProof/>
              </w:rPr>
              <w:tab/>
            </w:r>
            <w:r>
              <w:rPr>
                <w:noProof/>
                <w:sz w:val="16"/>
              </w:rPr>
              <w:t>полипропиленови нишки от позиция 5402,</w:t>
            </w:r>
          </w:p>
          <w:p>
            <w:pPr>
              <w:spacing w:before="60" w:after="60"/>
              <w:ind w:left="113" w:hanging="113"/>
              <w:jc w:val="left"/>
              <w:rPr>
                <w:rFonts w:eastAsia="Times New Roman"/>
                <w:noProof/>
                <w:sz w:val="16"/>
                <w:szCs w:val="16"/>
              </w:rPr>
            </w:pPr>
            <w:r>
              <w:rPr>
                <w:noProof/>
                <w:sz w:val="16"/>
              </w:rPr>
              <w:t>-</w:t>
            </w:r>
            <w:r>
              <w:rPr>
                <w:noProof/>
              </w:rPr>
              <w:tab/>
            </w:r>
            <w:r>
              <w:rPr>
                <w:noProof/>
                <w:sz w:val="16"/>
              </w:rPr>
              <w:t>полипропиленови влакна от позиция 5503 или 5506, или</w:t>
            </w:r>
          </w:p>
          <w:p>
            <w:pPr>
              <w:spacing w:before="60" w:after="60"/>
              <w:ind w:left="113" w:hanging="113"/>
              <w:jc w:val="left"/>
              <w:rPr>
                <w:rFonts w:eastAsia="Times New Roman"/>
                <w:noProof/>
                <w:sz w:val="16"/>
                <w:szCs w:val="16"/>
              </w:rPr>
            </w:pPr>
            <w:r>
              <w:rPr>
                <w:noProof/>
                <w:sz w:val="16"/>
              </w:rPr>
              <w:t>-</w:t>
            </w:r>
            <w:r>
              <w:rPr>
                <w:noProof/>
              </w:rPr>
              <w:tab/>
            </w:r>
            <w:r>
              <w:rPr>
                <w:noProof/>
                <w:sz w:val="16"/>
              </w:rPr>
              <w:t>кабели от полипропиленови нишки от позиция 5501,</w:t>
            </w:r>
          </w:p>
          <w:p>
            <w:pPr>
              <w:spacing w:before="60" w:after="60"/>
              <w:jc w:val="left"/>
              <w:rPr>
                <w:rFonts w:eastAsia="Times New Roman"/>
                <w:noProof/>
                <w:sz w:val="16"/>
                <w:szCs w:val="16"/>
              </w:rPr>
            </w:pPr>
            <w:r>
              <w:rPr>
                <w:noProof/>
                <w:sz w:val="16"/>
              </w:rPr>
              <w:t>чиято линейна плътност във всички случаи на единична нишка или влакно е по-малка от 9 dtex, могат да бъдат използвани, при условие че тяхната обща стойност не надхвърля 40 % от цената на продукта франко завода</w:t>
            </w:r>
          </w:p>
          <w:p>
            <w:pPr>
              <w:spacing w:before="0" w:after="0"/>
              <w:jc w:val="left"/>
              <w:rPr>
                <w:rFonts w:eastAsia="Times New Roman"/>
                <w:noProof/>
                <w:sz w:val="16"/>
                <w:szCs w:val="16"/>
              </w:rPr>
            </w:pPr>
            <w:r>
              <w:rPr>
                <w:noProof/>
                <w:sz w:val="16"/>
              </w:rPr>
              <w:t>Тъканите от юта могат да бъдат използвани като основа</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 xml:space="preserve">Производство от прежди от кокосови влакна или сизал или юта </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 xml:space="preserve">Флокиране, придружено от боядисване или от печатане </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Тъфтинг, придружен от боядисване или от печатане</w:t>
            </w:r>
          </w:p>
          <w:p>
            <w:pPr>
              <w:spacing w:before="60" w:after="60"/>
              <w:jc w:val="left"/>
              <w:rPr>
                <w:rFonts w:eastAsia="Times New Roman"/>
                <w:noProof/>
                <w:sz w:val="16"/>
                <w:szCs w:val="16"/>
              </w:rPr>
            </w:pPr>
            <w:r>
              <w:rPr>
                <w:noProof/>
                <w:sz w:val="16"/>
              </w:rPr>
              <w:t>Екструдиране на синтетични или изкуствени влакна, придружено от техники за обработка без тъкане, включително пробиване с игли</w:t>
            </w:r>
            <w:r>
              <w:rPr>
                <w:rStyle w:val="FootnoteReference"/>
                <w:noProof/>
              </w:rPr>
              <w:footnoteReference w:id="68"/>
            </w:r>
          </w:p>
          <w:p>
            <w:pPr>
              <w:spacing w:before="60" w:after="60"/>
              <w:ind w:left="113" w:hanging="113"/>
              <w:jc w:val="left"/>
              <w:rPr>
                <w:rFonts w:eastAsia="Times New Roman"/>
                <w:noProof/>
                <w:sz w:val="16"/>
                <w:szCs w:val="16"/>
              </w:rPr>
            </w:pPr>
            <w:r>
              <w:rPr>
                <w:noProof/>
                <w:sz w:val="16"/>
              </w:rPr>
              <w:t>Обаче:</w:t>
            </w:r>
          </w:p>
          <w:p>
            <w:pPr>
              <w:spacing w:before="60" w:after="60"/>
              <w:ind w:left="113" w:hanging="113"/>
              <w:jc w:val="left"/>
              <w:rPr>
                <w:rFonts w:eastAsia="Times New Roman"/>
                <w:noProof/>
                <w:sz w:val="16"/>
                <w:szCs w:val="16"/>
              </w:rPr>
            </w:pPr>
            <w:r>
              <w:rPr>
                <w:noProof/>
                <w:sz w:val="16"/>
              </w:rPr>
              <w:t>-</w:t>
            </w:r>
            <w:r>
              <w:rPr>
                <w:noProof/>
              </w:rPr>
              <w:tab/>
            </w:r>
            <w:r>
              <w:rPr>
                <w:noProof/>
                <w:sz w:val="16"/>
              </w:rPr>
              <w:t>полипропиленови нишки от позиция 5402,</w:t>
            </w:r>
          </w:p>
          <w:p>
            <w:pPr>
              <w:spacing w:before="60" w:after="60"/>
              <w:ind w:left="113" w:hanging="113"/>
              <w:jc w:val="left"/>
              <w:rPr>
                <w:rFonts w:eastAsia="Times New Roman"/>
                <w:noProof/>
                <w:sz w:val="16"/>
                <w:szCs w:val="16"/>
              </w:rPr>
            </w:pPr>
            <w:r>
              <w:rPr>
                <w:noProof/>
                <w:sz w:val="16"/>
              </w:rPr>
              <w:t>-</w:t>
            </w:r>
            <w:r>
              <w:rPr>
                <w:noProof/>
              </w:rPr>
              <w:tab/>
            </w:r>
            <w:r>
              <w:rPr>
                <w:noProof/>
                <w:sz w:val="16"/>
              </w:rPr>
              <w:t>полипропиленови влакна от позиция 5503 или 5506, или</w:t>
            </w:r>
          </w:p>
          <w:p>
            <w:pPr>
              <w:spacing w:before="60" w:after="60"/>
              <w:ind w:left="113" w:hanging="113"/>
              <w:jc w:val="left"/>
              <w:rPr>
                <w:rFonts w:eastAsia="Times New Roman"/>
                <w:noProof/>
                <w:sz w:val="16"/>
                <w:szCs w:val="16"/>
              </w:rPr>
            </w:pPr>
            <w:r>
              <w:rPr>
                <w:noProof/>
                <w:sz w:val="16"/>
              </w:rPr>
              <w:t>-</w:t>
            </w:r>
            <w:r>
              <w:rPr>
                <w:noProof/>
              </w:rPr>
              <w:tab/>
            </w:r>
            <w:r>
              <w:rPr>
                <w:noProof/>
                <w:sz w:val="16"/>
              </w:rPr>
              <w:t>кабели от полипропиленови нишки от позиция 5501,</w:t>
            </w:r>
          </w:p>
          <w:p>
            <w:pPr>
              <w:spacing w:before="60" w:after="60"/>
              <w:jc w:val="left"/>
              <w:rPr>
                <w:rFonts w:eastAsia="Times New Roman"/>
                <w:noProof/>
                <w:sz w:val="16"/>
                <w:szCs w:val="16"/>
              </w:rPr>
            </w:pPr>
            <w:r>
              <w:rPr>
                <w:noProof/>
                <w:sz w:val="16"/>
              </w:rPr>
              <w:t>чиято линейна плътност във всички случаи на единична нишка или влакно е по-малка от 9 dtex, могат да бъдат използвани, при условие че тяхната обща стойност не надхвърля 40 % от цената на продукта франко завода</w:t>
            </w:r>
          </w:p>
          <w:p>
            <w:pPr>
              <w:spacing w:before="0" w:after="0"/>
              <w:jc w:val="left"/>
              <w:rPr>
                <w:rFonts w:eastAsia="Times New Roman"/>
                <w:noProof/>
                <w:sz w:val="16"/>
                <w:szCs w:val="16"/>
              </w:rPr>
            </w:pPr>
            <w:r>
              <w:rPr>
                <w:noProof/>
                <w:sz w:val="16"/>
              </w:rPr>
              <w:t>Тъканите от юта могат да бъдат използвани като основа</w:t>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58</w:t>
            </w:r>
          </w:p>
        </w:tc>
        <w:tc>
          <w:tcPr>
            <w:tcW w:w="1092" w:type="pct"/>
            <w:shd w:val="clear" w:color="auto" w:fill="auto"/>
          </w:tcPr>
          <w:p>
            <w:pPr>
              <w:spacing w:before="0" w:after="0"/>
              <w:jc w:val="left"/>
              <w:rPr>
                <w:rFonts w:eastAsia="Times New Roman"/>
                <w:noProof/>
                <w:sz w:val="20"/>
                <w:szCs w:val="24"/>
              </w:rPr>
            </w:pPr>
            <w:r>
              <w:rPr>
                <w:noProof/>
                <w:sz w:val="20"/>
              </w:rPr>
              <w:t>Специални тъкани; тъфтинг изделия; дантели; гоблени; пасмантерия; бродерии;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69"/>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70"/>
            </w:r>
          </w:p>
          <w:p>
            <w:pPr>
              <w:spacing w:before="0" w:after="0"/>
              <w:jc w:val="left"/>
              <w:rPr>
                <w:rFonts w:eastAsia="Times New Roman"/>
                <w:noProof/>
                <w:sz w:val="20"/>
                <w:szCs w:val="24"/>
              </w:rPr>
            </w:pPr>
          </w:p>
          <w:p>
            <w:pPr>
              <w:spacing w:before="0" w:after="0"/>
              <w:jc w:val="center"/>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5805</w:t>
            </w:r>
          </w:p>
        </w:tc>
        <w:tc>
          <w:tcPr>
            <w:tcW w:w="1092" w:type="pct"/>
            <w:shd w:val="clear" w:color="auto" w:fill="auto"/>
          </w:tcPr>
          <w:p>
            <w:pPr>
              <w:spacing w:before="0" w:after="0"/>
              <w:jc w:val="left"/>
              <w:rPr>
                <w:rFonts w:eastAsia="Times New Roman"/>
                <w:noProof/>
                <w:sz w:val="20"/>
                <w:szCs w:val="24"/>
              </w:rPr>
            </w:pPr>
            <w:r>
              <w:rPr>
                <w:noProof/>
                <w:sz w:val="20"/>
              </w:rPr>
              <w:t>Ръчно тъкани гоблени (тип „</w:t>
            </w:r>
            <w:r>
              <w:rPr>
                <w:i/>
                <w:noProof/>
                <w:sz w:val="20"/>
              </w:rPr>
              <w:t>Gobelins</w:t>
            </w:r>
            <w:r>
              <w:rPr>
                <w:noProof/>
                <w:sz w:val="20"/>
              </w:rPr>
              <w:t>“, „</w:t>
            </w:r>
            <w:r>
              <w:rPr>
                <w:i/>
                <w:noProof/>
                <w:sz w:val="20"/>
              </w:rPr>
              <w:t>Flandres</w:t>
            </w:r>
            <w:r>
              <w:rPr>
                <w:noProof/>
                <w:sz w:val="20"/>
              </w:rPr>
              <w:t>“, „</w:t>
            </w:r>
            <w:r>
              <w:rPr>
                <w:i/>
                <w:noProof/>
                <w:sz w:val="20"/>
              </w:rPr>
              <w:t>Aubusson</w:t>
            </w:r>
            <w:r>
              <w:rPr>
                <w:noProof/>
                <w:sz w:val="20"/>
              </w:rPr>
              <w:t>“, „</w:t>
            </w:r>
            <w:r>
              <w:rPr>
                <w:i/>
                <w:noProof/>
                <w:sz w:val="20"/>
              </w:rPr>
              <w:t>Beauvais</w:t>
            </w:r>
            <w:r>
              <w:rPr>
                <w:noProof/>
                <w:sz w:val="20"/>
              </w:rPr>
              <w:t>“ и други подобни) и ръчно бродирани гоблени (например с полегат бод, с кръстосан бод), дори конфекционирани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5810</w:t>
            </w:r>
          </w:p>
        </w:tc>
        <w:tc>
          <w:tcPr>
            <w:tcW w:w="1092" w:type="pct"/>
            <w:shd w:val="clear" w:color="auto" w:fill="auto"/>
          </w:tcPr>
          <w:p>
            <w:pPr>
              <w:spacing w:before="0" w:after="0"/>
              <w:jc w:val="left"/>
              <w:rPr>
                <w:rFonts w:eastAsia="Times New Roman"/>
                <w:noProof/>
                <w:sz w:val="20"/>
                <w:szCs w:val="24"/>
              </w:rPr>
            </w:pPr>
            <w:r>
              <w:rPr>
                <w:noProof/>
                <w:sz w:val="20"/>
              </w:rPr>
              <w:t>Бродерии на парче, на ленти или на мотиви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5901</w:t>
            </w:r>
          </w:p>
        </w:tc>
        <w:tc>
          <w:tcPr>
            <w:tcW w:w="1092" w:type="pct"/>
            <w:shd w:val="clear" w:color="auto" w:fill="auto"/>
          </w:tcPr>
          <w:p>
            <w:pPr>
              <w:spacing w:before="0" w:after="0"/>
              <w:jc w:val="left"/>
              <w:rPr>
                <w:rFonts w:eastAsia="Times New Roman"/>
                <w:noProof/>
                <w:sz w:val="20"/>
                <w:szCs w:val="24"/>
              </w:rPr>
            </w:pPr>
            <w:r>
              <w:rPr>
                <w:noProof/>
                <w:sz w:val="20"/>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Тъкане, придружено от боядисване или от флокиране или от промазване</w:t>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Флокиране, придружено от боядисване или от печатане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флокиране или от промазване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Флокиране, придружено от боядисване или от печатане</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r>
              <w:rPr>
                <w:noProof/>
                <w:sz w:val="20"/>
              </w:rPr>
              <w:t>5902</w:t>
            </w:r>
          </w:p>
        </w:tc>
        <w:tc>
          <w:tcPr>
            <w:tcW w:w="1092" w:type="pct"/>
            <w:shd w:val="clear" w:color="auto" w:fill="auto"/>
          </w:tcPr>
          <w:p>
            <w:pPr>
              <w:spacing w:before="0" w:after="0"/>
              <w:jc w:val="left"/>
              <w:rPr>
                <w:rFonts w:eastAsia="Times New Roman"/>
                <w:noProof/>
                <w:sz w:val="20"/>
                <w:szCs w:val="24"/>
              </w:rPr>
            </w:pPr>
            <w:r>
              <w:rPr>
                <w:noProof/>
                <w:sz w:val="20"/>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Съдържащи тегловно не по-малко от 90 % текстилни материали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Тъкане</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тъкане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тъкане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5903</w:t>
            </w:r>
          </w:p>
        </w:tc>
        <w:tc>
          <w:tcPr>
            <w:tcW w:w="1092" w:type="pct"/>
            <w:shd w:val="clear" w:color="auto" w:fill="auto"/>
          </w:tcPr>
          <w:p>
            <w:pPr>
              <w:spacing w:before="0" w:after="0"/>
              <w:jc w:val="left"/>
              <w:rPr>
                <w:rFonts w:eastAsia="Times New Roman"/>
                <w:noProof/>
                <w:sz w:val="20"/>
                <w:szCs w:val="24"/>
              </w:rPr>
            </w:pPr>
            <w:r>
              <w:rPr>
                <w:noProof/>
                <w:sz w:val="20"/>
              </w:rPr>
              <w:t>Тъкани, импрегнирани, промазани, покрити или ламинирани с пластмаси, различни от тези от позиция 5902</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промазване</w:t>
            </w:r>
          </w:p>
          <w:p>
            <w:pPr>
              <w:spacing w:before="60" w:after="60"/>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промазване</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5904</w:t>
            </w:r>
          </w:p>
        </w:tc>
        <w:tc>
          <w:tcPr>
            <w:tcW w:w="1092" w:type="pct"/>
            <w:shd w:val="clear" w:color="auto" w:fill="auto"/>
          </w:tcPr>
          <w:p>
            <w:pPr>
              <w:spacing w:before="0" w:after="0"/>
              <w:jc w:val="left"/>
              <w:rPr>
                <w:rFonts w:eastAsia="Times New Roman"/>
                <w:noProof/>
                <w:sz w:val="20"/>
                <w:szCs w:val="24"/>
              </w:rPr>
            </w:pPr>
            <w:r>
              <w:rPr>
                <w:noProof/>
                <w:sz w:val="20"/>
              </w:rPr>
              <w:t>Линолеуми, дори изрязани; подови настилки, съставени от един слой или от едно покритие, нанесено върху текстилна основа, дори изрязани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Тъкане, придружено от боядисване или от промазване</w:t>
            </w:r>
            <w:r>
              <w:rPr>
                <w:rStyle w:val="FootnoteReference"/>
                <w:noProof/>
              </w:rPr>
              <w:footnoteReference w:id="7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 придружено от боядисване или от промазване</w:t>
            </w:r>
            <w:r>
              <w:rPr>
                <w:rStyle w:val="FootnoteReference"/>
                <w:noProof/>
              </w:rPr>
              <w:footnoteReference w:id="7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5905</w:t>
            </w:r>
          </w:p>
        </w:tc>
        <w:tc>
          <w:tcPr>
            <w:tcW w:w="1092" w:type="pct"/>
            <w:shd w:val="clear" w:color="auto" w:fill="auto"/>
          </w:tcPr>
          <w:p>
            <w:pPr>
              <w:spacing w:before="0" w:after="0"/>
              <w:jc w:val="left"/>
              <w:rPr>
                <w:rFonts w:eastAsia="Times New Roman"/>
                <w:noProof/>
                <w:sz w:val="20"/>
                <w:szCs w:val="24"/>
              </w:rPr>
            </w:pPr>
            <w:r>
              <w:rPr>
                <w:noProof/>
                <w:sz w:val="20"/>
              </w:rPr>
              <w:t>Стенни облицовки от текстилни материали:</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Импрегнирани, промазани, покрити или ламинирани с каучук, пластмаси или други материали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Тъкане, придружено от боядисване или от промазване</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 придружено от боядисване или от промазване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0" w:after="0"/>
              <w:jc w:val="left"/>
              <w:rPr>
                <w:rFonts w:eastAsia="Times New Roman"/>
                <w:noProof/>
                <w:sz w:val="18"/>
                <w:szCs w:val="18"/>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tabs>
                <w:tab w:val="num" w:pos="567"/>
              </w:tabs>
              <w:spacing w:before="60" w:after="60"/>
              <w:ind w:left="113" w:hanging="113"/>
              <w:jc w:val="left"/>
              <w:rPr>
                <w:rFonts w:eastAsia="Times New Roman"/>
                <w:noProof/>
                <w:sz w:val="18"/>
                <w:szCs w:val="18"/>
              </w:rPr>
            </w:pPr>
            <w:r>
              <w:rPr>
                <w:noProof/>
                <w:sz w:val="18"/>
              </w:rPr>
              <w:t>или</w:t>
            </w:r>
          </w:p>
          <w:p>
            <w:pPr>
              <w:spacing w:before="0" w:after="0"/>
              <w:jc w:val="left"/>
              <w:rPr>
                <w:rFonts w:eastAsia="Times New Roman"/>
                <w:noProof/>
                <w:sz w:val="18"/>
                <w:szCs w:val="18"/>
              </w:rPr>
            </w:pPr>
            <w:r>
              <w:rPr>
                <w:noProof/>
                <w:sz w:val="18"/>
              </w:rPr>
              <w:t xml:space="preserve">Тъкане, придружено от боядисване или от промазване </w:t>
            </w:r>
          </w:p>
          <w:p>
            <w:pPr>
              <w:tabs>
                <w:tab w:val="num" w:pos="567"/>
              </w:tabs>
              <w:spacing w:before="60" w:after="60"/>
              <w:ind w:left="113" w:hanging="113"/>
              <w:jc w:val="left"/>
              <w:rPr>
                <w:rFonts w:eastAsia="Times New Roman"/>
                <w:noProof/>
                <w:sz w:val="18"/>
                <w:szCs w:val="18"/>
              </w:rPr>
            </w:pPr>
            <w:r>
              <w:rPr>
                <w:noProof/>
                <w:sz w:val="18"/>
              </w:rPr>
              <w:t xml:space="preserve">или </w:t>
            </w:r>
          </w:p>
          <w:p>
            <w:pPr>
              <w:spacing w:before="0" w:after="0"/>
              <w:jc w:val="left"/>
              <w:rPr>
                <w:rFonts w:eastAsia="Times New Roman"/>
                <w:noProof/>
                <w:sz w:val="18"/>
                <w:szCs w:val="18"/>
              </w:rPr>
            </w:pPr>
            <w:r>
              <w:rPr>
                <w:noProof/>
                <w:sz w:val="18"/>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r>
              <w:rPr>
                <w:rStyle w:val="FootnoteReference"/>
                <w:noProof/>
              </w:rPr>
              <w:footnoteReference w:id="73"/>
            </w:r>
          </w:p>
          <w:p>
            <w:pPr>
              <w:spacing w:before="0" w:after="0"/>
              <w:jc w:val="left"/>
              <w:rPr>
                <w:rFonts w:eastAsia="Times New Roman"/>
                <w:noProof/>
                <w:sz w:val="18"/>
                <w:szCs w:val="18"/>
              </w:rPr>
            </w:pP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jc w:val="left"/>
              <w:rPr>
                <w:rFonts w:eastAsia="Times New Roman"/>
                <w:noProof/>
                <w:sz w:val="18"/>
                <w:szCs w:val="18"/>
              </w:rPr>
            </w:pPr>
            <w:r>
              <w:rPr>
                <w:noProof/>
                <w:sz w:val="18"/>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ind w:left="113" w:hanging="113"/>
              <w:jc w:val="left"/>
              <w:rPr>
                <w:rFonts w:eastAsia="Times New Roman"/>
                <w:noProof/>
                <w:sz w:val="18"/>
                <w:szCs w:val="18"/>
              </w:rPr>
            </w:pPr>
            <w:r>
              <w:rPr>
                <w:noProof/>
                <w:sz w:val="18"/>
              </w:rPr>
              <w:t>или</w:t>
            </w:r>
          </w:p>
          <w:p>
            <w:pPr>
              <w:spacing w:before="0" w:after="0"/>
              <w:jc w:val="left"/>
              <w:rPr>
                <w:rFonts w:eastAsia="Times New Roman"/>
                <w:noProof/>
                <w:sz w:val="18"/>
                <w:szCs w:val="18"/>
              </w:rPr>
            </w:pPr>
            <w:r>
              <w:rPr>
                <w:noProof/>
                <w:sz w:val="18"/>
              </w:rPr>
              <w:t xml:space="preserve">Тъкане, придружено от боядисване или от промазване </w:t>
            </w:r>
          </w:p>
          <w:p>
            <w:pPr>
              <w:spacing w:before="60" w:after="60"/>
              <w:ind w:left="113" w:hanging="113"/>
              <w:jc w:val="left"/>
              <w:rPr>
                <w:rFonts w:eastAsia="Times New Roman"/>
                <w:noProof/>
                <w:sz w:val="18"/>
                <w:szCs w:val="18"/>
              </w:rPr>
            </w:pPr>
            <w:r>
              <w:rPr>
                <w:noProof/>
                <w:sz w:val="18"/>
              </w:rPr>
              <w:t xml:space="preserve">или </w:t>
            </w:r>
          </w:p>
          <w:p>
            <w:pPr>
              <w:spacing w:before="0" w:after="0"/>
              <w:jc w:val="left"/>
              <w:rPr>
                <w:rFonts w:eastAsia="Times New Roman"/>
                <w:noProof/>
                <w:sz w:val="18"/>
                <w:szCs w:val="18"/>
              </w:rPr>
            </w:pPr>
            <w:r>
              <w:rPr>
                <w:noProof/>
                <w:sz w:val="18"/>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r>
              <w:rPr>
                <w:rStyle w:val="FootnoteReference"/>
                <w:noProof/>
              </w:rPr>
              <w:footnoteReference w:id="74"/>
            </w:r>
          </w:p>
          <w:p>
            <w:pPr>
              <w:spacing w:before="0" w:after="0"/>
              <w:jc w:val="left"/>
              <w:rPr>
                <w:rFonts w:eastAsia="Times New Roman"/>
                <w:noProof/>
                <w:sz w:val="18"/>
                <w:szCs w:val="18"/>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5906</w:t>
            </w:r>
          </w:p>
        </w:tc>
        <w:tc>
          <w:tcPr>
            <w:tcW w:w="1092" w:type="pct"/>
            <w:shd w:val="clear" w:color="auto" w:fill="auto"/>
          </w:tcPr>
          <w:p>
            <w:pPr>
              <w:spacing w:before="0" w:after="0"/>
              <w:jc w:val="left"/>
              <w:rPr>
                <w:rFonts w:eastAsia="Times New Roman"/>
                <w:noProof/>
                <w:sz w:val="20"/>
                <w:szCs w:val="24"/>
              </w:rPr>
            </w:pPr>
            <w:r>
              <w:rPr>
                <w:noProof/>
                <w:sz w:val="20"/>
              </w:rPr>
              <w:t>Гумирани тъкани, различни от тези от позиция 5902: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Трикотажни или плетени тъкани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ind w:left="113" w:hanging="113"/>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Плетене, придружено от боядисване или от промазване</w:t>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w:t>
            </w:r>
            <w:r>
              <w:rPr>
                <w:rStyle w:val="FootnoteReference"/>
                <w:noProof/>
              </w:rPr>
              <w:footnoteReference w:id="7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ind w:left="113" w:hanging="113"/>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Плетене, придружено от боядисване или от промазване</w:t>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w:t>
            </w:r>
            <w:r>
              <w:rPr>
                <w:rStyle w:val="FootnoteReference"/>
                <w:noProof/>
              </w:rPr>
              <w:footnoteReference w:id="76"/>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 тъкани от прежди от синтетични нишки, съдържащи тегловно повече от 90 % текстилни материали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тъкане</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тъкане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промазване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тъкане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промазване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тъкане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5907</w:t>
            </w:r>
          </w:p>
        </w:tc>
        <w:tc>
          <w:tcPr>
            <w:tcW w:w="1092" w:type="pct"/>
            <w:shd w:val="clear" w:color="auto" w:fill="auto"/>
          </w:tcPr>
          <w:p>
            <w:pPr>
              <w:spacing w:before="0" w:after="0"/>
              <w:jc w:val="left"/>
              <w:rPr>
                <w:rFonts w:eastAsia="Times New Roman"/>
                <w:noProof/>
                <w:sz w:val="20"/>
                <w:szCs w:val="24"/>
              </w:rPr>
            </w:pPr>
            <w:r>
              <w:rPr>
                <w:noProof/>
                <w:sz w:val="20"/>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860" w:type="pct"/>
            <w:shd w:val="clear" w:color="auto" w:fill="auto"/>
          </w:tcPr>
          <w:p>
            <w:pPr>
              <w:spacing w:before="0" w:after="0"/>
              <w:jc w:val="left"/>
              <w:rPr>
                <w:rFonts w:eastAsia="Times New Roman"/>
                <w:noProof/>
                <w:sz w:val="20"/>
                <w:szCs w:val="24"/>
              </w:rPr>
            </w:pPr>
            <w:r>
              <w:rPr>
                <w:noProof/>
                <w:sz w:val="20"/>
              </w:rPr>
              <w:t xml:space="preserve">Тъкане, придружено от боядисване или от флокиране или от промазване </w:t>
            </w:r>
          </w:p>
          <w:p>
            <w:pPr>
              <w:tabs>
                <w:tab w:val="num" w:pos="567"/>
              </w:tabs>
              <w:spacing w:before="60" w:after="60"/>
              <w:ind w:left="567" w:hanging="567"/>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Флокиране, придружено от боядисване или от печатане</w:t>
            </w:r>
          </w:p>
          <w:p>
            <w:pPr>
              <w:tabs>
                <w:tab w:val="num" w:pos="567"/>
              </w:tabs>
              <w:spacing w:before="60" w:after="60"/>
              <w:ind w:left="567" w:hanging="567"/>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Тъкане, придружено от боядисване или от флокиране или от промазване </w:t>
            </w:r>
          </w:p>
          <w:p>
            <w:pPr>
              <w:tabs>
                <w:tab w:val="num" w:pos="567"/>
              </w:tabs>
              <w:spacing w:before="60" w:after="60"/>
              <w:ind w:left="567" w:hanging="567"/>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Флокиране, придружено от боядисване или от печатане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r>
              <w:rPr>
                <w:noProof/>
                <w:sz w:val="20"/>
              </w:rPr>
              <w:t>5908</w:t>
            </w:r>
          </w:p>
        </w:tc>
        <w:tc>
          <w:tcPr>
            <w:tcW w:w="1092" w:type="pct"/>
            <w:shd w:val="clear" w:color="auto" w:fill="auto"/>
          </w:tcPr>
          <w:p>
            <w:pPr>
              <w:spacing w:before="0" w:after="0"/>
              <w:jc w:val="left"/>
              <w:rPr>
                <w:rFonts w:eastAsia="Times New Roman"/>
                <w:noProof/>
                <w:sz w:val="20"/>
                <w:szCs w:val="24"/>
              </w:rPr>
            </w:pPr>
            <w:r>
              <w:rPr>
                <w:noProof/>
                <w:sz w:val="20"/>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Нажежаващи се чорапчета, импрегнирани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тръбовидни плетени платове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тръбовидни плетени платове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5909 до 5911</w:t>
            </w:r>
          </w:p>
        </w:tc>
        <w:tc>
          <w:tcPr>
            <w:tcW w:w="1092" w:type="pct"/>
            <w:shd w:val="clear" w:color="auto" w:fill="auto"/>
          </w:tcPr>
          <w:p>
            <w:pPr>
              <w:spacing w:before="0" w:after="0"/>
              <w:jc w:val="left"/>
              <w:rPr>
                <w:rFonts w:eastAsia="Times New Roman"/>
                <w:noProof/>
                <w:sz w:val="20"/>
                <w:szCs w:val="24"/>
              </w:rPr>
            </w:pPr>
            <w:r>
              <w:rPr>
                <w:noProof/>
                <w:sz w:val="20"/>
              </w:rPr>
              <w:t>Текстилни артикули от вид, подходящ за промишлено приложение:</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Полиращи дискове или пръстени, различни от тези от филц от позиция № 5911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 5911</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Други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Тъкане</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Тъкане</w:t>
            </w:r>
            <w:r>
              <w:rPr>
                <w:rStyle w:val="FootnoteReference"/>
                <w:noProof/>
              </w:rPr>
              <w:footnoteReference w:id="77"/>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Екструдиране на прежди от синтетични или изкуствени нишки или изпридане на естествени или щапелни синтетични или изкуствени влакна, придружено от тъкане</w:t>
            </w:r>
            <w:r>
              <w:rPr>
                <w:rStyle w:val="FootnoteReference"/>
                <w:noProof/>
              </w:rPr>
              <w:footnoteReference w:id="78"/>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Тъкане, придружено от боядисване или от промазване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Тъкане</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Тъкане</w:t>
            </w:r>
            <w:r>
              <w:rPr>
                <w:rStyle w:val="FootnoteReference"/>
                <w:noProof/>
              </w:rPr>
              <w:footnoteReference w:id="79"/>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Екструдиране на прежди от синтетични или изкуствени нишки или изпридане на естествени или щапелни синтетични или изкуствени влакна, придружено от тъкане</w:t>
            </w:r>
            <w:r>
              <w:rPr>
                <w:rStyle w:val="FootnoteReference"/>
                <w:noProof/>
              </w:rPr>
              <w:footnoteReference w:id="80"/>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Тъкане, придружено от боядисване или от промазване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60</w:t>
            </w:r>
          </w:p>
        </w:tc>
        <w:tc>
          <w:tcPr>
            <w:tcW w:w="1092" w:type="pct"/>
            <w:shd w:val="clear" w:color="auto" w:fill="auto"/>
          </w:tcPr>
          <w:p>
            <w:pPr>
              <w:spacing w:before="0" w:after="0"/>
              <w:jc w:val="left"/>
              <w:rPr>
                <w:rFonts w:eastAsia="Times New Roman"/>
                <w:noProof/>
                <w:sz w:val="20"/>
                <w:szCs w:val="24"/>
              </w:rPr>
            </w:pPr>
            <w:r>
              <w:rPr>
                <w:noProof/>
                <w:sz w:val="20"/>
              </w:rPr>
              <w:t>Трикотажни платове</w:t>
            </w:r>
          </w:p>
        </w:tc>
        <w:tc>
          <w:tcPr>
            <w:tcW w:w="860" w:type="pct"/>
            <w:shd w:val="clear" w:color="auto" w:fill="auto"/>
          </w:tcPr>
          <w:p>
            <w:pPr>
              <w:spacing w:before="60" w:after="60"/>
              <w:jc w:val="left"/>
              <w:rPr>
                <w:rFonts w:eastAsia="Times New Roman"/>
                <w:noProof/>
                <w:sz w:val="20"/>
                <w:szCs w:val="20"/>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tabs>
                <w:tab w:val="num" w:pos="567"/>
              </w:tabs>
              <w:spacing w:before="60" w:after="60"/>
              <w:ind w:left="567" w:hanging="567"/>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Плетене, придружено от боядисване или от флокиране или от промазване</w:t>
            </w:r>
          </w:p>
          <w:p>
            <w:pPr>
              <w:tabs>
                <w:tab w:val="num" w:pos="567"/>
              </w:tabs>
              <w:spacing w:before="60" w:after="60"/>
              <w:ind w:left="567" w:hanging="567"/>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Флокиране, придружено от боядисване или от печатане</w:t>
            </w:r>
          </w:p>
          <w:p>
            <w:pPr>
              <w:tabs>
                <w:tab w:val="num" w:pos="567"/>
              </w:tabs>
              <w:spacing w:before="60" w:after="60"/>
              <w:ind w:left="567" w:hanging="567"/>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Боядисване на прежди от естествени влакна, придружено от плетене</w:t>
            </w:r>
          </w:p>
          <w:p>
            <w:pPr>
              <w:tabs>
                <w:tab w:val="num" w:pos="567"/>
              </w:tabs>
              <w:spacing w:before="60" w:after="60"/>
              <w:ind w:left="567" w:hanging="567"/>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Пресукване или текстуриране, придружено от плетене, при условие че стойността на използваните непресукани и нетекстурирани прежди не надхвърля 50 % от цената на продукта франко завода</w:t>
            </w:r>
          </w:p>
          <w:p>
            <w:pPr>
              <w:spacing w:before="0" w:after="0"/>
              <w:jc w:val="left"/>
              <w:rPr>
                <w:rFonts w:eastAsia="Times New Roman"/>
                <w:noProof/>
                <w:sz w:val="20"/>
                <w:szCs w:val="20"/>
              </w:rPr>
            </w:pPr>
          </w:p>
        </w:tc>
        <w:tc>
          <w:tcPr>
            <w:tcW w:w="815" w:type="pct"/>
            <w:shd w:val="clear" w:color="auto" w:fill="auto"/>
          </w:tcPr>
          <w:p>
            <w:pPr>
              <w:spacing w:before="0" w:after="0"/>
              <w:jc w:val="left"/>
              <w:rPr>
                <w:rFonts w:eastAsia="Times New Roman"/>
                <w:noProof/>
                <w:sz w:val="20"/>
                <w:szCs w:val="20"/>
              </w:rPr>
            </w:pPr>
          </w:p>
        </w:tc>
        <w:tc>
          <w:tcPr>
            <w:tcW w:w="840" w:type="pct"/>
            <w:shd w:val="clear" w:color="auto" w:fill="auto"/>
          </w:tcPr>
          <w:p>
            <w:pPr>
              <w:spacing w:before="60" w:after="60"/>
              <w:jc w:val="left"/>
              <w:rPr>
                <w:rFonts w:eastAsia="Times New Roman"/>
                <w:noProof/>
                <w:sz w:val="20"/>
                <w:szCs w:val="20"/>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Плетене, придружено от боядисване или от флокиране или от промазване</w:t>
            </w:r>
          </w:p>
          <w:p>
            <w:pPr>
              <w:spacing w:before="60" w:after="60"/>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Флокиране, придружено от боядисване или от печатане</w:t>
            </w:r>
          </w:p>
          <w:p>
            <w:pPr>
              <w:spacing w:before="60" w:after="60"/>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Боядисване на прежди от естествени влакна, придружено от плетене</w:t>
            </w:r>
          </w:p>
          <w:p>
            <w:pPr>
              <w:spacing w:before="60" w:after="60"/>
              <w:jc w:val="left"/>
              <w:rPr>
                <w:rFonts w:eastAsia="Times New Roman"/>
                <w:noProof/>
                <w:sz w:val="20"/>
                <w:szCs w:val="20"/>
              </w:rPr>
            </w:pPr>
            <w:r>
              <w:rPr>
                <w:noProof/>
                <w:sz w:val="20"/>
              </w:rPr>
              <w:t>или</w:t>
            </w:r>
          </w:p>
          <w:p>
            <w:pPr>
              <w:spacing w:before="0" w:after="0"/>
              <w:jc w:val="left"/>
              <w:rPr>
                <w:rFonts w:eastAsia="Times New Roman"/>
                <w:noProof/>
                <w:sz w:val="20"/>
                <w:szCs w:val="20"/>
              </w:rPr>
            </w:pPr>
            <w:r>
              <w:rPr>
                <w:noProof/>
                <w:sz w:val="20"/>
              </w:rPr>
              <w:t>Пресукване или текстуриране, придружено от плетене, при условие че стойността на използваните непресукани и нетекстурирани прежди не надхвърля 50 % от цената на продукта франко завода</w:t>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61</w:t>
            </w:r>
          </w:p>
        </w:tc>
        <w:tc>
          <w:tcPr>
            <w:tcW w:w="1092" w:type="pct"/>
            <w:shd w:val="clear" w:color="auto" w:fill="auto"/>
          </w:tcPr>
          <w:p>
            <w:pPr>
              <w:spacing w:before="0" w:after="0"/>
              <w:jc w:val="left"/>
              <w:rPr>
                <w:rFonts w:eastAsia="Times New Roman"/>
                <w:noProof/>
                <w:sz w:val="20"/>
                <w:szCs w:val="24"/>
              </w:rPr>
            </w:pPr>
            <w:r>
              <w:rPr>
                <w:noProof/>
                <w:sz w:val="20"/>
              </w:rPr>
              <w:t>Облекла и допълнения за облекла, трикотажни или плетени: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тъкани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тъкани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Други </w:t>
            </w:r>
          </w:p>
        </w:tc>
        <w:tc>
          <w:tcPr>
            <w:tcW w:w="860" w:type="pct"/>
            <w:shd w:val="clear" w:color="auto" w:fill="auto"/>
          </w:tcPr>
          <w:p>
            <w:pPr>
              <w:spacing w:before="60" w:after="6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 (плетени продукти, получени във форма)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 (плетени продукти, получени във форма)</w:t>
            </w:r>
            <w:r>
              <w:rPr>
                <w:rStyle w:val="FootnoteReference"/>
                <w:noProof/>
              </w:rPr>
              <w:footnoteReference w:id="81"/>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 (плетени продукти, получени във форма)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 (плетени продукти, получени във форма)</w:t>
            </w:r>
            <w:r>
              <w:rPr>
                <w:rStyle w:val="FootnoteReference"/>
                <w:noProof/>
              </w:rPr>
              <w:footnoteReference w:id="82"/>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ех глава 62</w:t>
            </w:r>
          </w:p>
        </w:tc>
        <w:tc>
          <w:tcPr>
            <w:tcW w:w="1092" w:type="pct"/>
            <w:shd w:val="clear" w:color="auto" w:fill="auto"/>
          </w:tcPr>
          <w:p>
            <w:pPr>
              <w:spacing w:before="0" w:after="0"/>
              <w:jc w:val="left"/>
              <w:rPr>
                <w:rFonts w:eastAsia="Times New Roman"/>
                <w:noProof/>
                <w:sz w:val="20"/>
                <w:szCs w:val="24"/>
              </w:rPr>
            </w:pPr>
            <w:r>
              <w:rPr>
                <w:noProof/>
                <w:sz w:val="20"/>
              </w:rPr>
              <w:t>Облекла и допълнения за облеклата, различни от трикотажните или плетените;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тъкани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тъкани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 xml:space="preserve">6213 и </w:t>
            </w:r>
          </w:p>
          <w:p>
            <w:pPr>
              <w:spacing w:before="0" w:after="0"/>
              <w:jc w:val="left"/>
              <w:rPr>
                <w:rFonts w:eastAsia="Times New Roman"/>
                <w:noProof/>
                <w:sz w:val="20"/>
                <w:szCs w:val="24"/>
              </w:rPr>
            </w:pPr>
            <w:r>
              <w:rPr>
                <w:noProof/>
                <w:sz w:val="20"/>
              </w:rPr>
              <w:t>6214</w:t>
            </w:r>
          </w:p>
        </w:tc>
        <w:tc>
          <w:tcPr>
            <w:tcW w:w="1092" w:type="pct"/>
            <w:shd w:val="clear" w:color="auto" w:fill="auto"/>
          </w:tcPr>
          <w:p>
            <w:pPr>
              <w:spacing w:before="0" w:after="0"/>
              <w:jc w:val="left"/>
              <w:rPr>
                <w:rFonts w:eastAsia="Times New Roman"/>
                <w:noProof/>
                <w:sz w:val="20"/>
                <w:szCs w:val="24"/>
              </w:rPr>
            </w:pPr>
            <w:r>
              <w:rPr>
                <w:noProof/>
                <w:sz w:val="20"/>
              </w:rPr>
              <w:t>Носни кърпи и джобни кърпички, шалове, ешарпи, кърпи за глава, шалчета, мантили, була и воалетки и подобни артикули:</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18"/>
                <w:szCs w:val="18"/>
              </w:rPr>
            </w:pPr>
            <w:r>
              <w:rPr>
                <w:noProof/>
                <w:sz w:val="18"/>
              </w:rPr>
              <w:t>Бродирани</w:t>
            </w:r>
          </w:p>
        </w:tc>
        <w:tc>
          <w:tcPr>
            <w:tcW w:w="860" w:type="pct"/>
            <w:shd w:val="clear" w:color="auto" w:fill="auto"/>
          </w:tcPr>
          <w:p>
            <w:pPr>
              <w:spacing w:before="60" w:after="60"/>
              <w:jc w:val="left"/>
              <w:rPr>
                <w:rFonts w:eastAsia="Times New Roman"/>
                <w:noProof/>
                <w:sz w:val="16"/>
                <w:szCs w:val="16"/>
              </w:rPr>
            </w:pPr>
            <w:r>
              <w:rPr>
                <w:noProof/>
                <w:sz w:val="16"/>
              </w:rPr>
              <w:t>Тъкане, придружено от конфекциониране (включително рязане)</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83"/>
            </w:r>
          </w:p>
          <w:p>
            <w:pPr>
              <w:spacing w:before="60" w:after="60"/>
              <w:jc w:val="left"/>
              <w:rPr>
                <w:rFonts w:eastAsia="Times New Roman"/>
                <w:noProof/>
                <w:sz w:val="16"/>
                <w:szCs w:val="16"/>
              </w:rPr>
            </w:pPr>
            <w:r>
              <w:rPr>
                <w:noProof/>
                <w:sz w:val="16"/>
              </w:rPr>
              <w:t>или</w:t>
            </w:r>
          </w:p>
          <w:p>
            <w:pPr>
              <w:spacing w:before="0" w:after="0"/>
              <w:jc w:val="left"/>
              <w:rPr>
                <w:rFonts w:eastAsia="Times New Roman"/>
                <w:noProof/>
                <w:sz w:val="16"/>
                <w:szCs w:val="16"/>
              </w:rPr>
            </w:pPr>
            <w:r>
              <w:rPr>
                <w:noProof/>
                <w:sz w:val="16"/>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r>
              <w:rPr>
                <w:rStyle w:val="FootnoteReference"/>
                <w:noProof/>
              </w:rPr>
              <w:footnoteReference w:id="84"/>
            </w:r>
            <w:r>
              <w:rPr>
                <w:noProof/>
                <w:sz w:val="16"/>
              </w:rPr>
              <w:t xml:space="preserve"> </w:t>
            </w:r>
            <w:r>
              <w:rPr>
                <w:rStyle w:val="FootnoteReference"/>
                <w:noProof/>
              </w:rPr>
              <w:footnoteReference w:id="85"/>
            </w:r>
          </w:p>
          <w:p>
            <w:pPr>
              <w:spacing w:before="0" w:after="0"/>
              <w:jc w:val="left"/>
              <w:rPr>
                <w:rFonts w:eastAsia="Times New Roman"/>
                <w:noProof/>
                <w:sz w:val="16"/>
                <w:szCs w:val="16"/>
              </w:rPr>
            </w:pP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Тъкане, придружено от конфекциониране (включително рязане)</w:t>
            </w:r>
          </w:p>
          <w:p>
            <w:pPr>
              <w:spacing w:before="60" w:after="60"/>
              <w:jc w:val="left"/>
              <w:rPr>
                <w:rFonts w:eastAsia="Times New Roman"/>
                <w:noProof/>
                <w:sz w:val="16"/>
                <w:szCs w:val="16"/>
              </w:rPr>
            </w:pPr>
            <w:r>
              <w:rPr>
                <w:noProof/>
                <w:sz w:val="16"/>
              </w:rPr>
              <w:t>или</w:t>
            </w:r>
          </w:p>
          <w:p>
            <w:pPr>
              <w:spacing w:before="0" w:after="0"/>
              <w:jc w:val="left"/>
              <w:rPr>
                <w:rFonts w:eastAsia="Times New Roman"/>
                <w:noProof/>
                <w:sz w:val="16"/>
                <w:szCs w:val="16"/>
              </w:rPr>
            </w:pPr>
            <w:r>
              <w:rPr>
                <w:noProof/>
                <w:sz w:val="16"/>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r>
              <w:rPr>
                <w:rStyle w:val="FootnoteReference"/>
                <w:noProof/>
              </w:rPr>
              <w:footnoteReference w:id="86"/>
            </w:r>
            <w:r>
              <w:rPr>
                <w:noProof/>
                <w:sz w:val="16"/>
              </w:rPr>
              <w:t xml:space="preserve"> </w:t>
            </w:r>
            <w:r>
              <w:rPr>
                <w:rStyle w:val="FootnoteReference"/>
                <w:noProof/>
              </w:rPr>
              <w:footnoteReference w:id="87"/>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18"/>
                <w:szCs w:val="18"/>
              </w:rPr>
            </w:pPr>
            <w:r>
              <w:rPr>
                <w:noProof/>
                <w:sz w:val="18"/>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88"/>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r>
              <w:rPr>
                <w:rStyle w:val="FootnoteReference"/>
                <w:noProof/>
              </w:rPr>
              <w:footnoteReference w:id="89"/>
            </w:r>
            <w:r>
              <w:rPr>
                <w:noProof/>
                <w:sz w:val="20"/>
              </w:rPr>
              <w:t xml:space="preserve"> </w:t>
            </w:r>
            <w:r>
              <w:rPr>
                <w:rStyle w:val="FootnoteReference"/>
                <w:noProof/>
              </w:rPr>
              <w:footnoteReference w:id="90"/>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r>
              <w:rPr>
                <w:rStyle w:val="FootnoteReference"/>
                <w:noProof/>
              </w:rPr>
              <w:footnoteReference w:id="91"/>
            </w:r>
            <w:r>
              <w:rPr>
                <w:noProof/>
                <w:sz w:val="20"/>
              </w:rPr>
              <w:t xml:space="preserve"> </w:t>
            </w:r>
            <w:r>
              <w:rPr>
                <w:rStyle w:val="FootnoteReference"/>
                <w:noProof/>
              </w:rPr>
              <w:footnoteReference w:id="9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ex 6217</w:t>
            </w:r>
          </w:p>
        </w:tc>
        <w:tc>
          <w:tcPr>
            <w:tcW w:w="1092" w:type="pct"/>
            <w:shd w:val="clear" w:color="auto" w:fill="auto"/>
          </w:tcPr>
          <w:p>
            <w:pPr>
              <w:spacing w:before="0" w:after="0"/>
              <w:jc w:val="left"/>
              <w:rPr>
                <w:rFonts w:eastAsia="Times New Roman"/>
                <w:noProof/>
                <w:sz w:val="20"/>
                <w:szCs w:val="24"/>
              </w:rPr>
            </w:pPr>
            <w:r>
              <w:rPr>
                <w:noProof/>
                <w:sz w:val="20"/>
              </w:rPr>
              <w:t>Други конфекционирани допълнения за облекла; части за облекла или за допълнения за облекла, различни от тези от позиция № 6212: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Бродирани</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9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94"/>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p>
        </w:tc>
        <w:tc>
          <w:tcPr>
            <w:tcW w:w="1092" w:type="pct"/>
            <w:shd w:val="clear" w:color="auto" w:fill="auto"/>
          </w:tcPr>
          <w:p>
            <w:pPr>
              <w:spacing w:before="0" w:after="0"/>
              <w:jc w:val="left"/>
              <w:rPr>
                <w:rFonts w:eastAsia="Times New Roman"/>
                <w:noProof/>
                <w:sz w:val="20"/>
                <w:szCs w:val="24"/>
              </w:rPr>
            </w:pPr>
            <w:r>
              <w:rPr>
                <w:noProof/>
                <w:sz w:val="20"/>
              </w:rPr>
              <w:t>- Пожароустойчива екипировка от тъкани, покрити с фолио от алуминизиран полиестер</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Промазване, при условие че стойността на използваната непромазана тъкан не надхвърля 40 % от цената на продукта франко завода, придружено от конфекциониране (включително рязане)</w:t>
            </w:r>
            <w:r>
              <w:rPr>
                <w:rStyle w:val="FootnoteReference"/>
                <w:noProof/>
              </w:rPr>
              <w:footnoteReference w:id="9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Промазване, при условие че стойността на използваната непромазана тъкан не надхвърля 40 % от цената на продукта франко завода, придружено от конфекциониране (включително рязане)</w:t>
            </w:r>
            <w:r>
              <w:rPr>
                <w:rStyle w:val="FootnoteReference"/>
                <w:noProof/>
              </w:rPr>
              <w:footnoteReference w:id="96"/>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Междинна подплата за яки и ръкавели, изрязана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40 %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при което стойността на всички използвани материали не надхвърля 40 % от цената на продукта франко завода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63</w:t>
            </w:r>
          </w:p>
        </w:tc>
        <w:tc>
          <w:tcPr>
            <w:tcW w:w="1092" w:type="pct"/>
            <w:shd w:val="clear" w:color="auto" w:fill="auto"/>
          </w:tcPr>
          <w:p>
            <w:pPr>
              <w:spacing w:before="0" w:after="0"/>
              <w:jc w:val="left"/>
              <w:rPr>
                <w:rFonts w:eastAsia="Times New Roman"/>
                <w:noProof/>
                <w:sz w:val="20"/>
                <w:szCs w:val="24"/>
              </w:rPr>
            </w:pPr>
            <w:r>
              <w:rPr>
                <w:noProof/>
                <w:sz w:val="20"/>
              </w:rPr>
              <w:t>Други конфекционирани текстилни артикули; асортименти; парцали и употребявани облекла и текстилни артикули;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от 6301 до 6304</w:t>
            </w:r>
          </w:p>
        </w:tc>
        <w:tc>
          <w:tcPr>
            <w:tcW w:w="1092" w:type="pct"/>
            <w:shd w:val="clear" w:color="auto" w:fill="auto"/>
          </w:tcPr>
          <w:p>
            <w:pPr>
              <w:spacing w:before="0" w:after="0"/>
              <w:jc w:val="left"/>
              <w:rPr>
                <w:rFonts w:eastAsia="Times New Roman"/>
                <w:noProof/>
                <w:sz w:val="20"/>
                <w:szCs w:val="24"/>
              </w:rPr>
            </w:pPr>
            <w:r>
              <w:rPr>
                <w:noProof/>
                <w:sz w:val="20"/>
              </w:rPr>
              <w:t>Одеяла, спално бельо и т.н.; пердета и т.н.; други артикули за обзавеждане: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От филцове, от нетъкан текстил</w:t>
            </w:r>
          </w:p>
        </w:tc>
        <w:tc>
          <w:tcPr>
            <w:tcW w:w="86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 придружена от конфекциониране (включително рязане)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 придружена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 Бродирани</w:t>
            </w:r>
          </w:p>
        </w:tc>
        <w:tc>
          <w:tcPr>
            <w:tcW w:w="860" w:type="pct"/>
            <w:shd w:val="clear" w:color="auto" w:fill="auto"/>
          </w:tcPr>
          <w:p>
            <w:pPr>
              <w:spacing w:before="60" w:after="60"/>
              <w:ind w:left="113" w:hanging="113"/>
              <w:jc w:val="left"/>
              <w:rPr>
                <w:rFonts w:eastAsia="Times New Roman"/>
                <w:noProof/>
                <w:sz w:val="20"/>
                <w:szCs w:val="24"/>
              </w:rPr>
            </w:pPr>
            <w:r>
              <w:rPr>
                <w:noProof/>
                <w:sz w:val="20"/>
              </w:rPr>
              <w:t>Тъкане или плетене, придружено от конфекциониране (включително рязане)</w:t>
            </w:r>
          </w:p>
          <w:p>
            <w:pPr>
              <w:spacing w:before="60" w:after="60"/>
              <w:ind w:left="113" w:hanging="113"/>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97"/>
            </w:r>
            <w:r>
              <w:rPr>
                <w:noProof/>
                <w:sz w:val="20"/>
              </w:rPr>
              <w:t xml:space="preserve"> </w:t>
            </w:r>
            <w:r>
              <w:rPr>
                <w:rStyle w:val="FootnoteReference"/>
                <w:noProof/>
              </w:rPr>
              <w:footnoteReference w:id="98"/>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или плетене,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от небродирани тъкани (различни от трикотажните или плетените), при условие че стойността на използваните небродирани тъкани не надхвърля 40 %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 Други</w:t>
            </w:r>
          </w:p>
        </w:tc>
        <w:tc>
          <w:tcPr>
            <w:tcW w:w="860" w:type="pct"/>
            <w:shd w:val="clear" w:color="auto" w:fill="auto"/>
          </w:tcPr>
          <w:p>
            <w:pPr>
              <w:spacing w:before="0" w:after="0"/>
              <w:jc w:val="left"/>
              <w:rPr>
                <w:rFonts w:eastAsia="Times New Roman"/>
                <w:noProof/>
                <w:sz w:val="20"/>
                <w:szCs w:val="24"/>
              </w:rPr>
            </w:pPr>
            <w:r>
              <w:rPr>
                <w:noProof/>
                <w:sz w:val="20"/>
              </w:rPr>
              <w:t>Тъкане или плетене, придружено от конфекциониране (включително рязане)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 или плетене, придружено от конфекциониране (включително рязане)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6305</w:t>
            </w:r>
          </w:p>
        </w:tc>
        <w:tc>
          <w:tcPr>
            <w:tcW w:w="1092" w:type="pct"/>
            <w:shd w:val="clear" w:color="auto" w:fill="auto"/>
          </w:tcPr>
          <w:p>
            <w:pPr>
              <w:spacing w:before="0" w:after="0"/>
              <w:jc w:val="left"/>
              <w:rPr>
                <w:rFonts w:eastAsia="Times New Roman"/>
                <w:noProof/>
                <w:sz w:val="20"/>
                <w:szCs w:val="24"/>
              </w:rPr>
            </w:pPr>
            <w:r>
              <w:rPr>
                <w:noProof/>
                <w:sz w:val="20"/>
              </w:rPr>
              <w:t>Амбалажни чували и торбички</w:t>
            </w:r>
          </w:p>
        </w:tc>
        <w:tc>
          <w:tcPr>
            <w:tcW w:w="860" w:type="pct"/>
            <w:shd w:val="clear" w:color="auto" w:fill="auto"/>
          </w:tcPr>
          <w:p>
            <w:pPr>
              <w:spacing w:before="0" w:after="0"/>
              <w:jc w:val="left"/>
              <w:rPr>
                <w:rFonts w:eastAsia="Times New Roman"/>
                <w:noProof/>
                <w:sz w:val="20"/>
                <w:szCs w:val="24"/>
              </w:rPr>
            </w:pPr>
            <w:r>
              <w:rPr>
                <w:noProof/>
                <w:sz w:val="20"/>
              </w:rPr>
              <w:t>Тъкане или плетене и конфекциониране (включително рязане)</w:t>
            </w:r>
            <w:r>
              <w:rPr>
                <w:rStyle w:val="FootnoteReference"/>
                <w:noProof/>
              </w:rPr>
              <w:footnoteReference w:id="9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 или плетене и конфекциониране (включително рязане)</w:t>
            </w:r>
            <w:r>
              <w:rPr>
                <w:rStyle w:val="FootnoteReference"/>
                <w:noProof/>
              </w:rPr>
              <w:footnoteReference w:id="10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6306</w:t>
            </w:r>
          </w:p>
        </w:tc>
        <w:tc>
          <w:tcPr>
            <w:tcW w:w="1092" w:type="pct"/>
            <w:shd w:val="clear" w:color="auto" w:fill="auto"/>
          </w:tcPr>
          <w:p>
            <w:pPr>
              <w:spacing w:before="0" w:after="0"/>
              <w:jc w:val="left"/>
              <w:rPr>
                <w:rFonts w:eastAsia="Times New Roman"/>
                <w:noProof/>
                <w:sz w:val="20"/>
                <w:szCs w:val="24"/>
              </w:rPr>
            </w:pPr>
            <w:r>
              <w:rPr>
                <w:noProof/>
                <w:sz w:val="20"/>
              </w:rPr>
              <w:t>Покривала и външни щори; палатки; платна за лодки, сърфове или сухопътни ветроходи; артикули за къмпинг:</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От нетъкан текстил</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 придружена от конфекциониране (включително рязане)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 придружена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r>
              <w:rPr>
                <w:rStyle w:val="FootnoteReference"/>
                <w:noProof/>
              </w:rPr>
              <w:footnoteReference w:id="101"/>
            </w:r>
            <w:r>
              <w:rPr>
                <w:noProof/>
                <w:sz w:val="20"/>
              </w:rPr>
              <w:t xml:space="preserve"> </w:t>
            </w:r>
            <w:r>
              <w:rPr>
                <w:rStyle w:val="FootnoteReference"/>
                <w:noProof/>
              </w:rPr>
              <w:footnoteReference w:id="102"/>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Промазване, при условие че стойността на използваната непромазана тъкан не надхвърля 40 % от цената на продукта франко завода, придружено от конфекциониране (включително рязане)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r>
              <w:rPr>
                <w:rStyle w:val="FootnoteReference"/>
                <w:noProof/>
              </w:rPr>
              <w:footnoteReference w:id="103"/>
            </w:r>
            <w:r>
              <w:rPr>
                <w:noProof/>
                <w:sz w:val="20"/>
              </w:rPr>
              <w:t xml:space="preserve"> </w:t>
            </w:r>
            <w:r>
              <w:rPr>
                <w:rStyle w:val="FootnoteReference"/>
                <w:noProof/>
              </w:rPr>
              <w:footnoteReference w:id="104"/>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Промазване, при условие че стойността на използваната непромазана тъкан не надхвърля 40 % от цената на продукта франко завода,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6307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конфекционирани артикули, включително шаблоните за облекла</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40 %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40 %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6308</w:t>
            </w:r>
          </w:p>
        </w:tc>
        <w:tc>
          <w:tcPr>
            <w:tcW w:w="1092" w:type="pct"/>
            <w:shd w:val="clear" w:color="auto" w:fill="auto"/>
          </w:tcPr>
          <w:p>
            <w:pPr>
              <w:spacing w:before="0" w:after="0"/>
              <w:jc w:val="left"/>
              <w:rPr>
                <w:rFonts w:eastAsia="Times New Roman"/>
                <w:noProof/>
                <w:sz w:val="20"/>
                <w:szCs w:val="24"/>
              </w:rPr>
            </w:pPr>
            <w:r>
              <w:rPr>
                <w:noProof/>
                <w:sz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6"/>
                <w:szCs w:val="16"/>
              </w:rPr>
            </w:pPr>
            <w:r>
              <w:rPr>
                <w:noProof/>
                <w:sz w:val="20"/>
              </w:rPr>
              <w:t>Всяко изделие от асортимента трябва да отговаря на правилото, което би се прилагало към него, ако то не е включено в асортимента. Могат обаче да бъдат включени артикули без произход, при условие че тяхната обща стойност не надхвърля 25 % от цената на асортимента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Всяко изделие от асортимента трябва да отговаря на правилото, което би се прилагало към него, ако то не е включено в асортимента. Могат обаче да бъдат включени артикули без произход, при условие че тяхната обща стойност не надхвърля 25 % от цената на асортимента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64</w:t>
            </w:r>
          </w:p>
        </w:tc>
        <w:tc>
          <w:tcPr>
            <w:tcW w:w="1092" w:type="pct"/>
            <w:shd w:val="clear" w:color="auto" w:fill="auto"/>
          </w:tcPr>
          <w:p>
            <w:pPr>
              <w:spacing w:before="0" w:after="0"/>
              <w:jc w:val="left"/>
              <w:rPr>
                <w:rFonts w:eastAsia="Times New Roman"/>
                <w:noProof/>
                <w:sz w:val="20"/>
                <w:szCs w:val="24"/>
              </w:rPr>
            </w:pPr>
            <w:r>
              <w:rPr>
                <w:noProof/>
                <w:sz w:val="20"/>
              </w:rPr>
              <w:t>Обувки, гети и подобни артикули;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 от позиция 6406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 от позиция № 6406</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6406</w:t>
            </w:r>
          </w:p>
        </w:tc>
        <w:tc>
          <w:tcPr>
            <w:tcW w:w="1092" w:type="pct"/>
            <w:shd w:val="clear" w:color="auto" w:fill="auto"/>
          </w:tcPr>
          <w:p>
            <w:pPr>
              <w:spacing w:before="0" w:after="0"/>
              <w:jc w:val="left"/>
              <w:rPr>
                <w:rFonts w:eastAsia="Times New Roman"/>
                <w:noProof/>
                <w:sz w:val="20"/>
                <w:szCs w:val="24"/>
              </w:rPr>
            </w:pPr>
            <w:r>
              <w:rPr>
                <w:noProof/>
                <w:sz w:val="20"/>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глава 65</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Шапки и части за шапки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66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Чадъри, слънчобрани, бастуни, бастуни столове, камшици, бичове и техните части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67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Апретирани пера и пух и артикули от пера и пух; изкуствени цветя; изделия от човешки коси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097"/>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68</w:t>
            </w:r>
          </w:p>
        </w:tc>
        <w:tc>
          <w:tcPr>
            <w:tcW w:w="1092" w:type="pct"/>
            <w:shd w:val="clear" w:color="auto" w:fill="auto"/>
          </w:tcPr>
          <w:p>
            <w:pPr>
              <w:spacing w:before="0" w:after="0"/>
              <w:jc w:val="left"/>
              <w:rPr>
                <w:rFonts w:eastAsia="Times New Roman"/>
                <w:noProof/>
                <w:sz w:val="20"/>
                <w:szCs w:val="24"/>
              </w:rPr>
            </w:pPr>
            <w:r>
              <w:rPr>
                <w:noProof/>
                <w:sz w:val="20"/>
              </w:rPr>
              <w:t>Изделия от камъни, гипс, цимент, азбест, слюда или аналогични материали; с изключение на:</w:t>
            </w:r>
          </w:p>
        </w:tc>
        <w:tc>
          <w:tcPr>
            <w:tcW w:w="86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ex 6803</w:t>
            </w:r>
          </w:p>
        </w:tc>
        <w:tc>
          <w:tcPr>
            <w:tcW w:w="1092" w:type="pct"/>
            <w:shd w:val="clear" w:color="auto" w:fill="auto"/>
          </w:tcPr>
          <w:p>
            <w:pPr>
              <w:spacing w:before="0" w:after="0"/>
              <w:jc w:val="left"/>
              <w:rPr>
                <w:rFonts w:eastAsia="Times New Roman"/>
                <w:noProof/>
                <w:sz w:val="20"/>
                <w:szCs w:val="24"/>
              </w:rPr>
            </w:pPr>
            <w:r>
              <w:rPr>
                <w:noProof/>
                <w:sz w:val="20"/>
              </w:rPr>
              <w:t>Изделия от естествени или агломерирани шисти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обработени шисти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обработени шисти</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6812</w:t>
            </w:r>
          </w:p>
        </w:tc>
        <w:tc>
          <w:tcPr>
            <w:tcW w:w="1092" w:type="pct"/>
            <w:shd w:val="clear" w:color="auto" w:fill="auto"/>
          </w:tcPr>
          <w:p>
            <w:pPr>
              <w:spacing w:before="0" w:after="0"/>
              <w:jc w:val="left"/>
              <w:rPr>
                <w:rFonts w:eastAsia="Times New Roman"/>
                <w:noProof/>
                <w:sz w:val="20"/>
                <w:szCs w:val="24"/>
              </w:rPr>
            </w:pPr>
            <w:r>
              <w:rPr>
                <w:noProof/>
                <w:sz w:val="20"/>
              </w:rPr>
              <w:t>Изделия от азбест; изделия от смеси на базата на азбест или на базата на азбест и на магнезиев карбонат</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6814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Изделия от слюда, включително агломерирана или възстановена слюда, върху подложка от хартия, от картон или от други материали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обработена слюда (включително агломерирана или възстановена слюда)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обработена слюда (включително агломерирана или възстановена слюда)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69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Керамични продукти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70</w:t>
            </w:r>
          </w:p>
        </w:tc>
        <w:tc>
          <w:tcPr>
            <w:tcW w:w="1092" w:type="pct"/>
            <w:shd w:val="clear" w:color="auto" w:fill="auto"/>
          </w:tcPr>
          <w:p>
            <w:pPr>
              <w:spacing w:before="0" w:after="0"/>
              <w:jc w:val="left"/>
              <w:rPr>
                <w:rFonts w:eastAsia="Times New Roman"/>
                <w:noProof/>
                <w:sz w:val="20"/>
                <w:szCs w:val="24"/>
              </w:rPr>
            </w:pPr>
            <w:r>
              <w:rPr>
                <w:noProof/>
                <w:sz w:val="20"/>
              </w:rPr>
              <w:t>Стъкло и изделия от стъкло;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b/>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7006</w:t>
            </w:r>
          </w:p>
        </w:tc>
        <w:tc>
          <w:tcPr>
            <w:tcW w:w="1092" w:type="pct"/>
            <w:shd w:val="clear" w:color="auto" w:fill="auto"/>
          </w:tcPr>
          <w:p>
            <w:pPr>
              <w:spacing w:before="0" w:after="0"/>
              <w:jc w:val="left"/>
              <w:rPr>
                <w:rFonts w:eastAsia="Times New Roman"/>
                <w:noProof/>
                <w:sz w:val="20"/>
                <w:szCs w:val="24"/>
              </w:rPr>
            </w:pPr>
            <w:r>
              <w:rPr>
                <w:noProof/>
                <w:sz w:val="20"/>
              </w:rPr>
              <w:t>Стъкло от позиция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Субстрати от стъклени плоскости, покрити с тънък диелектричен слой, полупроводници съгласно стандартите на SEMII</w:t>
            </w:r>
            <w:r>
              <w:rPr>
                <w:rStyle w:val="FootnoteReference"/>
                <w:noProof/>
              </w:rPr>
              <w:footnoteReference w:id="105"/>
            </w:r>
          </w:p>
        </w:tc>
        <w:tc>
          <w:tcPr>
            <w:tcW w:w="860" w:type="pct"/>
            <w:shd w:val="clear" w:color="auto" w:fill="auto"/>
          </w:tcPr>
          <w:p>
            <w:pPr>
              <w:spacing w:before="0" w:after="0"/>
              <w:jc w:val="left"/>
              <w:rPr>
                <w:rFonts w:eastAsia="Times New Roman"/>
                <w:i/>
                <w:noProof/>
                <w:sz w:val="20"/>
                <w:szCs w:val="24"/>
              </w:rPr>
            </w:pPr>
            <w:r>
              <w:rPr>
                <w:noProof/>
                <w:sz w:val="20"/>
              </w:rPr>
              <w:t>Производство от непокрит субстрат от стъклени плоскости от позиция 7006</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непокрит субстрат от стъклени плоскости от позиция № 7006</w:t>
            </w:r>
          </w:p>
          <w:p>
            <w:pPr>
              <w:spacing w:before="0" w:after="0"/>
              <w:jc w:val="left"/>
              <w:rPr>
                <w:rFonts w:eastAsia="Times New Roman"/>
                <w:i/>
                <w:noProof/>
                <w:sz w:val="20"/>
                <w:szCs w:val="24"/>
              </w:rPr>
            </w:pPr>
          </w:p>
        </w:tc>
        <w:tc>
          <w:tcPr>
            <w:tcW w:w="836" w:type="pct"/>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Други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позиция 7001</w:t>
            </w:r>
          </w:p>
        </w:tc>
        <w:tc>
          <w:tcPr>
            <w:tcW w:w="815" w:type="pct"/>
            <w:tcBorders>
              <w:bottom w:val="single" w:sz="4" w:space="0" w:color="auto"/>
            </w:tcBorders>
            <w:shd w:val="clear" w:color="auto" w:fill="auto"/>
          </w:tcPr>
          <w:p>
            <w:pPr>
              <w:spacing w:before="0" w:after="0"/>
              <w:jc w:val="left"/>
              <w:rPr>
                <w:rFonts w:eastAsia="Times New Roman"/>
                <w:i/>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позиция № 7001</w:t>
            </w:r>
          </w:p>
          <w:p>
            <w:pPr>
              <w:spacing w:before="0" w:after="0"/>
              <w:jc w:val="left"/>
              <w:rPr>
                <w:rFonts w:eastAsia="Times New Roman"/>
                <w:i/>
                <w:noProof/>
                <w:sz w:val="20"/>
                <w:szCs w:val="24"/>
              </w:rPr>
            </w:pPr>
          </w:p>
        </w:tc>
        <w:tc>
          <w:tcPr>
            <w:tcW w:w="836" w:type="pct"/>
            <w:tcBorders>
              <w:bottom w:val="single" w:sz="4" w:space="0" w:color="auto"/>
            </w:tcBorders>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7010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Рязане на изделия от стъкло, при условие че общата стойност на използваните ненарязани изделия от стъкло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Рязане на изделия от стъкло, при условие че стойността на ненарязаните изделия от стъкло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7013</w:t>
            </w:r>
          </w:p>
        </w:tc>
        <w:tc>
          <w:tcPr>
            <w:tcW w:w="1092" w:type="pct"/>
            <w:shd w:val="clear" w:color="auto" w:fill="auto"/>
          </w:tcPr>
          <w:p>
            <w:pPr>
              <w:spacing w:before="0" w:after="0"/>
              <w:jc w:val="left"/>
              <w:rPr>
                <w:rFonts w:eastAsia="Times New Roman"/>
                <w:noProof/>
                <w:sz w:val="20"/>
                <w:szCs w:val="24"/>
              </w:rPr>
            </w:pPr>
            <w:r>
              <w:rPr>
                <w:noProof/>
                <w:sz w:val="20"/>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 7010 или 7018</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Рязане на изделия от стъкло, при условие че общата стойност на използваните ненарязани изделия от стъкло не надхвърля 50 % от цената на продукта франко завода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Ръчно украсяване (с изключение на ситопечат) на ръчно издухани изделия от стъкло, при условие че общата стойност на използваните ръчно издухани изделия от стъкло не надхвърля 50 % от цената на продукта франко завода</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Рязане на изделия от стъкло, при условие че стойността на ненарязаните изделия от стъкло не надхвърля 60 % от цената на продукта франко завода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Ръчно украсяване (с изключение на ситопечат) на ръчно издухани изделия от стъкло, при условие че стойността на ръчно издуханите изделия от стъкло не надхвърля 60 %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ex 7019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Изделия от стъклени влакна (различни от преждите)</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w:t>
            </w:r>
          </w:p>
          <w:p>
            <w:pPr>
              <w:spacing w:before="60" w:after="60"/>
              <w:jc w:val="left"/>
              <w:rPr>
                <w:rFonts w:eastAsia="Times New Roman"/>
                <w:noProof/>
                <w:sz w:val="20"/>
                <w:szCs w:val="24"/>
              </w:rPr>
            </w:pPr>
            <w:r>
              <w:rPr>
                <w:noProof/>
                <w:sz w:val="20"/>
              </w:rPr>
              <w:t>– неоцветени снопчета, ровинг, прежди или нарязани влакна, или</w:t>
            </w:r>
          </w:p>
          <w:p>
            <w:pPr>
              <w:spacing w:before="0" w:after="0"/>
              <w:jc w:val="left"/>
              <w:rPr>
                <w:rFonts w:eastAsia="Times New Roman"/>
                <w:noProof/>
                <w:sz w:val="20"/>
                <w:szCs w:val="24"/>
              </w:rPr>
            </w:pPr>
            <w:r>
              <w:rPr>
                <w:noProof/>
                <w:sz w:val="20"/>
              </w:rPr>
              <w:t>– стъклена вата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w:t>
            </w:r>
          </w:p>
          <w:p>
            <w:pPr>
              <w:spacing w:before="60" w:after="60"/>
              <w:jc w:val="left"/>
              <w:rPr>
                <w:rFonts w:eastAsia="Times New Roman"/>
                <w:noProof/>
                <w:sz w:val="20"/>
                <w:szCs w:val="24"/>
              </w:rPr>
            </w:pPr>
            <w:r>
              <w:rPr>
                <w:noProof/>
                <w:sz w:val="20"/>
              </w:rPr>
              <w:t>– неоцветени снопчета, ровинг, прежди или нарязани влакна, или</w:t>
            </w:r>
          </w:p>
          <w:p>
            <w:pPr>
              <w:spacing w:before="0" w:after="0"/>
              <w:jc w:val="left"/>
              <w:rPr>
                <w:rFonts w:eastAsia="Times New Roman"/>
                <w:noProof/>
                <w:sz w:val="20"/>
                <w:szCs w:val="24"/>
              </w:rPr>
            </w:pPr>
            <w:r>
              <w:rPr>
                <w:noProof/>
                <w:sz w:val="20"/>
              </w:rPr>
              <w:t>– стъклена вата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ех глава 71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7106, 7108 и 7110</w:t>
            </w:r>
          </w:p>
        </w:tc>
        <w:tc>
          <w:tcPr>
            <w:tcW w:w="1092" w:type="pct"/>
            <w:shd w:val="clear" w:color="auto" w:fill="auto"/>
          </w:tcPr>
          <w:p>
            <w:pPr>
              <w:spacing w:before="0" w:after="0"/>
              <w:jc w:val="left"/>
              <w:rPr>
                <w:rFonts w:eastAsia="Times New Roman"/>
                <w:noProof/>
                <w:sz w:val="20"/>
                <w:szCs w:val="24"/>
              </w:rPr>
            </w:pPr>
            <w:r>
              <w:rPr>
                <w:noProof/>
                <w:sz w:val="20"/>
              </w:rPr>
              <w:t>Благородни метали:</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В необработени форми</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тези от позиции 7106, 7108 и 7110</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Електролитно, термично или химично разделяне на благородни метали от позиция 7106, 7108 или 7110</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16"/>
                <w:szCs w:val="16"/>
              </w:rPr>
            </w:pPr>
            <w:r>
              <w:rPr>
                <w:noProof/>
                <w:sz w:val="20"/>
              </w:rPr>
              <w:t>Топене и/или сплавяне на благородни метали от позиция 7106, 7108 или 7110 един с друг или с неблагородни метали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които не са класирани в позиция № 7106, 7108 или 7110</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Електролитно, термично или химично разделяне на благородни метали от позиция № 7106, 7108 или 7110</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Топене и/или сплавяне на благородни метали от позиция № 7106, 7108 или 7110 един с друг или с неблагородни метали</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В полуобработени форми или на прах</w:t>
            </w:r>
          </w:p>
        </w:tc>
        <w:tc>
          <w:tcPr>
            <w:tcW w:w="860" w:type="pct"/>
            <w:shd w:val="clear" w:color="auto" w:fill="auto"/>
          </w:tcPr>
          <w:p>
            <w:pPr>
              <w:spacing w:before="0" w:after="0"/>
              <w:jc w:val="left"/>
              <w:rPr>
                <w:rFonts w:eastAsia="Times New Roman"/>
                <w:noProof/>
                <w:sz w:val="20"/>
                <w:szCs w:val="24"/>
              </w:rPr>
            </w:pPr>
            <w:r>
              <w:rPr>
                <w:noProof/>
                <w:sz w:val="20"/>
              </w:rPr>
              <w:t>Производство от благородни метали в необработени форми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благородни метали в необработени форми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7107,</w:t>
            </w:r>
          </w:p>
          <w:p>
            <w:pPr>
              <w:spacing w:before="0" w:after="0"/>
              <w:jc w:val="left"/>
              <w:rPr>
                <w:rFonts w:eastAsia="Times New Roman"/>
                <w:noProof/>
                <w:sz w:val="20"/>
                <w:szCs w:val="24"/>
              </w:rPr>
            </w:pPr>
            <w:r>
              <w:rPr>
                <w:noProof/>
                <w:sz w:val="20"/>
              </w:rPr>
              <w:t>ex 7109 и</w:t>
            </w:r>
          </w:p>
          <w:p>
            <w:pPr>
              <w:spacing w:before="0" w:after="0"/>
              <w:jc w:val="left"/>
              <w:rPr>
                <w:rFonts w:eastAsia="Times New Roman"/>
                <w:noProof/>
                <w:sz w:val="20"/>
                <w:szCs w:val="24"/>
              </w:rPr>
            </w:pPr>
            <w:r>
              <w:rPr>
                <w:noProof/>
                <w:sz w:val="20"/>
              </w:rPr>
              <w:t>ex 7111</w:t>
            </w:r>
          </w:p>
        </w:tc>
        <w:tc>
          <w:tcPr>
            <w:tcW w:w="1092" w:type="pct"/>
            <w:shd w:val="clear" w:color="auto" w:fill="auto"/>
          </w:tcPr>
          <w:p>
            <w:pPr>
              <w:spacing w:before="0" w:after="0"/>
              <w:jc w:val="left"/>
              <w:rPr>
                <w:rFonts w:eastAsia="Times New Roman"/>
                <w:noProof/>
                <w:sz w:val="20"/>
                <w:szCs w:val="24"/>
              </w:rPr>
            </w:pPr>
            <w:r>
              <w:rPr>
                <w:noProof/>
                <w:sz w:val="20"/>
              </w:rPr>
              <w:t>Плакета или дублета от благородни метали върху метали, в полуобработени форми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плакета или дублета от благородни метали върху метали, в необработени форми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плакета или дублета от благородни метали върху метали, в необработени форми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7115</w:t>
            </w:r>
          </w:p>
        </w:tc>
        <w:tc>
          <w:tcPr>
            <w:tcW w:w="1092" w:type="pct"/>
            <w:tcBorders>
              <w:bottom w:val="single" w:sz="4" w:space="0" w:color="auto"/>
            </w:tcBorders>
            <w:shd w:val="clear" w:color="auto" w:fill="auto"/>
          </w:tcPr>
          <w:p>
            <w:pPr>
              <w:spacing w:before="0" w:after="0"/>
              <w:jc w:val="left"/>
              <w:rPr>
                <w:rFonts w:eastAsia="EUAlbertina-Bold-Identity-H"/>
                <w:noProof/>
                <w:sz w:val="20"/>
                <w:szCs w:val="24"/>
              </w:rPr>
            </w:pPr>
            <w:r>
              <w:rPr>
                <w:noProof/>
                <w:sz w:val="20"/>
              </w:rPr>
              <w:t>Други изделия от благородни метали или от плакета или дублета от благородни метали върху метали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7117</w:t>
            </w:r>
          </w:p>
        </w:tc>
        <w:tc>
          <w:tcPr>
            <w:tcW w:w="1092" w:type="pct"/>
            <w:shd w:val="clear" w:color="auto" w:fill="auto"/>
          </w:tcPr>
          <w:p>
            <w:pPr>
              <w:spacing w:before="0" w:after="0"/>
              <w:jc w:val="left"/>
              <w:rPr>
                <w:rFonts w:eastAsia="Times New Roman"/>
                <w:noProof/>
                <w:sz w:val="20"/>
                <w:szCs w:val="24"/>
              </w:rPr>
            </w:pPr>
            <w:r>
              <w:rPr>
                <w:noProof/>
                <w:sz w:val="20"/>
              </w:rPr>
              <w:t>Бижутерийна имитация</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60 % от цената на продукта франко завода </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72</w:t>
            </w:r>
          </w:p>
        </w:tc>
        <w:tc>
          <w:tcPr>
            <w:tcW w:w="1092" w:type="pct"/>
            <w:shd w:val="clear" w:color="auto" w:fill="auto"/>
          </w:tcPr>
          <w:p>
            <w:pPr>
              <w:spacing w:before="0" w:after="0"/>
              <w:jc w:val="left"/>
              <w:rPr>
                <w:rFonts w:eastAsia="Times New Roman"/>
                <w:noProof/>
                <w:sz w:val="20"/>
                <w:szCs w:val="24"/>
              </w:rPr>
            </w:pPr>
            <w:r>
              <w:rPr>
                <w:noProof/>
                <w:sz w:val="20"/>
              </w:rPr>
              <w:t>Чугун, желязо и стомана;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7207</w:t>
            </w:r>
          </w:p>
        </w:tc>
        <w:tc>
          <w:tcPr>
            <w:tcW w:w="1092" w:type="pct"/>
            <w:shd w:val="clear" w:color="auto" w:fill="auto"/>
          </w:tcPr>
          <w:p>
            <w:pPr>
              <w:spacing w:before="0" w:after="0"/>
              <w:jc w:val="left"/>
              <w:rPr>
                <w:rFonts w:eastAsia="Times New Roman"/>
                <w:noProof/>
                <w:sz w:val="20"/>
                <w:szCs w:val="24"/>
              </w:rPr>
            </w:pPr>
            <w:r>
              <w:rPr>
                <w:noProof/>
                <w:sz w:val="20"/>
              </w:rPr>
              <w:t>Полупродукти от желязо или от нелегирани стомани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от материали от позиция 7201, 7202, 7203, 7204, 7205 или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7208 до 7216</w:t>
            </w:r>
          </w:p>
        </w:tc>
        <w:tc>
          <w:tcPr>
            <w:tcW w:w="1092" w:type="pct"/>
            <w:shd w:val="clear" w:color="auto" w:fill="auto"/>
          </w:tcPr>
          <w:p>
            <w:pPr>
              <w:spacing w:before="0" w:after="0"/>
              <w:jc w:val="left"/>
              <w:rPr>
                <w:rFonts w:eastAsia="Times New Roman"/>
                <w:noProof/>
                <w:sz w:val="20"/>
                <w:szCs w:val="24"/>
              </w:rPr>
            </w:pPr>
            <w:r>
              <w:rPr>
                <w:noProof/>
                <w:sz w:val="20"/>
              </w:rPr>
              <w:t>Плосковалцовани продукти, валцдрат (заготовка за валцоване на тел), пръти и профили от желязо или от нелегирани стомани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7206 или 7207</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7206 или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7217</w:t>
            </w:r>
          </w:p>
        </w:tc>
        <w:tc>
          <w:tcPr>
            <w:tcW w:w="1092" w:type="pct"/>
            <w:shd w:val="clear" w:color="auto" w:fill="auto"/>
          </w:tcPr>
          <w:p>
            <w:pPr>
              <w:spacing w:before="0" w:after="0"/>
              <w:jc w:val="left"/>
              <w:rPr>
                <w:rFonts w:eastAsia="Times New Roman"/>
                <w:noProof/>
                <w:sz w:val="20"/>
                <w:szCs w:val="24"/>
              </w:rPr>
            </w:pPr>
            <w:r>
              <w:rPr>
                <w:noProof/>
                <w:sz w:val="20"/>
              </w:rPr>
              <w:t>Телове от желязо или от нелегирани стомани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7218 91 и 7218 99</w:t>
            </w:r>
          </w:p>
        </w:tc>
        <w:tc>
          <w:tcPr>
            <w:tcW w:w="1092" w:type="pct"/>
            <w:shd w:val="clear" w:color="auto" w:fill="auto"/>
          </w:tcPr>
          <w:p>
            <w:pPr>
              <w:spacing w:before="0" w:after="0"/>
              <w:jc w:val="left"/>
              <w:rPr>
                <w:rFonts w:eastAsia="Times New Roman"/>
                <w:noProof/>
                <w:sz w:val="20"/>
                <w:szCs w:val="24"/>
              </w:rPr>
            </w:pPr>
            <w:r>
              <w:rPr>
                <w:noProof/>
                <w:sz w:val="20"/>
              </w:rPr>
              <w:t>Полупродукти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подпозиция 7218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подпозиция 7218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от 7219 до 7222</w:t>
            </w:r>
          </w:p>
        </w:tc>
        <w:tc>
          <w:tcPr>
            <w:tcW w:w="1092" w:type="pct"/>
            <w:shd w:val="clear" w:color="auto" w:fill="auto"/>
          </w:tcPr>
          <w:p>
            <w:pPr>
              <w:spacing w:before="0" w:after="0"/>
              <w:jc w:val="left"/>
              <w:rPr>
                <w:rFonts w:eastAsia="Times New Roman"/>
                <w:noProof/>
                <w:sz w:val="20"/>
                <w:szCs w:val="24"/>
              </w:rPr>
            </w:pPr>
            <w:r>
              <w:rPr>
                <w:noProof/>
                <w:sz w:val="20"/>
              </w:rPr>
              <w:t>Плосковалцовани продукти, валцдрат (заготовка за валцоване на тел), пръти и профили от неръждаема стомана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7218</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7223</w:t>
            </w:r>
          </w:p>
        </w:tc>
        <w:tc>
          <w:tcPr>
            <w:tcW w:w="1092" w:type="pct"/>
            <w:shd w:val="clear" w:color="auto" w:fill="auto"/>
          </w:tcPr>
          <w:p>
            <w:pPr>
              <w:spacing w:before="0" w:after="0"/>
              <w:jc w:val="left"/>
              <w:rPr>
                <w:rFonts w:eastAsia="Times New Roman"/>
                <w:noProof/>
                <w:sz w:val="20"/>
                <w:szCs w:val="24"/>
              </w:rPr>
            </w:pPr>
            <w:r>
              <w:rPr>
                <w:noProof/>
                <w:sz w:val="20"/>
              </w:rPr>
              <w:t>Телове от неръждаема стомана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7218</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7224 90</w:t>
            </w:r>
          </w:p>
        </w:tc>
        <w:tc>
          <w:tcPr>
            <w:tcW w:w="1092" w:type="pct"/>
            <w:shd w:val="clear" w:color="auto" w:fill="auto"/>
          </w:tcPr>
          <w:p>
            <w:pPr>
              <w:spacing w:before="0" w:after="0"/>
              <w:jc w:val="left"/>
              <w:rPr>
                <w:rFonts w:eastAsia="Times New Roman"/>
                <w:noProof/>
                <w:sz w:val="20"/>
                <w:szCs w:val="24"/>
              </w:rPr>
            </w:pPr>
            <w:r>
              <w:rPr>
                <w:noProof/>
                <w:sz w:val="20"/>
              </w:rPr>
              <w:t>Полупродукти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подпозиция 7224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подпозиция 7224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от 7225 до 7228</w:t>
            </w:r>
          </w:p>
        </w:tc>
        <w:tc>
          <w:tcPr>
            <w:tcW w:w="1092" w:type="pct"/>
            <w:shd w:val="clear" w:color="auto" w:fill="auto"/>
          </w:tcPr>
          <w:p>
            <w:pPr>
              <w:spacing w:before="0" w:after="0"/>
              <w:jc w:val="left"/>
              <w:rPr>
                <w:rFonts w:eastAsia="Times New Roman"/>
                <w:noProof/>
                <w:sz w:val="20"/>
                <w:szCs w:val="24"/>
              </w:rPr>
            </w:pPr>
            <w:r>
              <w:rPr>
                <w:noProof/>
                <w:sz w:val="20"/>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7206, 7207, 7218 или 7224</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7206, 7207, 7218 или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7229</w:t>
            </w:r>
          </w:p>
        </w:tc>
        <w:tc>
          <w:tcPr>
            <w:tcW w:w="1092" w:type="pct"/>
            <w:shd w:val="clear" w:color="auto" w:fill="auto"/>
          </w:tcPr>
          <w:p>
            <w:pPr>
              <w:spacing w:before="0" w:after="0"/>
              <w:jc w:val="left"/>
              <w:rPr>
                <w:rFonts w:eastAsia="Times New Roman"/>
                <w:noProof/>
                <w:sz w:val="20"/>
                <w:szCs w:val="24"/>
              </w:rPr>
            </w:pPr>
            <w:r>
              <w:rPr>
                <w:noProof/>
                <w:sz w:val="20"/>
              </w:rPr>
              <w:t>Телове от други легирани стомани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7224</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73</w:t>
            </w:r>
          </w:p>
        </w:tc>
        <w:tc>
          <w:tcPr>
            <w:tcW w:w="1092" w:type="pct"/>
            <w:shd w:val="clear" w:color="auto" w:fill="auto"/>
          </w:tcPr>
          <w:p>
            <w:pPr>
              <w:spacing w:before="0" w:after="0"/>
              <w:jc w:val="left"/>
              <w:rPr>
                <w:rFonts w:eastAsia="Times New Roman"/>
                <w:noProof/>
                <w:sz w:val="20"/>
                <w:szCs w:val="24"/>
              </w:rPr>
            </w:pPr>
            <w:r>
              <w:rPr>
                <w:noProof/>
                <w:sz w:val="20"/>
              </w:rPr>
              <w:t>Изделия от чугун, желязо или стомана;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7301</w:t>
            </w:r>
          </w:p>
        </w:tc>
        <w:tc>
          <w:tcPr>
            <w:tcW w:w="1092" w:type="pct"/>
            <w:shd w:val="clear" w:color="auto" w:fill="auto"/>
          </w:tcPr>
          <w:p>
            <w:pPr>
              <w:spacing w:before="0" w:after="0"/>
              <w:jc w:val="left"/>
              <w:rPr>
                <w:rFonts w:eastAsia="Times New Roman"/>
                <w:noProof/>
                <w:sz w:val="20"/>
                <w:szCs w:val="24"/>
              </w:rPr>
            </w:pPr>
            <w:r>
              <w:rPr>
                <w:noProof/>
                <w:sz w:val="20"/>
              </w:rPr>
              <w:t>Шпунтови прегради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 7207</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7302</w:t>
            </w:r>
          </w:p>
        </w:tc>
        <w:tc>
          <w:tcPr>
            <w:tcW w:w="1092" w:type="pct"/>
            <w:shd w:val="clear" w:color="auto" w:fill="auto"/>
          </w:tcPr>
          <w:p>
            <w:pPr>
              <w:spacing w:before="0" w:after="0"/>
              <w:jc w:val="left"/>
              <w:rPr>
                <w:rFonts w:eastAsia="Times New Roman"/>
                <w:noProof/>
                <w:sz w:val="20"/>
                <w:szCs w:val="24"/>
              </w:rPr>
            </w:pPr>
            <w:r>
              <w:rPr>
                <w:noProof/>
                <w:sz w:val="20"/>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7304, 7305 и 7306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Тръби и кухи профили, от желязо или стомана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позиция 7206, 7207, 7208, 7209, 7210, 7211, 7212, 7218, 7219, 7220 или 7224</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от материали от позиция 7206, 7207, 7208, 7209, 7210, 7211, 7212, 7218, 7219, 7220 или 7224</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ex 7307</w:t>
            </w:r>
          </w:p>
        </w:tc>
        <w:tc>
          <w:tcPr>
            <w:tcW w:w="1092" w:type="pct"/>
            <w:shd w:val="clear" w:color="auto" w:fill="auto"/>
          </w:tcPr>
          <w:p>
            <w:pPr>
              <w:spacing w:before="0" w:after="0"/>
              <w:jc w:val="left"/>
              <w:rPr>
                <w:rFonts w:eastAsia="Times New Roman"/>
                <w:noProof/>
                <w:sz w:val="20"/>
                <w:szCs w:val="24"/>
              </w:rPr>
            </w:pPr>
            <w:r>
              <w:rPr>
                <w:noProof/>
                <w:sz w:val="20"/>
              </w:rPr>
              <w:t>Принадлежности за тръбопроводи от неръждаема стомана (ISO № X5CrNiMo 1712), състоящи се от няколко части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Струговане, пробиване, райбероване (зенковане), нарязване на резби, почистване на чеплъци и мустаци и песъкоструйно почистване на ковани заготовки, при условие че общата стойност на използваните ковани заготовки не надхвърля 35 %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Струговане, пробиване, райбероване (зенковане), нарязване на резби, почистване на чеплъци и мустаци и песъкоструйно почистване на ковани заготовки, стойността на които не надхвърля 35 %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7308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 9406; ламарини, пръти, профили, тръби и други подобни, от чугун, желязо или стомана, изработени с оглед тяхното използване в конструкцията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Не могат обаче да се използват профили, получени чрез заваряване, от позиция 7301</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Не могат обаче да се използват профили, получени чрез заваряване, от позиция № 7301</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ex 7315</w:t>
            </w:r>
          </w:p>
        </w:tc>
        <w:tc>
          <w:tcPr>
            <w:tcW w:w="1092" w:type="pct"/>
            <w:shd w:val="clear" w:color="auto" w:fill="auto"/>
          </w:tcPr>
          <w:p>
            <w:pPr>
              <w:spacing w:before="0" w:after="0"/>
              <w:jc w:val="left"/>
              <w:rPr>
                <w:rFonts w:eastAsia="Times New Roman"/>
                <w:noProof/>
                <w:sz w:val="20"/>
                <w:szCs w:val="24"/>
              </w:rPr>
            </w:pPr>
            <w:r>
              <w:rPr>
                <w:noProof/>
                <w:sz w:val="20"/>
              </w:rPr>
              <w:t>Вериги за сняг</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от позиция 7315 не надхвърля 50 % от цената на продукта франко завода</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от позиция № 7315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ех глава 74</w:t>
            </w:r>
          </w:p>
        </w:tc>
        <w:tc>
          <w:tcPr>
            <w:tcW w:w="1092" w:type="pct"/>
            <w:shd w:val="clear" w:color="auto" w:fill="auto"/>
          </w:tcPr>
          <w:p>
            <w:pPr>
              <w:spacing w:before="0" w:after="0"/>
              <w:jc w:val="left"/>
              <w:rPr>
                <w:rFonts w:eastAsia="Times New Roman"/>
                <w:noProof/>
                <w:sz w:val="20"/>
                <w:szCs w:val="24"/>
              </w:rPr>
            </w:pPr>
            <w:r>
              <w:rPr>
                <w:noProof/>
                <w:sz w:val="20"/>
              </w:rPr>
              <w:t>Мед и изделия от мед;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7403</w:t>
            </w:r>
          </w:p>
        </w:tc>
        <w:tc>
          <w:tcPr>
            <w:tcW w:w="1092" w:type="pct"/>
            <w:shd w:val="clear" w:color="auto" w:fill="auto"/>
          </w:tcPr>
          <w:p>
            <w:pPr>
              <w:spacing w:before="0" w:after="0"/>
              <w:jc w:val="left"/>
              <w:rPr>
                <w:rFonts w:eastAsia="Times New Roman"/>
                <w:noProof/>
                <w:sz w:val="20"/>
                <w:szCs w:val="24"/>
              </w:rPr>
            </w:pPr>
            <w:r>
              <w:rPr>
                <w:noProof/>
                <w:sz w:val="20"/>
              </w:rPr>
              <w:t>Рафинирана мед и медни сплави в необработен вид:</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глава 75</w:t>
            </w:r>
          </w:p>
        </w:tc>
        <w:tc>
          <w:tcPr>
            <w:tcW w:w="1092" w:type="pct"/>
            <w:shd w:val="clear" w:color="auto" w:fill="auto"/>
          </w:tcPr>
          <w:p>
            <w:pPr>
              <w:spacing w:before="0" w:after="0"/>
              <w:jc w:val="left"/>
              <w:rPr>
                <w:rFonts w:eastAsia="Times New Roman"/>
                <w:noProof/>
                <w:sz w:val="20"/>
                <w:szCs w:val="24"/>
              </w:rPr>
            </w:pPr>
            <w:r>
              <w:rPr>
                <w:noProof/>
                <w:sz w:val="20"/>
              </w:rPr>
              <w:t>Никел и изделия от никел;</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76</w:t>
            </w:r>
          </w:p>
        </w:tc>
        <w:tc>
          <w:tcPr>
            <w:tcW w:w="1092" w:type="pct"/>
            <w:shd w:val="clear" w:color="auto" w:fill="auto"/>
          </w:tcPr>
          <w:p>
            <w:pPr>
              <w:spacing w:before="0" w:after="0"/>
              <w:jc w:val="left"/>
              <w:rPr>
                <w:rFonts w:eastAsia="Times New Roman"/>
                <w:noProof/>
                <w:sz w:val="20"/>
                <w:szCs w:val="24"/>
              </w:rPr>
            </w:pPr>
            <w:r>
              <w:rPr>
                <w:noProof/>
                <w:sz w:val="20"/>
              </w:rPr>
              <w:t>Алуминий и изделия от алуминий;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7601</w:t>
            </w:r>
          </w:p>
        </w:tc>
        <w:tc>
          <w:tcPr>
            <w:tcW w:w="1092" w:type="pct"/>
            <w:shd w:val="clear" w:color="auto" w:fill="auto"/>
          </w:tcPr>
          <w:p>
            <w:pPr>
              <w:spacing w:before="0" w:after="0"/>
              <w:jc w:val="left"/>
              <w:rPr>
                <w:rFonts w:eastAsia="Times New Roman"/>
                <w:noProof/>
                <w:sz w:val="20"/>
                <w:szCs w:val="24"/>
              </w:rPr>
            </w:pPr>
            <w:r>
              <w:rPr>
                <w:noProof/>
                <w:sz w:val="20"/>
              </w:rPr>
              <w:t>Необработен алуминий</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7607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7606</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7606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глава 77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Запазена за евентуално използване в бъдеще в ХС</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78</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Олово и изделия от олово;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7801</w:t>
            </w:r>
          </w:p>
        </w:tc>
        <w:tc>
          <w:tcPr>
            <w:tcW w:w="1092" w:type="pct"/>
            <w:shd w:val="clear" w:color="auto" w:fill="auto"/>
          </w:tcPr>
          <w:p>
            <w:pPr>
              <w:spacing w:before="0" w:after="0"/>
              <w:jc w:val="left"/>
              <w:rPr>
                <w:rFonts w:eastAsia="Times New Roman"/>
                <w:noProof/>
                <w:sz w:val="20"/>
                <w:szCs w:val="24"/>
              </w:rPr>
            </w:pPr>
            <w:r>
              <w:rPr>
                <w:noProof/>
                <w:sz w:val="20"/>
              </w:rPr>
              <w:t>Необработено олово:</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Рафинирано олово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Не могат обаче да се използват отпадъците и отломките от позиция 7802</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 Производство от материали от всяка позиция, с изключение на тази на продукта. Не могат обаче да се използват отпадъците и отломките от позиция № 7802</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глава 79</w:t>
            </w:r>
          </w:p>
        </w:tc>
        <w:tc>
          <w:tcPr>
            <w:tcW w:w="1092" w:type="pct"/>
            <w:shd w:val="clear" w:color="auto" w:fill="auto"/>
          </w:tcPr>
          <w:p>
            <w:pPr>
              <w:spacing w:before="0" w:after="0"/>
              <w:jc w:val="left"/>
              <w:rPr>
                <w:rFonts w:eastAsia="Times New Roman"/>
                <w:noProof/>
                <w:sz w:val="20"/>
                <w:szCs w:val="24"/>
              </w:rPr>
            </w:pPr>
            <w:r>
              <w:rPr>
                <w:noProof/>
                <w:sz w:val="20"/>
              </w:rPr>
              <w:t>Цинк и изделия от цинк</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глава 80</w:t>
            </w:r>
          </w:p>
        </w:tc>
        <w:tc>
          <w:tcPr>
            <w:tcW w:w="1092" w:type="pct"/>
            <w:shd w:val="clear" w:color="auto" w:fill="auto"/>
          </w:tcPr>
          <w:p>
            <w:pPr>
              <w:spacing w:before="0" w:after="0"/>
              <w:jc w:val="left"/>
              <w:rPr>
                <w:rFonts w:eastAsia="Times New Roman"/>
                <w:noProof/>
                <w:sz w:val="20"/>
                <w:szCs w:val="24"/>
              </w:rPr>
            </w:pPr>
            <w:r>
              <w:rPr>
                <w:noProof/>
                <w:sz w:val="20"/>
              </w:rPr>
              <w:t>Калай и изделия от калай</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глава 81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неблагородни метали; металокерамики; изделия от тези материали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82</w:t>
            </w:r>
          </w:p>
        </w:tc>
        <w:tc>
          <w:tcPr>
            <w:tcW w:w="1092" w:type="pct"/>
            <w:shd w:val="clear" w:color="auto" w:fill="auto"/>
          </w:tcPr>
          <w:p>
            <w:pPr>
              <w:spacing w:before="0" w:after="0"/>
              <w:jc w:val="left"/>
              <w:rPr>
                <w:rFonts w:eastAsia="Times New Roman"/>
                <w:noProof/>
                <w:sz w:val="20"/>
                <w:szCs w:val="24"/>
              </w:rPr>
            </w:pPr>
            <w:r>
              <w:rPr>
                <w:noProof/>
                <w:sz w:val="20"/>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8206</w:t>
            </w:r>
          </w:p>
        </w:tc>
        <w:tc>
          <w:tcPr>
            <w:tcW w:w="1092" w:type="pct"/>
            <w:shd w:val="clear" w:color="auto" w:fill="auto"/>
          </w:tcPr>
          <w:p>
            <w:pPr>
              <w:spacing w:before="0" w:after="0"/>
              <w:jc w:val="left"/>
              <w:rPr>
                <w:rFonts w:eastAsia="Times New Roman"/>
                <w:noProof/>
                <w:sz w:val="20"/>
                <w:szCs w:val="24"/>
              </w:rPr>
            </w:pPr>
            <w:r>
              <w:rPr>
                <w:noProof/>
                <w:sz w:val="20"/>
              </w:rPr>
              <w:t>Комплекти, пригодени за продажба на дребно, съставени най-малко от два инструмента от позиции № 8202 — 8205</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тези от позиции 8202 — 8205. Инструментите от позиции № 8202 — 8205 могат обаче да бъдат включени в комплекта, при условие че тяхната стойност не надхвърля 15 % от цената на комплекта франко завода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тези от позиции 8202 — 8205. Инструментите от позиции № 8202 — 8205 могат обаче да бъдат включени в комплекта, при условие че тяхната стойност не надхвърля 15 % от цената на комплекта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ex 8211</w:t>
            </w:r>
          </w:p>
        </w:tc>
        <w:tc>
          <w:tcPr>
            <w:tcW w:w="1092" w:type="pct"/>
            <w:shd w:val="clear" w:color="auto" w:fill="auto"/>
          </w:tcPr>
          <w:p>
            <w:pPr>
              <w:spacing w:before="0" w:after="0"/>
              <w:jc w:val="left"/>
              <w:rPr>
                <w:rFonts w:eastAsia="Times New Roman"/>
                <w:noProof/>
                <w:sz w:val="20"/>
                <w:szCs w:val="24"/>
              </w:rPr>
            </w:pPr>
            <w:r>
              <w:rPr>
                <w:noProof/>
                <w:sz w:val="20"/>
              </w:rPr>
              <w:t>Ножове (различни от тези от позиция № 8208), с режещо острие или назъбени, включително и малките затварящи се косери за градинарството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остриета и дръжки на ножове от неблагородни метали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остриета и дръжки на ножове от неблагородни метали</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8214</w:t>
            </w:r>
          </w:p>
        </w:tc>
        <w:tc>
          <w:tcPr>
            <w:tcW w:w="1092" w:type="pct"/>
            <w:shd w:val="clear" w:color="auto" w:fill="auto"/>
          </w:tcPr>
          <w:p>
            <w:pPr>
              <w:spacing w:before="0" w:after="0"/>
              <w:jc w:val="left"/>
              <w:rPr>
                <w:rFonts w:eastAsia="Times New Roman"/>
                <w:noProof/>
                <w:sz w:val="20"/>
                <w:szCs w:val="24"/>
              </w:rPr>
            </w:pPr>
            <w:r>
              <w:rPr>
                <w:noProof/>
                <w:sz w:val="20"/>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дръжки от неблагородни метали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 Производство от материали от всяка позиция, с изключение на тази на продукта. Могат обаче да се използват дръжки от неблагородни метали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8215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дръжки от неблагородни метали</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Производство от материали от всяка позиция, с изключение на тази на продукта. Могат обаче да се използват дръжки от неблагородни метали</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83</w:t>
            </w:r>
          </w:p>
        </w:tc>
        <w:tc>
          <w:tcPr>
            <w:tcW w:w="1092" w:type="pct"/>
            <w:shd w:val="clear" w:color="auto" w:fill="auto"/>
          </w:tcPr>
          <w:p>
            <w:pPr>
              <w:spacing w:before="0" w:after="0"/>
              <w:jc w:val="left"/>
              <w:rPr>
                <w:rFonts w:eastAsia="Times New Roman"/>
                <w:noProof/>
                <w:sz w:val="20"/>
                <w:szCs w:val="24"/>
              </w:rPr>
            </w:pPr>
            <w:r>
              <w:rPr>
                <w:noProof/>
                <w:sz w:val="20"/>
              </w:rPr>
              <w:t>Различни изделия от неблагородни метали; с изключение на:</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ex 8302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Други гарнитури, обкови и подобни артикули за сгради, и приспособления за автоматично затваряне на врати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други материали от позиция 8302, при условие че общата им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други материали от позиция 8302, при условие че общата им стойност не надхвърля 20 % от цената на продукта франко завода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8306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Статуетки и други предмети за украса, от неблагородни метали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други материали от позиция 8306, при условие че общата им стойност не надхвърля 30 %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други материали от позиция 8306, при условие че общата им стойност не надхвърля 30 %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ех глава 84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Ядрени реактори, котли, машини, апарати и механизми; части за тези машини или апарати;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b/>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Бутални двигатели с възвратно-постъпателно или ротационно действие (Ванкел), с искрово запалване</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70 % от цената на продукта франко завода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Бутални двигатели със запалване чрез компресия (дизелов двигател или дизелов двигател с термостартер)</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8427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Кари високоповдигачи; други товарно-разтоварни кари, снабдени с подемно устройство</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8482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Сачмени, ролкови или иглени лагери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ех глава 85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8501 и 8502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Електрически двигатели и генератори, електрогенериращи агрегати и електрически ротационни преобразуватели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и на позиция 8503 </w:t>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b/>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8503</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8517 </w:t>
            </w:r>
          </w:p>
          <w:p>
            <w:pPr>
              <w:spacing w:before="0" w:after="0"/>
              <w:jc w:val="left"/>
              <w:rPr>
                <w:rFonts w:eastAsia="Times New Roman"/>
                <w:noProof/>
                <w:sz w:val="20"/>
                <w:szCs w:val="24"/>
              </w:rPr>
            </w:pPr>
          </w:p>
          <w:p>
            <w:pPr>
              <w:spacing w:before="100" w:beforeAutospacing="1" w:after="100" w:afterAutospacing="1"/>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позиция 8443, 8525, 8527 или 8528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8529</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Апарати за записване на звук; апарати за възпроизвеждане на звук; апарати за записване и възпроизвеждане на звук; с изключение на:</w:t>
            </w:r>
            <w:r>
              <w:rPr>
                <w:b/>
                <w:noProof/>
                <w:sz w:val="20"/>
              </w:rPr>
              <w:t xml:space="preserve">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8522</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Производство, при което всички използвани материали са класирани в позиция, различна от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Апарати за записване и възпроизвеждане на звук върху магнитни ленти и други апарати за записване на звук,</w:t>
            </w:r>
          </w:p>
          <w:p>
            <w:pPr>
              <w:autoSpaceDE w:val="0"/>
              <w:autoSpaceDN w:val="0"/>
              <w:adjustRightInd w:val="0"/>
              <w:spacing w:before="0" w:after="0"/>
              <w:jc w:val="left"/>
              <w:rPr>
                <w:rFonts w:eastAsia="Times New Roman"/>
                <w:bCs/>
                <w:noProof/>
                <w:sz w:val="20"/>
                <w:szCs w:val="24"/>
              </w:rPr>
            </w:pPr>
            <w:r>
              <w:rPr>
                <w:noProof/>
                <w:sz w:val="20"/>
              </w:rPr>
              <w:t xml:space="preserve">дори с вградено устройство за възпроизвеждане </w:t>
            </w:r>
          </w:p>
          <w:p>
            <w:pPr>
              <w:spacing w:before="0" w:after="0"/>
              <w:jc w:val="left"/>
              <w:rPr>
                <w:rFonts w:eastAsia="Times New Roman"/>
                <w:noProof/>
                <w:sz w:val="20"/>
                <w:szCs w:val="24"/>
              </w:rPr>
            </w:pPr>
            <w:r>
              <w:rPr>
                <w:noProof/>
                <w:sz w:val="20"/>
              </w:rPr>
              <w:t>на звук</w:t>
            </w:r>
          </w:p>
        </w:tc>
        <w:tc>
          <w:tcPr>
            <w:tcW w:w="860" w:type="pct"/>
            <w:tcBorders>
              <w:bottom w:val="single" w:sz="4" w:space="0" w:color="auto"/>
            </w:tcBorders>
            <w:shd w:val="clear" w:color="auto" w:fill="auto"/>
          </w:tcPr>
          <w:p>
            <w:pPr>
              <w:spacing w:before="60" w:after="60"/>
              <w:ind w:left="113" w:hanging="113"/>
              <w:jc w:val="left"/>
              <w:rPr>
                <w:rFonts w:eastAsia="Times New Roman"/>
                <w:i/>
                <w:iCs/>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Апарати за записване или възпроизвеждане на образ и звук, дори с вграден приемател на образ и звук (видеотунер)</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8522</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16"/>
                <w:szCs w:val="16"/>
              </w:rPr>
            </w:pPr>
            <w:r>
              <w:rPr>
                <w:noProof/>
                <w:sz w:val="20"/>
              </w:rPr>
              <w:t>Производство от материали от всяка позиция, с изключение на тази на продукта и на позиция 8522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ex 8523</w:t>
            </w:r>
          </w:p>
          <w:p>
            <w:pPr>
              <w:pageBreakBefore/>
              <w:spacing w:before="0" w:after="0"/>
              <w:jc w:val="left"/>
              <w:rPr>
                <w:rFonts w:eastAsia="Times New Roman"/>
                <w:noProof/>
                <w:sz w:val="20"/>
                <w:szCs w:val="24"/>
                <w:highlight w:val="yellow"/>
              </w:rPr>
            </w:pP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Дискове, ленти, носители за запаметяване на данни чрез полупроводникови елементи и други носители за записване на звук или за аналогични записвания, без запис, с изключение на продуктите от глава 37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keepLine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8525</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8526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Апарати за радиозасичане и радиосондиране (радари), радионавигационни апарати и апарати за радиотелеуправление</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735"/>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8527</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8528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8471</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
                <w:iCs/>
                <w:noProof/>
                <w:sz w:val="20"/>
                <w:szCs w:val="24"/>
              </w:rPr>
            </w:pPr>
          </w:p>
        </w:tc>
        <w:tc>
          <w:tcPr>
            <w:tcW w:w="815"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ind w:left="113" w:hanging="113"/>
              <w:jc w:val="left"/>
              <w:rPr>
                <w:rFonts w:eastAsia="Times New Roman"/>
                <w:i/>
                <w:iCs/>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8535 </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noProof/>
                <w:sz w:val="20"/>
                <w:szCs w:val="24"/>
              </w:rPr>
            </w:pPr>
            <w:r>
              <w:rPr>
                <w:noProof/>
                <w:sz w:val="20"/>
              </w:rPr>
              <w:t xml:space="preserve">Апаратура за прекъсване, разединяване, защита, разклоняване, включване или свързване на електрически вериги (например прекъсвачи, превключватели, стопяеми предпазители, гръмоотводи, ограничители на напрежение, високочестотни електрически филтри, щепсели и други конектори, съединителни кутии), за напрежение, превишаващо 1000 V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8538</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Апаратура за прекъсване, разединяване, защита, разклоняване, включване или свързване на електрически вериги, за напрежение, непревишаващо 1000 V; конектори за оптични влакна, снопове или кабели от оптични влакна:</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Апаратура за прекъсване, разединяване, защита, разклоняване, включване или свързване на електрически вериги, за напрежение, непревишаващо 1000 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Конектори за оптични влакна, снопове или кабели от оптични влакна:</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От пластмаси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От керамика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От мед</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от материали от всяка позиция, с изключение на тази на продукта</w:t>
            </w: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Табла, панели, конзоли, пултове, шкафове и други подобни, оборудвани с два или повече уреда от позиция №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позиция № 8517</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8540 11 и 8540 12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Електроннолъчеви тръби за телевизионни приемници, включително тръбите за видеомонитори</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r>
              <w:rPr>
                <w:noProof/>
                <w:sz w:val="16"/>
              </w:rPr>
              <w:t xml:space="preserve">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512"/>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8542</w:t>
            </w:r>
          </w:p>
          <w:p>
            <w:pPr>
              <w:spacing w:before="0" w:after="0"/>
              <w:jc w:val="left"/>
              <w:rPr>
                <w:rFonts w:eastAsia="Times New Roman"/>
                <w:noProof/>
                <w:szCs w:val="24"/>
              </w:rPr>
            </w:pPr>
          </w:p>
          <w:p>
            <w:pPr>
              <w:pageBreakBefore/>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Електронни интегрални схеми: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2"/>
                <w:szCs w:val="12"/>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167"/>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ex 854231, ex 854232, ex 854233 и 854239</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Монолитни интегрални схеми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iCs/>
                <w:noProof/>
                <w:sz w:val="20"/>
                <w:szCs w:val="24"/>
              </w:rPr>
            </w:pPr>
            <w:r>
              <w:rPr>
                <w:noProof/>
                <w:sz w:val="20"/>
              </w:rPr>
              <w:t xml:space="preserve">или </w:t>
            </w:r>
          </w:p>
          <w:p>
            <w:pPr>
              <w:spacing w:before="0" w:after="0"/>
              <w:jc w:val="left"/>
              <w:rPr>
                <w:rFonts w:eastAsia="Times New Roman"/>
                <w:noProof/>
                <w:sz w:val="20"/>
                <w:szCs w:val="24"/>
              </w:rPr>
            </w:pPr>
            <w:r>
              <w:rPr>
                <w:noProof/>
                <w:sz w:val="20"/>
              </w:rPr>
              <w:t>Процес на дифузия, при която интегралните схеми се формират върху полупроводникова подложка чрез селективно въвеждане на подходящ легиращ примес, дори сглобени и/или тествани в държава, която не е страна по споразумението</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Процес на дифузия, при която интегралните схеми се формират върху полупроводникова подложка чрез селективно въвеждане на подходящ легиращ примес, дори сглобени и/или тествани в държава, която не е страна по споразумението</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„Multichip“ интегрални схеми, които са части за машини или апарати, неупоменати, нито включени другаде в настоящата глава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8544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Изолатори за електричество от всякакви материали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8547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 8546; изолационни тръби и техните части за свързване, от неблагородни метали с вътрешна изолация</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Остатъци и отпадъци от електрически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86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ех глава 87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8711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Мотоциклети (включително мотопедите) и велосипеди със спомагателен двигател, със или без кош; кошове</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ех глава 88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Въздухоплаване и космонавтика;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70 % от цената на продукта франко завода </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8804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Ротошути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8804</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 8804</w:t>
            </w: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89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Морско или речно корабоплаване</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70 % от цената на продукта франко завода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ех глава 90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 с изключение на:</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b/>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9002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9033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Части и принадлежности, неупоменати, нито включени другаде в настоящата глава, за машини, апарати, инструменти или артикули от глава 90</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91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Часовникарски изделия</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92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Музикални инструменти; части и принадлежности за тези инструменти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глава 93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Оръжия, муниции и техните части и принадлежности</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глава 94</w:t>
            </w:r>
          </w:p>
        </w:tc>
        <w:tc>
          <w:tcPr>
            <w:tcW w:w="1092" w:type="pct"/>
            <w:shd w:val="clear" w:color="auto" w:fill="auto"/>
          </w:tcPr>
          <w:p>
            <w:pPr>
              <w:spacing w:before="0" w:after="0"/>
              <w:jc w:val="left"/>
              <w:rPr>
                <w:rFonts w:eastAsia="Times New Roman"/>
                <w:noProof/>
                <w:sz w:val="20"/>
                <w:szCs w:val="24"/>
              </w:rPr>
            </w:pPr>
            <w:r>
              <w:rPr>
                <w:noProof/>
                <w:sz w:val="20"/>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r>
              <w:rPr>
                <w:noProof/>
                <w:sz w:val="20"/>
              </w:rPr>
              <w:t>ех глава 95</w:t>
            </w:r>
          </w:p>
        </w:tc>
        <w:tc>
          <w:tcPr>
            <w:tcW w:w="1092" w:type="pct"/>
            <w:shd w:val="clear" w:color="auto" w:fill="auto"/>
          </w:tcPr>
          <w:p>
            <w:pPr>
              <w:spacing w:before="0" w:after="0"/>
              <w:jc w:val="left"/>
              <w:rPr>
                <w:rFonts w:eastAsia="Times New Roman"/>
                <w:noProof/>
                <w:sz w:val="20"/>
                <w:szCs w:val="24"/>
              </w:rPr>
            </w:pPr>
            <w:r>
              <w:rPr>
                <w:noProof/>
                <w:sz w:val="20"/>
              </w:rPr>
              <w:t>Играчки, игри, артикули за забавление или за спорт; техните части и принадлежности;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9506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Стикове за голф и техните части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грубо оформени заготовки за изработване на глави за стикове за голф</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Производство от материали от всяка позиция, с изключение на тази на продукта. Могат обаче да се използват грубо оформени заготовки за изработване на глави за стикове за голф</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ех глава 96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Разни видове изделия;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9601 и</w:t>
            </w:r>
          </w:p>
          <w:p>
            <w:pPr>
              <w:spacing w:before="0" w:after="0"/>
              <w:jc w:val="left"/>
              <w:rPr>
                <w:rFonts w:eastAsia="Times New Roman"/>
                <w:noProof/>
                <w:sz w:val="20"/>
                <w:szCs w:val="24"/>
              </w:rPr>
            </w:pPr>
            <w:r>
              <w:rPr>
                <w:noProof/>
                <w:sz w:val="20"/>
              </w:rPr>
              <w:t>9602</w:t>
            </w: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Обработени слонова кост, кости, черупки на костенурки, рога, еленови рога, корали, седеф и други животински материали за резбарство и изделия от тези материали (включително изделията, получени чрез отливане).</w:t>
            </w:r>
          </w:p>
          <w:p>
            <w:pPr>
              <w:spacing w:before="0" w:after="0"/>
              <w:jc w:val="left"/>
              <w:rPr>
                <w:rFonts w:eastAsia="Times New Roman"/>
                <w:noProof/>
                <w:sz w:val="20"/>
                <w:szCs w:val="24"/>
              </w:rPr>
            </w:pPr>
            <w:r>
              <w:rPr>
                <w:noProof/>
                <w:sz w:val="20"/>
              </w:rPr>
              <w:t>Обработени растителни или минерални материали за резбарство и изделия от тези материали; отляти или резбовани изделия от восък, от парафин, от стеарин, от естествени гуми или от естествени смоли, от пасти за моделиране и други отляти или резбовани изделия, неупоменати, нито включени другаде; обработен невтвърден желатин, различен от този в позиция № 3503, и изделия от невтвърден желатин</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от материали от всяка позиция</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9603</w:t>
            </w:r>
          </w:p>
        </w:tc>
        <w:tc>
          <w:tcPr>
            <w:tcW w:w="1092" w:type="pct"/>
            <w:shd w:val="clear" w:color="auto" w:fill="auto"/>
          </w:tcPr>
          <w:p>
            <w:pPr>
              <w:spacing w:before="0" w:after="0"/>
              <w:jc w:val="left"/>
              <w:rPr>
                <w:rFonts w:eastAsia="Times New Roman"/>
                <w:noProof/>
                <w:sz w:val="20"/>
                <w:szCs w:val="24"/>
              </w:rPr>
            </w:pPr>
            <w:r>
              <w:rPr>
                <w:noProof/>
                <w:sz w:val="20"/>
              </w:rPr>
              <w:t>Метли и четки, дори представляващи части от машини, от апарати или от превозни средства, механични ръчни метли, различни от тези с двигател, четки и метлички от пера; готови глави за четкарски артикули; тампони и валяци за боядисване; чистачки от каучук или от аналогични меки материали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Пътнически комплекти за личен тоалет, шиене или почистване на обувки или на облекла</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при условие че тяхната обща стойност не надхвърля 15 % от цената на комплекта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при условие че тяхната обща стойност не надхвърля 15 % от цената на комплекта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9606</w:t>
            </w:r>
          </w:p>
        </w:tc>
        <w:tc>
          <w:tcPr>
            <w:tcW w:w="1092" w:type="pct"/>
            <w:shd w:val="clear" w:color="auto" w:fill="auto"/>
          </w:tcPr>
          <w:p>
            <w:pPr>
              <w:spacing w:before="0" w:after="0"/>
              <w:jc w:val="left"/>
              <w:rPr>
                <w:rFonts w:eastAsia="Times New Roman"/>
                <w:noProof/>
                <w:sz w:val="20"/>
                <w:szCs w:val="24"/>
              </w:rPr>
            </w:pPr>
            <w:r>
              <w:rPr>
                <w:noProof/>
                <w:sz w:val="20"/>
              </w:rPr>
              <w:t>Копчета и секретни копчета; форми за копчета и други части за копчета или за секретни копчета; заготовки за копчета</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Производство:</w:t>
            </w:r>
          </w:p>
          <w:p>
            <w:pPr>
              <w:spacing w:before="60" w:after="60"/>
              <w:ind w:left="113" w:hanging="113"/>
              <w:jc w:val="left"/>
              <w:rPr>
                <w:rFonts w:eastAsia="Times New Roman"/>
                <w:noProof/>
                <w:sz w:val="20"/>
                <w:szCs w:val="24"/>
              </w:rPr>
            </w:pPr>
            <w:r>
              <w:rPr>
                <w:noProof/>
                <w:sz w:val="20"/>
              </w:rPr>
              <w:t>- от материали от всяка позиция, с изключение на тази на продукта, и</w:t>
            </w:r>
          </w:p>
          <w:p>
            <w:pPr>
              <w:spacing w:before="0" w:after="0"/>
              <w:jc w:val="left"/>
              <w:rPr>
                <w:rFonts w:eastAsia="Times New Roman"/>
                <w:noProof/>
                <w:sz w:val="20"/>
                <w:szCs w:val="24"/>
              </w:rPr>
            </w:pPr>
            <w:r>
              <w:rPr>
                <w:noProof/>
                <w:sz w:val="20"/>
              </w:rPr>
              <w:t xml:space="preserve">-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класирани в позиция, различна от тази на продукта</w:t>
            </w: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позиция № 9609</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писци или върхове за писци от същата позиция като тази на продукта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r>
              <w:rPr>
                <w:noProof/>
                <w:sz w:val="20"/>
              </w:rPr>
              <w:t>Могат обаче да се използват писци или върхове за писци, класирани в същата позиция</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9612</w:t>
            </w:r>
          </w:p>
        </w:tc>
        <w:tc>
          <w:tcPr>
            <w:tcW w:w="1092" w:type="pct"/>
            <w:shd w:val="clear" w:color="auto" w:fill="auto"/>
          </w:tcPr>
          <w:p>
            <w:pPr>
              <w:spacing w:before="0" w:after="0"/>
              <w:jc w:val="left"/>
              <w:rPr>
                <w:rFonts w:eastAsia="Times New Roman"/>
                <w:noProof/>
                <w:sz w:val="20"/>
                <w:szCs w:val="24"/>
              </w:rPr>
            </w:pPr>
            <w:r>
              <w:rPr>
                <w:noProof/>
                <w:sz w:val="20"/>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Производство:</w:t>
            </w:r>
          </w:p>
          <w:p>
            <w:pPr>
              <w:spacing w:before="60" w:after="60"/>
              <w:ind w:left="113" w:hanging="113"/>
              <w:jc w:val="left"/>
              <w:rPr>
                <w:rFonts w:eastAsia="Times New Roman"/>
                <w:noProof/>
                <w:sz w:val="20"/>
                <w:szCs w:val="24"/>
              </w:rPr>
            </w:pPr>
            <w:r>
              <w:rPr>
                <w:noProof/>
                <w:sz w:val="20"/>
              </w:rPr>
              <w:t>- от материали от всяка позиция, с изключение на тази на продукта, и</w:t>
            </w:r>
          </w:p>
          <w:p>
            <w:pPr>
              <w:spacing w:before="0" w:after="0"/>
              <w:jc w:val="left"/>
              <w:rPr>
                <w:rFonts w:eastAsia="Times New Roman"/>
                <w:noProof/>
                <w:sz w:val="20"/>
                <w:szCs w:val="24"/>
              </w:rPr>
            </w:pPr>
            <w:r>
              <w:rPr>
                <w:noProof/>
                <w:sz w:val="20"/>
              </w:rPr>
              <w:t>-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класирани в позиция, различна от тази на продукта</w:t>
            </w: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9613 20</w:t>
            </w:r>
          </w:p>
        </w:tc>
        <w:tc>
          <w:tcPr>
            <w:tcW w:w="1092" w:type="pct"/>
            <w:shd w:val="clear" w:color="auto" w:fill="auto"/>
          </w:tcPr>
          <w:p>
            <w:pPr>
              <w:spacing w:before="0" w:after="0"/>
              <w:jc w:val="left"/>
              <w:rPr>
                <w:rFonts w:eastAsia="Times New Roman"/>
                <w:noProof/>
                <w:sz w:val="20"/>
                <w:szCs w:val="24"/>
              </w:rPr>
            </w:pPr>
            <w:r>
              <w:rPr>
                <w:noProof/>
                <w:sz w:val="20"/>
              </w:rPr>
              <w:t>Газови джобни запалки за многократно пълнене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общата стойност на използваните материали от позиция 9613 не надхвърля 30 %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общата стойност на използваните материали от позиция 9613 не надхвърля 30 %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9614</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Лули (включително главите за лули), цигарета за пури и за цигари, и техните части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rPr>
              <w:t xml:space="preserve"> </w:t>
            </w:r>
            <w:r>
              <w:rPr>
                <w:noProof/>
                <w:sz w:val="20"/>
              </w:rPr>
              <w:t>Производство от материали от всяка позиция</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Дамски превръзки и хигиенни тампони, бебешки пелени и подобни артикули от какъвто и да е материал</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класирани в позиция, различна от тази на продукта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класирани в позиция, различна от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97</w:t>
            </w:r>
          </w:p>
        </w:tc>
        <w:tc>
          <w:tcPr>
            <w:tcW w:w="1092" w:type="pct"/>
            <w:shd w:val="clear" w:color="auto" w:fill="auto"/>
          </w:tcPr>
          <w:p>
            <w:pPr>
              <w:spacing w:before="0" w:after="0"/>
              <w:jc w:val="left"/>
              <w:rPr>
                <w:rFonts w:eastAsia="Times New Roman"/>
                <w:noProof/>
                <w:sz w:val="20"/>
                <w:szCs w:val="24"/>
              </w:rPr>
            </w:pPr>
            <w:r>
              <w:rPr>
                <w:noProof/>
                <w:sz w:val="20"/>
              </w:rPr>
              <w:t>Произведения на изкуството, предмети за колекции или антични предмети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bl>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0" w:name="_Toc204060734"/>
      <w:r>
        <w:rPr>
          <w:b/>
          <w:noProof/>
          <w:u w:val="single"/>
        </w:rPr>
        <w:lastRenderedPageBreak/>
        <w:t>ПРИЛОЖЕНИЕ III</w:t>
      </w:r>
    </w:p>
    <w:p>
      <w:pPr>
        <w:jc w:val="center"/>
        <w:rPr>
          <w:noProof/>
        </w:rPr>
      </w:pPr>
      <w:r>
        <w:rPr>
          <w:noProof/>
        </w:rPr>
        <w:t>ФОРМУЛЯР НА СЕРТИФИКАТ ЗА ДВИЖЕНИЕ</w:t>
      </w:r>
      <w:bookmarkEnd w:id="10"/>
    </w:p>
    <w:p>
      <w:pPr>
        <w:pStyle w:val="ManualNumPar1"/>
        <w:rPr>
          <w:noProof/>
        </w:rPr>
      </w:pPr>
      <w:r>
        <w:rPr>
          <w:noProof/>
        </w:rPr>
        <w:t>1.</w:t>
      </w:r>
      <w:r>
        <w:rPr>
          <w:noProof/>
        </w:rPr>
        <w:tab/>
        <w:t>Сертификатите за движение EUR 1 се изготвят, като се използва формулярът, чийто образец фигурира в настоящото приложение. Този формуляр се отпечатва на един или повече от езиците, на които е съставено споразумението. Сертификатите се изготвят на един от тези езици и в съответствие с разпоредбите на националното законодателство на държавата износител. Ако са написани на ръка, те се попълват с мастило и с главни букви.</w:t>
      </w:r>
    </w:p>
    <w:p>
      <w:pPr>
        <w:pStyle w:val="ManualNumPar1"/>
        <w:rPr>
          <w:noProof/>
        </w:rPr>
      </w:pPr>
      <w:r>
        <w:rPr>
          <w:noProof/>
        </w:rPr>
        <w:t>2.</w:t>
      </w:r>
      <w:r>
        <w:rPr>
          <w:noProof/>
        </w:rPr>
        <w:tab/>
        <w:t>Всеки сертификат е с размери 210 x 297 mm, като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25 g/m</w:t>
      </w:r>
      <w:r>
        <w:rPr>
          <w:noProof/>
          <w:vertAlign w:val="superscript"/>
        </w:rPr>
        <w:t>2</w:t>
      </w:r>
      <w:r>
        <w:rPr>
          <w:noProof/>
        </w:rPr>
        <w:t>. Тя трябва да бъде с отпечатан фон, представляващ зелени орнаменти от преплетени линии, който прави видимо всяко подправяне по механичен или химически начин.</w:t>
      </w:r>
    </w:p>
    <w:p>
      <w:pPr>
        <w:pStyle w:val="ManualNumPar1"/>
        <w:rPr>
          <w:noProof/>
        </w:rPr>
      </w:pPr>
      <w:r>
        <w:rPr>
          <w:noProof/>
        </w:rPr>
        <w:t>3.</w:t>
      </w:r>
      <w:r>
        <w:rPr>
          <w:noProof/>
        </w:rPr>
        <w:tab/>
        <w:t>Държавите износителки могат да си запазят правото да отпечатват сами тези сертификати или могат да поверят отпечатването им на одобрени печатници. В последния случай всеки сертификат трябва да включва позоваване на такова одобрение. На всеки сертификат трябва да фигурират името и адресът на печатницата или знак, посредством който печатницата да може да бъде идентифицирана. Той също така трябва да съдържа сериен номер, отпечатан или не, посредством който да може да бъде идентифициран.</w:t>
      </w:r>
    </w:p>
    <w:p>
      <w:pPr>
        <w:rPr>
          <w:noProof/>
        </w:rPr>
      </w:pPr>
      <w:r>
        <w:rPr>
          <w:noProof/>
        </w:rPr>
        <w:br w:type="page"/>
      </w:r>
      <w:r>
        <w:rPr>
          <w:noProof/>
        </w:rPr>
        <w:lastRenderedPageBreak/>
        <w:t>СЕРТИФИКАТ ЗА ДВИЖЕНИЕ</w:t>
      </w:r>
    </w:p>
    <w:tbl>
      <w:tblPr>
        <w:tblW w:w="10185" w:type="dxa"/>
        <w:jc w:val="right"/>
        <w:tblInd w:w="287" w:type="dxa"/>
        <w:tblLayout w:type="fixed"/>
        <w:tblCellMar>
          <w:left w:w="120" w:type="dxa"/>
          <w:right w:w="120" w:type="dxa"/>
        </w:tblCellMar>
        <w:tblLook w:val="0000" w:firstRow="0" w:lastRow="0" w:firstColumn="0" w:lastColumn="0" w:noHBand="0" w:noVBand="0"/>
      </w:tblPr>
      <w:tblGrid>
        <w:gridCol w:w="3875"/>
        <w:gridCol w:w="1526"/>
        <w:gridCol w:w="1082"/>
        <w:gridCol w:w="364"/>
        <w:gridCol w:w="944"/>
        <w:gridCol w:w="738"/>
        <w:gridCol w:w="1656"/>
      </w:tblGrid>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1.</w:t>
            </w:r>
            <w:r>
              <w:rPr>
                <w:noProof/>
                <w:sz w:val="16"/>
                <w:szCs w:val="16"/>
              </w:rPr>
              <w:tab/>
            </w:r>
            <w:r>
              <w:rPr>
                <w:b/>
                <w:noProof/>
                <w:sz w:val="16"/>
                <w:szCs w:val="16"/>
              </w:rPr>
              <w:t>Износител</w:t>
            </w:r>
            <w:r>
              <w:rPr>
                <w:noProof/>
                <w:sz w:val="16"/>
                <w:szCs w:val="16"/>
              </w:rPr>
              <w:t xml:space="preserve"> (</w:t>
            </w:r>
            <w:r>
              <w:rPr>
                <w:i/>
                <w:noProof/>
                <w:sz w:val="16"/>
                <w:szCs w:val="16"/>
              </w:rPr>
              <w:t>име, пълен адрес, държава</w:t>
            </w:r>
            <w:r>
              <w:rPr>
                <w:noProof/>
                <w:sz w:val="16"/>
                <w:szCs w:val="16"/>
              </w:rPr>
              <w:t>)</w:t>
            </w: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noProof/>
              </w:rPr>
              <w:tab/>
            </w:r>
            <w:r>
              <w:rPr>
                <w:b/>
                <w:noProof/>
              </w:rPr>
              <w:t>№ A</w:t>
            </w:r>
            <w:r>
              <w:rPr>
                <w:noProof/>
              </w:rPr>
              <w:tab/>
            </w:r>
            <w:r>
              <w:rPr>
                <w:noProof/>
                <w:sz w:val="16"/>
              </w:rPr>
              <w:t>000.000</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Вж. бележките на обратната страна преди попълване на настоящия формуляр.</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Сертификат, използван при преференциалната търговия между</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3.</w:t>
            </w:r>
            <w:r>
              <w:rPr>
                <w:noProof/>
                <w:sz w:val="16"/>
                <w:szCs w:val="16"/>
              </w:rPr>
              <w:tab/>
            </w:r>
            <w:r>
              <w:rPr>
                <w:b/>
                <w:noProof/>
                <w:sz w:val="16"/>
                <w:szCs w:val="16"/>
              </w:rPr>
              <w:t>Получател</w:t>
            </w:r>
            <w:r>
              <w:rPr>
                <w:noProof/>
                <w:sz w:val="16"/>
                <w:szCs w:val="16"/>
              </w:rPr>
              <w:t xml:space="preserve"> (</w:t>
            </w:r>
            <w:r>
              <w:rPr>
                <w:i/>
                <w:noProof/>
                <w:sz w:val="16"/>
                <w:szCs w:val="16"/>
              </w:rPr>
              <w:t>име, пълен адрес, държава</w:t>
            </w:r>
            <w:r>
              <w:rPr>
                <w:noProof/>
                <w:sz w:val="16"/>
                <w:szCs w:val="16"/>
              </w:rPr>
              <w:t>) (</w:t>
            </w:r>
            <w:r>
              <w:rPr>
                <w:i/>
                <w:noProof/>
                <w:sz w:val="16"/>
                <w:szCs w:val="16"/>
              </w:rPr>
              <w:t>попълването не е задължително</w:t>
            </w:r>
            <w:r>
              <w:rPr>
                <w:noProof/>
                <w:sz w:val="16"/>
                <w:szCs w:val="16"/>
              </w:rPr>
              <w:t>)</w:t>
            </w:r>
          </w:p>
        </w:tc>
        <w:tc>
          <w:tcPr>
            <w:tcW w:w="4784" w:type="dxa"/>
            <w:gridSpan w:val="5"/>
            <w:tcBorders>
              <w:left w:val="single" w:sz="6" w:space="0" w:color="auto"/>
              <w:right w:val="single" w:sz="6" w:space="0" w:color="auto"/>
            </w:tcBorders>
          </w:tcPr>
          <w:p>
            <w:pPr>
              <w:tabs>
                <w:tab w:val="center" w:pos="2271"/>
              </w:tabs>
              <w:rPr>
                <w:noProof/>
                <w:sz w:val="16"/>
              </w:rPr>
            </w:pPr>
            <w:r>
              <w:rPr>
                <w:noProof/>
              </w:rPr>
              <w:tab/>
            </w:r>
            <w:r>
              <w:rPr>
                <w:b/>
                <w:noProof/>
                <w:sz w:val="16"/>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p>
            <w:pPr>
              <w:tabs>
                <w:tab w:val="center" w:pos="2271"/>
              </w:tabs>
              <w:rPr>
                <w:noProof/>
                <w:sz w:val="16"/>
              </w:rPr>
            </w:pPr>
            <w:r>
              <w:rPr>
                <w:noProof/>
              </w:rPr>
              <w:tab/>
            </w:r>
            <w:r>
              <w:rPr>
                <w:i/>
                <w:noProof/>
                <w:sz w:val="16"/>
              </w:rPr>
              <w:t>(посочват се съответните държави, групи от държави или територии)</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Държава, група от държави или територия, която се счита за място на произход на продуктите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4"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Държава, група от държави или територия по местоназначение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401"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rPr>
              <w:t>6.</w:t>
            </w:r>
            <w:r>
              <w:rPr>
                <w:noProof/>
              </w:rPr>
              <w:tab/>
            </w:r>
            <w:r>
              <w:rPr>
                <w:b/>
                <w:noProof/>
                <w:sz w:val="16"/>
                <w:szCs w:val="16"/>
              </w:rPr>
              <w:t>Сведения относно транспорта</w:t>
            </w:r>
            <w:r>
              <w:rPr>
                <w:noProof/>
                <w:sz w:val="16"/>
                <w:szCs w:val="16"/>
              </w:rPr>
              <w:t xml:space="preserve"> (</w:t>
            </w:r>
            <w:r>
              <w:rPr>
                <w:i/>
                <w:noProof/>
                <w:sz w:val="16"/>
                <w:szCs w:val="16"/>
              </w:rPr>
              <w:t>попълването не е задължително</w:t>
            </w:r>
            <w:r>
              <w:rPr>
                <w:noProof/>
                <w:sz w:val="16"/>
                <w:szCs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6847" w:type="dxa"/>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Номер на изделието; маркировки и номера; брой и вид на опаковките</w:t>
            </w:r>
            <w:r>
              <w:rPr>
                <w:b/>
                <w:noProof/>
                <w:sz w:val="16"/>
                <w:vertAlign w:val="superscript"/>
              </w:rPr>
              <w:t>1</w:t>
            </w:r>
            <w:r>
              <w:rPr>
                <w:b/>
                <w:noProof/>
                <w:sz w:val="16"/>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szCs w:val="16"/>
              </w:rPr>
            </w:pPr>
            <w:r>
              <w:rPr>
                <w:b/>
                <w:noProof/>
                <w:sz w:val="16"/>
              </w:rPr>
              <w:t>9.</w:t>
            </w:r>
            <w:r>
              <w:rPr>
                <w:noProof/>
              </w:rPr>
              <w:tab/>
            </w:r>
            <w:r>
              <w:rPr>
                <w:b/>
                <w:noProof/>
                <w:sz w:val="16"/>
                <w:szCs w:val="16"/>
              </w:rPr>
              <w:t>Брутно тегло (kg) или друга мерна единица (литри, m</w:t>
            </w:r>
            <w:r>
              <w:rPr>
                <w:b/>
                <w:noProof/>
                <w:sz w:val="16"/>
                <w:szCs w:val="16"/>
                <w:vertAlign w:val="superscript"/>
              </w:rPr>
              <w:t>3</w:t>
            </w:r>
            <w:r>
              <w:rPr>
                <w:b/>
                <w:noProof/>
                <w:sz w:val="16"/>
                <w:szCs w:val="16"/>
              </w:rPr>
              <w:t xml:space="preserve"> и т.н.)</w:t>
            </w:r>
          </w:p>
          <w:p>
            <w:pPr>
              <w:tabs>
                <w:tab w:val="left" w:pos="0"/>
                <w:tab w:val="left" w:pos="206"/>
              </w:tabs>
              <w:rPr>
                <w:noProof/>
                <w:sz w:val="16"/>
              </w:rPr>
            </w:pPr>
          </w:p>
          <w:p>
            <w:pPr>
              <w:tabs>
                <w:tab w:val="left" w:pos="0"/>
                <w:tab w:val="left" w:pos="206"/>
              </w:tabs>
              <w:rPr>
                <w:noProof/>
                <w:sz w:val="16"/>
              </w:rPr>
            </w:pPr>
          </w:p>
        </w:tc>
        <w:tc>
          <w:tcPr>
            <w:tcW w:w="1656"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Фактури</w:t>
            </w:r>
          </w:p>
          <w:p>
            <w:pPr>
              <w:tabs>
                <w:tab w:val="left" w:pos="0"/>
                <w:tab w:val="left" w:pos="207"/>
                <w:tab w:val="left" w:pos="307"/>
              </w:tabs>
              <w:ind w:left="307" w:hanging="307"/>
              <w:rPr>
                <w:noProof/>
                <w:sz w:val="16"/>
              </w:rPr>
            </w:pPr>
            <w:r>
              <w:rPr>
                <w:noProof/>
              </w:rPr>
              <w:tab/>
            </w:r>
            <w:r>
              <w:rPr>
                <w:i/>
                <w:noProof/>
                <w:sz w:val="16"/>
              </w:rPr>
              <w:t>(попълването не е задължително)</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3875"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b/>
                <w:noProof/>
                <w:sz w:val="16"/>
              </w:rPr>
              <w:lastRenderedPageBreak/>
              <w:t>11.</w:t>
            </w:r>
            <w:r>
              <w:rPr>
                <w:noProof/>
              </w:rPr>
              <w:tab/>
            </w:r>
            <w:r>
              <w:rPr>
                <w:b/>
                <w:noProof/>
                <w:sz w:val="16"/>
              </w:rPr>
              <w:t>МИТНИЧЕСКА ЗАВЕРКА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Декларацията заверена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Документ за износ</w:t>
            </w:r>
            <w:r>
              <w:rPr>
                <w:b/>
                <w:noProof/>
                <w:sz w:val="16"/>
                <w:vertAlign w:val="superscript"/>
              </w:rPr>
              <w:t>2</w:t>
            </w:r>
          </w:p>
          <w:p>
            <w:pPr>
              <w:tabs>
                <w:tab w:val="left" w:pos="225"/>
                <w:tab w:val="left" w:pos="326"/>
                <w:tab w:val="left" w:leader="dot" w:pos="2853"/>
                <w:tab w:val="right" w:leader="dot" w:pos="3921"/>
              </w:tabs>
              <w:ind w:left="307" w:hanging="307"/>
              <w:rPr>
                <w:noProof/>
                <w:sz w:val="16"/>
              </w:rPr>
            </w:pPr>
            <w:r>
              <w:rPr>
                <w:noProof/>
                <w:sz w:val="16"/>
              </w:rPr>
              <w:t>Формуляр</w:t>
            </w:r>
            <w:r>
              <w:rPr>
                <w:noProof/>
              </w:rPr>
              <w:tab/>
            </w:r>
            <w:r>
              <w:rPr>
                <w:noProof/>
                <w:sz w:val="16"/>
              </w:rPr>
              <w:t>№</w:t>
            </w:r>
            <w:r>
              <w:rPr>
                <w:noProof/>
              </w:rPr>
              <w:tab/>
            </w:r>
          </w:p>
          <w:p>
            <w:pPr>
              <w:tabs>
                <w:tab w:val="left" w:pos="359"/>
                <w:tab w:val="right" w:leader="dot" w:pos="3921"/>
              </w:tabs>
              <w:ind w:left="340" w:hanging="340"/>
              <w:rPr>
                <w:noProof/>
                <w:sz w:val="16"/>
              </w:rPr>
            </w:pPr>
            <w:r>
              <w:rPr>
                <w:noProof/>
                <w:sz w:val="16"/>
              </w:rPr>
              <w:t>Митническо учреждение</w:t>
            </w:r>
            <w:r>
              <w:rPr>
                <w:noProof/>
              </w:rPr>
              <w:tab/>
            </w:r>
          </w:p>
          <w:p>
            <w:pPr>
              <w:tabs>
                <w:tab w:val="left" w:pos="0"/>
                <w:tab w:val="left" w:pos="340"/>
                <w:tab w:val="left" w:leader="dot" w:pos="2834"/>
              </w:tabs>
              <w:ind w:left="340" w:hanging="340"/>
              <w:rPr>
                <w:noProof/>
                <w:sz w:val="16"/>
              </w:rPr>
            </w:pPr>
            <w:r>
              <w:rPr>
                <w:noProof/>
                <w:sz w:val="16"/>
              </w:rPr>
              <w:t>Издаваща държава или територия</w:t>
            </w:r>
          </w:p>
          <w:p>
            <w:pPr>
              <w:tabs>
                <w:tab w:val="left" w:pos="359"/>
                <w:tab w:val="right" w:leader="dot" w:pos="3921"/>
              </w:tabs>
              <w:ind w:left="340" w:hanging="340"/>
              <w:rPr>
                <w:noProof/>
                <w:sz w:val="16"/>
              </w:rPr>
            </w:pPr>
            <w:r>
              <w:rPr>
                <w:noProof/>
              </w:rPr>
              <w:tab/>
            </w:r>
            <w:r>
              <w:rPr>
                <w:noProof/>
                <w:sz w:val="16"/>
              </w:rPr>
              <w:t>.</w:t>
            </w:r>
            <w:r>
              <w:rPr>
                <w:noProof/>
              </w:rPr>
              <w:tab/>
            </w:r>
          </w:p>
          <w:p>
            <w:pPr>
              <w:tabs>
                <w:tab w:val="left" w:pos="359"/>
                <w:tab w:val="right" w:leader="dot" w:pos="3921"/>
              </w:tabs>
              <w:ind w:left="340" w:hanging="340"/>
              <w:rPr>
                <w:noProof/>
                <w:sz w:val="16"/>
              </w:rPr>
            </w:pPr>
            <w:r>
              <w:rPr>
                <w:noProof/>
              </w:rPr>
              <w:tab/>
            </w:r>
            <w:r>
              <w:rPr>
                <w:noProof/>
                <w:sz w:val="16"/>
              </w:rPr>
              <w:t>Дата</w:t>
            </w:r>
            <w:r>
              <w:rPr>
                <w:noProof/>
              </w:rPr>
              <w:tab/>
            </w:r>
          </w:p>
          <w:p>
            <w:pPr>
              <w:tabs>
                <w:tab w:val="left" w:pos="359"/>
                <w:tab w:val="right" w:leader="dot" w:pos="3921"/>
              </w:tabs>
              <w:ind w:left="340" w:hanging="340"/>
              <w:rPr>
                <w:noProof/>
                <w:sz w:val="16"/>
              </w:rPr>
            </w:pPr>
            <w:r>
              <w:rPr>
                <w:noProof/>
              </w:rPr>
              <w:tab/>
            </w:r>
            <w:r>
              <w:rPr>
                <w:noProof/>
                <w:sz w:val="16"/>
              </w:rPr>
              <w:t>.</w:t>
            </w:r>
            <w:r>
              <w:rPr>
                <w:noProof/>
              </w:rPr>
              <w:tab/>
            </w:r>
          </w:p>
          <w:p>
            <w:pPr>
              <w:tabs>
                <w:tab w:val="center" w:pos="1970"/>
              </w:tabs>
              <w:rPr>
                <w:noProof/>
                <w:sz w:val="16"/>
              </w:rPr>
            </w:pPr>
            <w:r>
              <w:rPr>
                <w:noProof/>
              </w:rPr>
              <w:tab/>
            </w:r>
            <w:r>
              <w:rPr>
                <w:i/>
                <w:noProof/>
                <w:sz w:val="16"/>
              </w:rPr>
              <w:t>(Подпис)</w:t>
            </w:r>
          </w:p>
        </w:tc>
        <w:tc>
          <w:tcPr>
            <w:tcW w:w="2608" w:type="dxa"/>
            <w:gridSpan w:val="2"/>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rPr>
              <w:tab/>
            </w:r>
            <w:r>
              <w:rPr>
                <w:noProof/>
                <w:sz w:val="16"/>
              </w:rPr>
              <w:t>Печат</w:t>
            </w: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ind w:left="340" w:hanging="340"/>
              <w:rPr>
                <w:noProof/>
                <w:sz w:val="16"/>
              </w:rPr>
            </w:pPr>
            <w:r>
              <w:rPr>
                <w:b/>
                <w:noProof/>
                <w:sz w:val="16"/>
              </w:rPr>
              <w:t>12.</w:t>
            </w:r>
            <w:r>
              <w:rPr>
                <w:noProof/>
              </w:rPr>
              <w:tab/>
            </w:r>
            <w:r>
              <w:rPr>
                <w:b/>
                <w:noProof/>
                <w:sz w:val="16"/>
              </w:rPr>
              <w:t>ДЕКЛАРАЦИЯ НА ИЗНОСИТЕЛЯ</w:t>
            </w:r>
          </w:p>
          <w:p>
            <w:pPr>
              <w:tabs>
                <w:tab w:val="left" w:pos="0"/>
                <w:tab w:val="left" w:pos="340"/>
                <w:tab w:val="left" w:leader="dot" w:pos="1985"/>
              </w:tabs>
              <w:ind w:left="340" w:hanging="340"/>
              <w:rPr>
                <w:noProof/>
                <w:sz w:val="16"/>
              </w:rPr>
            </w:pPr>
            <w:r>
              <w:rPr>
                <w:noProof/>
              </w:rPr>
              <w:tab/>
            </w:r>
            <w:r>
              <w:rPr>
                <w:noProof/>
                <w:sz w:val="16"/>
              </w:rPr>
              <w:t>Аз, долуподписаният, декларирам, че стоките, описани по-горе, отговарят на условията за издаване на настоящия сертификат.</w:t>
            </w: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Място и дата</w:t>
            </w:r>
            <w:r>
              <w:rPr>
                <w:noProof/>
              </w:rPr>
              <w:tab/>
            </w: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w:t>
            </w:r>
            <w:r>
              <w:rPr>
                <w:noProof/>
              </w:rPr>
              <w:tab/>
            </w:r>
          </w:p>
          <w:p>
            <w:pPr>
              <w:tabs>
                <w:tab w:val="center" w:pos="1729"/>
              </w:tabs>
              <w:rPr>
                <w:noProof/>
                <w:sz w:val="16"/>
              </w:rPr>
            </w:pPr>
            <w:r>
              <w:rPr>
                <w:noProof/>
              </w:rPr>
              <w:tab/>
            </w:r>
            <w:r>
              <w:rPr>
                <w:i/>
                <w:noProof/>
                <w:sz w:val="16"/>
              </w:rPr>
              <w:t>(Подпис)</w:t>
            </w:r>
          </w:p>
        </w:tc>
      </w:tr>
    </w:tbl>
    <w:p>
      <w:pPr>
        <w:rPr>
          <w:noProof/>
        </w:rPr>
      </w:pPr>
    </w:p>
    <w:p>
      <w:pPr>
        <w:rPr>
          <w:noProof/>
        </w:rPr>
      </w:pPr>
      <w:r>
        <w:rPr>
          <w:b/>
          <w:noProof/>
          <w:sz w:val="16"/>
          <w:vertAlign w:val="superscript"/>
        </w:rPr>
        <w:t>1</w:t>
      </w:r>
      <w:r>
        <w:rPr>
          <w:noProof/>
        </w:rPr>
        <w:tab/>
      </w:r>
      <w:r>
        <w:rPr>
          <w:noProof/>
          <w:sz w:val="20"/>
        </w:rPr>
        <w:t>Ако стоките не са опаковани, посочете броя на артикулите или впишете „в насипно състояние“, в зависимост от случая.</w:t>
      </w:r>
    </w:p>
    <w:p>
      <w:pPr>
        <w:rPr>
          <w:noProof/>
        </w:rPr>
      </w:pPr>
      <w:r>
        <w:rPr>
          <w:b/>
          <w:noProof/>
          <w:sz w:val="16"/>
          <w:vertAlign w:val="superscript"/>
        </w:rPr>
        <w:t>2</w:t>
      </w:r>
      <w:r>
        <w:rPr>
          <w:noProof/>
        </w:rPr>
        <w:tab/>
      </w:r>
      <w:r>
        <w:rPr>
          <w:noProof/>
          <w:sz w:val="20"/>
        </w:rPr>
        <w:t>Попълва се само когато се изисква от наредбите на държавата или територията износител.</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13.</w:t>
            </w:r>
            <w:r>
              <w:rPr>
                <w:noProof/>
              </w:rPr>
              <w:tab/>
            </w:r>
            <w:r>
              <w:rPr>
                <w:b/>
                <w:noProof/>
                <w:sz w:val="16"/>
                <w:szCs w:val="16"/>
              </w:rPr>
              <w:t>Искане за проверка</w:t>
            </w:r>
            <w:r>
              <w:rPr>
                <w:noProof/>
                <w:sz w:val="16"/>
                <w:szCs w:val="16"/>
              </w:rPr>
              <w:t>, отправено към:</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14.</w:t>
            </w:r>
            <w:r>
              <w:rPr>
                <w:noProof/>
              </w:rPr>
              <w:tab/>
            </w:r>
            <w:r>
              <w:rPr>
                <w:b/>
                <w:noProof/>
                <w:sz w:val="16"/>
              </w:rPr>
              <w:t>Резултат от проверката</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Извършената проверка показа, че настоящият сертификат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е издаден от посоченото митническо учреждение и че информацията, съдържаща се в него, е точна.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не отговаря на изискванията за истинност и точност (виж добавените 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lastRenderedPageBreak/>
              <w:t>Поискана е проверка на истинността и точността на настоящия сертификат.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leader="dot" w:pos="2551"/>
                <w:tab w:val="left" w:pos="3685"/>
              </w:tabs>
              <w:rPr>
                <w:noProof/>
                <w:sz w:val="16"/>
              </w:rPr>
            </w:pPr>
          </w:p>
          <w:p>
            <w:pPr>
              <w:tabs>
                <w:tab w:val="right" w:leader="dot" w:pos="4862"/>
              </w:tabs>
              <w:rPr>
                <w:noProof/>
                <w:sz w:val="16"/>
              </w:rPr>
            </w:pPr>
            <w:r>
              <w:rPr>
                <w:noProof/>
              </w:rPr>
              <w:tab/>
            </w:r>
          </w:p>
          <w:p>
            <w:pPr>
              <w:tabs>
                <w:tab w:val="center" w:pos="2441"/>
              </w:tabs>
              <w:rPr>
                <w:noProof/>
                <w:sz w:val="16"/>
              </w:rPr>
            </w:pPr>
            <w:r>
              <w:rPr>
                <w:noProof/>
              </w:rPr>
              <w:tab/>
            </w:r>
            <w:r>
              <w:rPr>
                <w:i/>
                <w:noProof/>
                <w:sz w:val="16"/>
              </w:rPr>
              <w:t>(Място и дата)</w:t>
            </w:r>
          </w:p>
          <w:p>
            <w:pPr>
              <w:tabs>
                <w:tab w:val="left" w:leader="dot" w:pos="2551"/>
                <w:tab w:val="left" w:pos="3685"/>
              </w:tabs>
              <w:rPr>
                <w:noProof/>
                <w:sz w:val="16"/>
              </w:rPr>
            </w:pPr>
          </w:p>
          <w:p>
            <w:pPr>
              <w:tabs>
                <w:tab w:val="left" w:leader="dot" w:pos="2551"/>
                <w:tab w:val="left" w:pos="3685"/>
              </w:tabs>
              <w:ind w:left="3685" w:hanging="3685"/>
              <w:jc w:val="right"/>
              <w:rPr>
                <w:noProof/>
                <w:sz w:val="16"/>
              </w:rPr>
            </w:pPr>
            <w:r>
              <w:rPr>
                <w:noProof/>
              </w:rPr>
              <w:tab/>
            </w:r>
            <w:r>
              <w:rPr>
                <w:noProof/>
                <w:sz w:val="16"/>
              </w:rPr>
              <w:t>Печат</w:t>
            </w: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1202"/>
                <w:tab w:val="left" w:leader="dot" w:pos="2834"/>
              </w:tabs>
              <w:rPr>
                <w:noProof/>
                <w:sz w:val="16"/>
              </w:rPr>
            </w:pPr>
            <w:r>
              <w:rPr>
                <w:noProof/>
                <w:sz w:val="16"/>
              </w:rPr>
              <w:t>……………………………………..</w:t>
            </w:r>
          </w:p>
          <w:p>
            <w:pPr>
              <w:tabs>
                <w:tab w:val="left" w:leader="dot" w:pos="1202"/>
                <w:tab w:val="left" w:leader="dot" w:pos="2834"/>
              </w:tabs>
              <w:rPr>
                <w:noProof/>
                <w:sz w:val="16"/>
              </w:rPr>
            </w:pPr>
            <w:r>
              <w:rPr>
                <w:noProof/>
              </w:rPr>
              <w:tab/>
            </w:r>
            <w:r>
              <w:rPr>
                <w:i/>
                <w:noProof/>
                <w:sz w:val="16"/>
              </w:rPr>
              <w:t>(Подпис)</w:t>
            </w:r>
          </w:p>
          <w:p>
            <w:pPr>
              <w:tabs>
                <w:tab w:val="left" w:leader="dot" w:pos="1202"/>
                <w:tab w:val="left" w:leader="dot" w:pos="2834"/>
              </w:tabs>
              <w:rPr>
                <w:noProof/>
                <w:sz w:val="16"/>
              </w:rPr>
            </w:pPr>
          </w:p>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center" w:pos="1202"/>
                <w:tab w:val="left" w:leader="dot" w:pos="2834"/>
              </w:tabs>
              <w:rPr>
                <w:noProof/>
                <w:sz w:val="16"/>
              </w:rPr>
            </w:pPr>
          </w:p>
          <w:p>
            <w:pPr>
              <w:tabs>
                <w:tab w:val="center" w:pos="1202"/>
                <w:tab w:val="left" w:leader="dot" w:pos="2834"/>
              </w:tabs>
              <w:rPr>
                <w:noProof/>
                <w:sz w:val="16"/>
              </w:rPr>
            </w:pPr>
          </w:p>
          <w:p>
            <w:pPr>
              <w:tabs>
                <w:tab w:val="right" w:leader="dot" w:pos="4843"/>
              </w:tabs>
              <w:rPr>
                <w:noProof/>
                <w:sz w:val="16"/>
              </w:rPr>
            </w:pPr>
            <w:r>
              <w:rPr>
                <w:noProof/>
              </w:rPr>
              <w:tab/>
            </w:r>
          </w:p>
          <w:p>
            <w:pPr>
              <w:tabs>
                <w:tab w:val="center" w:pos="2431"/>
              </w:tabs>
              <w:rPr>
                <w:noProof/>
                <w:sz w:val="16"/>
              </w:rPr>
            </w:pPr>
            <w:r>
              <w:rPr>
                <w:noProof/>
              </w:rPr>
              <w:tab/>
            </w:r>
            <w:r>
              <w:rPr>
                <w:i/>
                <w:noProof/>
                <w:sz w:val="16"/>
              </w:rPr>
              <w:t>(Място и дата)</w:t>
            </w:r>
          </w:p>
          <w:p>
            <w:pPr>
              <w:tabs>
                <w:tab w:val="left" w:leader="dot" w:pos="2552"/>
                <w:tab w:val="left" w:pos="3686"/>
              </w:tabs>
              <w:rPr>
                <w:noProof/>
                <w:sz w:val="16"/>
              </w:rPr>
            </w:pPr>
          </w:p>
          <w:p>
            <w:pPr>
              <w:tabs>
                <w:tab w:val="left" w:leader="dot" w:pos="2552"/>
                <w:tab w:val="left" w:pos="3686"/>
              </w:tabs>
              <w:ind w:left="3685" w:hanging="3685"/>
              <w:rPr>
                <w:noProof/>
                <w:sz w:val="16"/>
              </w:rPr>
            </w:pPr>
            <w:r>
              <w:rPr>
                <w:noProof/>
                <w:sz w:val="16"/>
              </w:rPr>
              <w:t>………………………………………………………Печат</w:t>
            </w: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1203"/>
                <w:tab w:val="left" w:leader="dot" w:pos="2835"/>
              </w:tabs>
              <w:rPr>
                <w:noProof/>
                <w:sz w:val="16"/>
              </w:rPr>
            </w:pPr>
            <w:r>
              <w:rPr>
                <w:noProof/>
                <w:sz w:val="16"/>
              </w:rPr>
              <w:t>……………………………………………….</w:t>
            </w:r>
          </w:p>
          <w:p>
            <w:pPr>
              <w:tabs>
                <w:tab w:val="left" w:leader="dot" w:pos="1203"/>
                <w:tab w:val="left" w:leader="dot" w:pos="2835"/>
              </w:tabs>
              <w:rPr>
                <w:noProof/>
                <w:sz w:val="16"/>
              </w:rPr>
            </w:pPr>
            <w:r>
              <w:rPr>
                <w:noProof/>
              </w:rPr>
              <w:tab/>
            </w:r>
            <w:r>
              <w:rPr>
                <w:i/>
                <w:noProof/>
                <w:sz w:val="16"/>
              </w:rPr>
              <w:t>(Подпис)</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 Вписва се Х в съответната клетка.</w:t>
            </w:r>
          </w:p>
        </w:tc>
      </w:tr>
    </w:tbl>
    <w:p>
      <w:pPr>
        <w:rPr>
          <w:noProof/>
          <w:sz w:val="20"/>
          <w:szCs w:val="20"/>
        </w:rPr>
      </w:pPr>
      <w:r>
        <w:rPr>
          <w:noProof/>
          <w:sz w:val="20"/>
        </w:rPr>
        <w:t>БЕЛЕЖКИ</w:t>
      </w:r>
    </w:p>
    <w:p>
      <w:pPr>
        <w:pStyle w:val="ManualNumPar1"/>
        <w:rPr>
          <w:noProof/>
          <w:sz w:val="20"/>
          <w:szCs w:val="20"/>
        </w:rPr>
      </w:pPr>
      <w:r>
        <w:rPr>
          <w:noProof/>
          <w:sz w:val="20"/>
        </w:rPr>
        <w:t>1.</w:t>
      </w:r>
      <w:r>
        <w:rPr>
          <w:noProof/>
        </w:rPr>
        <w:tab/>
      </w:r>
      <w:r>
        <w:rPr>
          <w:noProof/>
          <w:sz w:val="20"/>
        </w:rPr>
        <w:t>Сертификатът не трябва да съдържа заличавания или думи, написани една върху друга. Всяка поправка трябва да бъде направена чрез зачеркване на неверните данни и добавяне на необходимите поправки. Всички тези поправки трябва да бъдат приподписани от лицето, попълнило сертификата, и заверени от митническите органи на издаващата държава или територия.</w:t>
      </w:r>
    </w:p>
    <w:p>
      <w:pPr>
        <w:pStyle w:val="ManualNumPar1"/>
        <w:rPr>
          <w:noProof/>
          <w:sz w:val="20"/>
          <w:szCs w:val="20"/>
        </w:rPr>
      </w:pPr>
      <w:r>
        <w:rPr>
          <w:noProof/>
          <w:sz w:val="20"/>
        </w:rPr>
        <w:t>2.</w:t>
      </w:r>
      <w:r>
        <w:rPr>
          <w:noProof/>
        </w:rPr>
        <w:tab/>
      </w:r>
      <w:r>
        <w:rPr>
          <w:noProof/>
          <w:sz w:val="20"/>
        </w:rPr>
        <w:t>Не трябва да се оставя празно място между отделните изделия, записани в сертификата, и всяко изделие трябва да се предшества от номер на изделието. Непосредствено под последното изделие трябва да се постави хоризонтална линия. Цялото неизползвано място трябва да се зачертае по такъв начин, че всяко по-късно добавяне да бъде невъзможно.</w:t>
      </w:r>
    </w:p>
    <w:p>
      <w:pPr>
        <w:pStyle w:val="ManualNumPar1"/>
        <w:rPr>
          <w:noProof/>
          <w:sz w:val="20"/>
          <w:szCs w:val="20"/>
        </w:rPr>
      </w:pPr>
      <w:r>
        <w:rPr>
          <w:noProof/>
          <w:sz w:val="20"/>
        </w:rPr>
        <w:t>3.</w:t>
      </w:r>
      <w:r>
        <w:rPr>
          <w:noProof/>
        </w:rPr>
        <w:tab/>
      </w:r>
      <w:r>
        <w:rPr>
          <w:noProof/>
          <w:sz w:val="20"/>
        </w:rPr>
        <w:t>Стоките трябва да бъдат описани в съответствие с търговската практика и достатъчно подробно, за да могат да бъдат идентифицирани.</w:t>
      </w:r>
    </w:p>
    <w:p>
      <w:pPr>
        <w:jc w:val="center"/>
        <w:rPr>
          <w:noProof/>
        </w:rPr>
      </w:pPr>
      <w:r>
        <w:rPr>
          <w:noProof/>
        </w:rPr>
        <w:br w:type="page"/>
      </w:r>
      <w:r>
        <w:rPr>
          <w:noProof/>
        </w:rPr>
        <w:lastRenderedPageBreak/>
        <w:t>ЗАЯВЛЕНИЕ ЗА ИЗДАВАНЕ НА СЕРТИФИКАТ ЗА ДВИЖЕНИЕ</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1.</w:t>
            </w:r>
            <w:r>
              <w:rPr>
                <w:noProof/>
                <w:sz w:val="16"/>
                <w:szCs w:val="16"/>
              </w:rPr>
              <w:tab/>
            </w:r>
            <w:r>
              <w:rPr>
                <w:b/>
                <w:noProof/>
                <w:sz w:val="16"/>
                <w:szCs w:val="16"/>
              </w:rPr>
              <w:t>Износител</w:t>
            </w:r>
            <w:r>
              <w:rPr>
                <w:noProof/>
                <w:sz w:val="16"/>
                <w:szCs w:val="16"/>
              </w:rPr>
              <w:t xml:space="preserve"> (</w:t>
            </w:r>
            <w:r>
              <w:rPr>
                <w:i/>
                <w:noProof/>
                <w:sz w:val="16"/>
                <w:szCs w:val="16"/>
              </w:rPr>
              <w:t>име, пълен адрес, държава</w:t>
            </w:r>
            <w:r>
              <w:rPr>
                <w:noProof/>
                <w:sz w:val="16"/>
                <w:szCs w:val="16"/>
              </w:rPr>
              <w:t>)</w:t>
            </w: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noProof/>
              </w:rPr>
              <w:tab/>
            </w:r>
            <w:r>
              <w:rPr>
                <w:b/>
                <w:noProof/>
              </w:rPr>
              <w:t>№ A</w:t>
            </w:r>
            <w:r>
              <w:rPr>
                <w:noProof/>
              </w:rPr>
              <w:tab/>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Вж. бележките на обратната страна преди попълване на настоящия формуляр.</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Заявление за издаване на сертификат, който да се използва при преференциалната търговия между</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3.</w:t>
            </w:r>
            <w:r>
              <w:rPr>
                <w:noProof/>
                <w:sz w:val="16"/>
                <w:szCs w:val="16"/>
              </w:rPr>
              <w:tab/>
            </w:r>
            <w:r>
              <w:rPr>
                <w:b/>
                <w:noProof/>
                <w:sz w:val="16"/>
                <w:szCs w:val="16"/>
              </w:rPr>
              <w:t>Получател</w:t>
            </w:r>
            <w:r>
              <w:rPr>
                <w:noProof/>
                <w:sz w:val="16"/>
                <w:szCs w:val="16"/>
              </w:rPr>
              <w:t xml:space="preserve"> (</w:t>
            </w:r>
            <w:r>
              <w:rPr>
                <w:i/>
                <w:noProof/>
                <w:sz w:val="16"/>
                <w:szCs w:val="16"/>
              </w:rPr>
              <w:t>име, пълен адрес, държава</w:t>
            </w:r>
            <w:r>
              <w:rPr>
                <w:noProof/>
                <w:sz w:val="16"/>
                <w:szCs w:val="16"/>
              </w:rPr>
              <w:t>) (</w:t>
            </w:r>
            <w:r>
              <w:rPr>
                <w:i/>
                <w:noProof/>
                <w:sz w:val="16"/>
                <w:szCs w:val="16"/>
              </w:rPr>
              <w:t>попълването не е задължително</w:t>
            </w:r>
            <w:r>
              <w:rPr>
                <w:noProof/>
                <w:sz w:val="16"/>
                <w:szCs w:val="16"/>
              </w:rPr>
              <w:t>)</w:t>
            </w:r>
          </w:p>
        </w:tc>
        <w:tc>
          <w:tcPr>
            <w:tcW w:w="4783" w:type="dxa"/>
            <w:gridSpan w:val="4"/>
            <w:tcBorders>
              <w:left w:val="single" w:sz="6" w:space="0" w:color="auto"/>
              <w:right w:val="single" w:sz="6" w:space="0" w:color="auto"/>
            </w:tcBorders>
          </w:tcPr>
          <w:p>
            <w:pPr>
              <w:tabs>
                <w:tab w:val="center" w:pos="2271"/>
              </w:tabs>
              <w:rPr>
                <w:noProof/>
                <w:sz w:val="16"/>
              </w:rPr>
            </w:pPr>
            <w:r>
              <w:rPr>
                <w:noProof/>
              </w:rPr>
              <w:tab/>
            </w:r>
            <w:r>
              <w:rPr>
                <w:b/>
                <w:noProof/>
                <w:sz w:val="16"/>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rPr>
              <w:tab/>
            </w:r>
            <w:r>
              <w:rPr>
                <w:i/>
                <w:noProof/>
                <w:sz w:val="16"/>
              </w:rPr>
              <w:t>(посочват се съответните държави, групи от държави или територии)</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Държава, група от държави или територия, която се счита за място на произход на продуктите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Държава, група от държави или територия по местоназначение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rPr>
              <w:t>6.</w:t>
            </w:r>
            <w:r>
              <w:rPr>
                <w:noProof/>
              </w:rPr>
              <w:tab/>
            </w:r>
            <w:r>
              <w:rPr>
                <w:b/>
                <w:noProof/>
                <w:sz w:val="16"/>
                <w:szCs w:val="16"/>
              </w:rPr>
              <w:t>Сведения относно транспорта</w:t>
            </w:r>
            <w:r>
              <w:rPr>
                <w:noProof/>
                <w:sz w:val="16"/>
                <w:szCs w:val="16"/>
              </w:rPr>
              <w:t xml:space="preserve"> (</w:t>
            </w:r>
            <w:r>
              <w:rPr>
                <w:i/>
                <w:noProof/>
                <w:sz w:val="16"/>
                <w:szCs w:val="16"/>
              </w:rPr>
              <w:t>попълването не е задължително</w:t>
            </w:r>
            <w:r>
              <w:rPr>
                <w:noProof/>
                <w:sz w:val="16"/>
                <w:szCs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lastRenderedPageBreak/>
              <w:t>8.</w:t>
            </w:r>
            <w:r>
              <w:rPr>
                <w:noProof/>
              </w:rPr>
              <w:tab/>
            </w:r>
            <w:r>
              <w:rPr>
                <w:b/>
                <w:noProof/>
                <w:sz w:val="16"/>
              </w:rPr>
              <w:t>Номер на изделието; маркировки и номера; брой и вид на опаковките;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szCs w:val="16"/>
              </w:rPr>
            </w:pPr>
            <w:r>
              <w:rPr>
                <w:b/>
                <w:noProof/>
                <w:sz w:val="16"/>
              </w:rPr>
              <w:t>9.</w:t>
            </w:r>
            <w:r>
              <w:rPr>
                <w:noProof/>
              </w:rPr>
              <w:tab/>
            </w:r>
            <w:r>
              <w:rPr>
                <w:b/>
                <w:noProof/>
                <w:sz w:val="16"/>
                <w:szCs w:val="16"/>
              </w:rPr>
              <w:t>Брутно тегло (kg) или друга мерна единица (литри, m</w:t>
            </w:r>
            <w:r>
              <w:rPr>
                <w:b/>
                <w:noProof/>
                <w:sz w:val="16"/>
                <w:szCs w:val="16"/>
                <w:vertAlign w:val="superscript"/>
              </w:rPr>
              <w:t>3</w:t>
            </w:r>
            <w:r>
              <w:rPr>
                <w:b/>
                <w:noProof/>
                <w:sz w:val="16"/>
                <w:szCs w:val="16"/>
              </w:rPr>
              <w:t xml:space="preserve"> и т.н.)</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Фактури</w:t>
            </w:r>
          </w:p>
          <w:p>
            <w:pPr>
              <w:tabs>
                <w:tab w:val="left" w:pos="0"/>
                <w:tab w:val="left" w:pos="207"/>
                <w:tab w:val="left" w:pos="307"/>
              </w:tabs>
              <w:ind w:left="307" w:hanging="307"/>
              <w:rPr>
                <w:noProof/>
                <w:sz w:val="16"/>
              </w:rPr>
            </w:pPr>
            <w:r>
              <w:rPr>
                <w:noProof/>
              </w:rPr>
              <w:tab/>
            </w:r>
            <w:r>
              <w:rPr>
                <w:i/>
                <w:noProof/>
                <w:sz w:val="16"/>
              </w:rPr>
              <w:t>(попълването не е задължително)</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spacing w:after="240"/>
        <w:jc w:val="center"/>
        <w:rPr>
          <w:noProof/>
        </w:rPr>
      </w:pPr>
      <w:r>
        <w:rPr>
          <w:noProof/>
        </w:rPr>
        <w:br w:type="page"/>
      </w:r>
      <w:r>
        <w:rPr>
          <w:noProof/>
        </w:rPr>
        <w:lastRenderedPageBreak/>
        <w:t>ДЕКЛАРАЦИЯ НА ИЗНОСИТЕЛЯ</w:t>
      </w:r>
    </w:p>
    <w:p>
      <w:pPr>
        <w:rPr>
          <w:noProof/>
        </w:rPr>
      </w:pPr>
      <w:r>
        <w:rPr>
          <w:noProof/>
        </w:rPr>
        <w:t>Аз, долуподписаният, износител на стоките, описани на обратната страна на документа,</w:t>
      </w:r>
    </w:p>
    <w:p>
      <w:pPr>
        <w:rPr>
          <w:noProof/>
        </w:rPr>
      </w:pPr>
      <w:r>
        <w:rPr>
          <w:noProof/>
        </w:rPr>
        <w:t>ДЕКЛАРИРАМ,</w:t>
      </w:r>
      <w:r>
        <w:rPr>
          <w:noProof/>
        </w:rPr>
        <w:tab/>
        <w:t>че стоките отговарят на условията за издаване на приложения сертификат;</w:t>
      </w:r>
    </w:p>
    <w:p>
      <w:pPr>
        <w:rPr>
          <w:noProof/>
        </w:rPr>
      </w:pPr>
      <w:r>
        <w:rPr>
          <w:noProof/>
        </w:rPr>
        <w:t>УТОЧНЯВАМ, както следва, обстоятелствата, които са дали възможност на тези стоки да отговорят на определените по-горе условия:</w:t>
      </w:r>
    </w:p>
    <w:p>
      <w:pPr>
        <w:rPr>
          <w:noProof/>
        </w:rPr>
      </w:pPr>
      <w:r>
        <w:rPr>
          <w:noProof/>
        </w:rPr>
        <w:t>…………………………………………………………………………………………………………………………………………………………………………………………………………………………………………………………………………………………………………………………………………………………………………………………………………………………………………</w:t>
      </w:r>
    </w:p>
    <w:p>
      <w:pPr>
        <w:rPr>
          <w:noProof/>
        </w:rPr>
      </w:pPr>
      <w:r>
        <w:rPr>
          <w:noProof/>
        </w:rPr>
        <w:t>ПРЕДСТАВЯМ следните подкрепящи документи:</w:t>
      </w:r>
    </w:p>
    <w:p>
      <w:pPr>
        <w:rPr>
          <w:noProof/>
        </w:rPr>
      </w:pPr>
      <w:r>
        <w:rPr>
          <w:noProof/>
        </w:rPr>
        <w:t>…………………………………………………………………………………………………………………………………………………………………………………………………………………………………………………………………………………………………………………………………………………………………………………………………………………………………………</w:t>
      </w:r>
    </w:p>
    <w:p>
      <w:pPr>
        <w:rPr>
          <w:noProof/>
        </w:rPr>
      </w:pPr>
      <w:r>
        <w:rPr>
          <w:noProof/>
        </w:rPr>
        <w:t>СЕ ЗАДЪЛЖАВАМ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 проверка на моите счетоводни документи и на процеса на производство на изброените по-горе стоки от страна на посочените органи;</w:t>
      </w:r>
    </w:p>
    <w:p>
      <w:pPr>
        <w:rPr>
          <w:noProof/>
        </w:rPr>
      </w:pPr>
      <w:r>
        <w:rPr>
          <w:noProof/>
        </w:rPr>
        <w:t>МОЛЯ</w:t>
      </w:r>
      <w:r>
        <w:rPr>
          <w:noProof/>
        </w:rPr>
        <w:tab/>
        <w:t>да бъде издаден приложеният сертификат за тези стоки.</w:t>
      </w:r>
    </w:p>
    <w:p>
      <w:pPr>
        <w:rPr>
          <w:noProof/>
        </w:rPr>
      </w:pPr>
      <w:r>
        <w:rPr>
          <w:noProof/>
        </w:rPr>
        <w:t>…………………………………………………………………………………………………………………………………………………………………………………………………………………………………………………………………………………………………………………………………………………………………………………………………………………………………………</w:t>
      </w:r>
    </w:p>
    <w:tbl>
      <w:tblPr>
        <w:tblW w:w="0" w:type="auto"/>
        <w:tblLook w:val="01E0" w:firstRow="1" w:lastRow="1" w:firstColumn="1" w:lastColumn="1" w:noHBand="0" w:noVBand="0"/>
      </w:tblPr>
      <w:tblGrid>
        <w:gridCol w:w="4452"/>
        <w:gridCol w:w="5403"/>
      </w:tblGrid>
      <w:tr>
        <w:tc>
          <w:tcPr>
            <w:tcW w:w="4452" w:type="dxa"/>
            <w:shd w:val="clear" w:color="auto" w:fill="auto"/>
          </w:tcPr>
          <w:p>
            <w:pPr>
              <w:ind w:left="567"/>
              <w:rPr>
                <w:noProof/>
              </w:rPr>
            </w:pPr>
          </w:p>
        </w:tc>
        <w:tc>
          <w:tcPr>
            <w:tcW w:w="5403" w:type="dxa"/>
            <w:shd w:val="clear" w:color="auto" w:fill="auto"/>
          </w:tcPr>
          <w:p>
            <w:pPr>
              <w:ind w:left="567"/>
              <w:rPr>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noProof/>
              </w:rPr>
            </w:pPr>
            <w:r>
              <w:rPr>
                <w:i/>
                <w:noProof/>
              </w:rPr>
              <w:t>(Място и дата)</w:t>
            </w:r>
          </w:p>
        </w:tc>
      </w:tr>
      <w:tr>
        <w:tc>
          <w:tcPr>
            <w:tcW w:w="4452" w:type="dxa"/>
            <w:shd w:val="clear" w:color="auto" w:fill="auto"/>
          </w:tcPr>
          <w:p>
            <w:pPr>
              <w:ind w:left="567"/>
              <w:rPr>
                <w:noProof/>
              </w:rPr>
            </w:pPr>
          </w:p>
        </w:tc>
        <w:tc>
          <w:tcPr>
            <w:tcW w:w="5403" w:type="dxa"/>
            <w:shd w:val="clear" w:color="auto" w:fill="auto"/>
          </w:tcPr>
          <w:p>
            <w:pPr>
              <w:ind w:left="567"/>
              <w:rPr>
                <w:i/>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i/>
                <w:noProof/>
              </w:rPr>
            </w:pPr>
            <w:r>
              <w:rPr>
                <w:i/>
                <w:noProof/>
              </w:rPr>
              <w:t>(Подпис)</w:t>
            </w:r>
          </w:p>
        </w:tc>
      </w:tr>
    </w:tbl>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1" w:name="_Toc204060735"/>
      <w:r>
        <w:rPr>
          <w:b/>
          <w:noProof/>
          <w:u w:val="single"/>
        </w:rPr>
        <w:lastRenderedPageBreak/>
        <w:t>ПРИЛОЖЕНИЕ IV</w:t>
      </w:r>
    </w:p>
    <w:p>
      <w:pPr>
        <w:jc w:val="center"/>
        <w:rPr>
          <w:noProof/>
        </w:rPr>
      </w:pPr>
      <w:r>
        <w:rPr>
          <w:noProof/>
        </w:rPr>
        <w:t>ДЕКЛАРАЦИЯ ЗА ПРОИЗХОД</w:t>
      </w:r>
      <w:bookmarkEnd w:id="11"/>
    </w:p>
    <w:p>
      <w:pPr>
        <w:rPr>
          <w:noProof/>
        </w:rPr>
      </w:pPr>
      <w:r>
        <w:rPr>
          <w:noProof/>
        </w:rPr>
        <w:t>При изготвянето на декларацията за произход, чийто текст е даден по-долу, трябва да се вземат предвид бележките под линия. Не е необходимо обаче бележките под линия да бъдат възпроизвеждани.</w:t>
      </w:r>
    </w:p>
    <w:p>
      <w:pPr>
        <w:jc w:val="center"/>
        <w:rPr>
          <w:bCs/>
          <w:noProof/>
        </w:rPr>
      </w:pPr>
      <w:r>
        <w:rPr>
          <w:noProof/>
        </w:rPr>
        <w:t>Текст на български език</w:t>
      </w:r>
    </w:p>
    <w:p>
      <w:pPr>
        <w:spacing w:after="240"/>
        <w:rPr>
          <w:noProof/>
        </w:rPr>
      </w:pPr>
      <w:r>
        <w:rPr>
          <w:noProof/>
        </w:rPr>
        <w:t>Износителят на продуктите, обхванати от този документ (митническо разрешение № …</w:t>
      </w:r>
      <w:r>
        <w:rPr>
          <w:b/>
          <w:noProof/>
          <w:vertAlign w:val="superscript"/>
        </w:rPr>
        <w:t>(1)</w:t>
      </w:r>
      <w:r>
        <w:rPr>
          <w:noProof/>
        </w:rPr>
        <w:t>) декларира, че освен ако не е посочено друго, тези продукти са с преференциален</w:t>
      </w:r>
      <w:r>
        <w:rPr>
          <w:noProof/>
        </w:rPr>
        <w:br/>
        <w:t xml:space="preserve">произход ... </w:t>
      </w:r>
      <w:r>
        <w:rPr>
          <w:b/>
          <w:noProof/>
          <w:vertAlign w:val="superscript"/>
        </w:rPr>
        <w:t>(2)</w:t>
      </w:r>
      <w:r>
        <w:rPr>
          <w:noProof/>
        </w:rPr>
        <w:t>.</w:t>
      </w:r>
    </w:p>
    <w:p>
      <w:pPr>
        <w:jc w:val="center"/>
        <w:rPr>
          <w:noProof/>
        </w:rPr>
      </w:pPr>
      <w:r>
        <w:rPr>
          <w:noProof/>
        </w:rPr>
        <w:t>Текст на испански език</w:t>
      </w:r>
    </w:p>
    <w:p>
      <w:pPr>
        <w:spacing w:after="240"/>
        <w:rPr>
          <w:noProof/>
        </w:rPr>
      </w:pPr>
      <w:r>
        <w:rPr>
          <w:noProof/>
        </w:rPr>
        <w:t>El exportador de los productos incluidos en el presente documento (autorización aduanera</w:t>
      </w:r>
      <w:r>
        <w:rPr>
          <w:noProof/>
        </w:rPr>
        <w:br/>
        <w:t>n° .. …</w:t>
      </w:r>
      <w:r>
        <w:rPr>
          <w:b/>
          <w:noProof/>
          <w:vertAlign w:val="superscript"/>
        </w:rPr>
        <w:t>(1)</w:t>
      </w:r>
      <w:r>
        <w:rPr>
          <w:noProof/>
        </w:rPr>
        <w:t>) declara que, salvo indicación en sentido contrario, estos productos gozan de un origen preferencial …</w:t>
      </w:r>
      <w:r>
        <w:rPr>
          <w:b/>
          <w:noProof/>
          <w:vertAlign w:val="superscript"/>
        </w:rPr>
        <w:t>(2)</w:t>
      </w:r>
      <w:r>
        <w:rPr>
          <w:noProof/>
        </w:rPr>
        <w:t>.</w:t>
      </w:r>
    </w:p>
    <w:p>
      <w:pPr>
        <w:jc w:val="center"/>
        <w:rPr>
          <w:noProof/>
        </w:rPr>
      </w:pPr>
      <w:r>
        <w:rPr>
          <w:noProof/>
        </w:rPr>
        <w:t>Текст на хърватски език</w:t>
      </w:r>
    </w:p>
    <w:p>
      <w:pPr>
        <w:spacing w:after="240"/>
        <w:rPr>
          <w:noProof/>
        </w:rPr>
      </w:pPr>
      <w:r>
        <w:rPr>
          <w:noProof/>
        </w:rPr>
        <w:t xml:space="preserve">Izvoznik proizvoda obuhvaćenih ovom ispravom (carinsko ovlaštenje br. ... </w:t>
      </w:r>
      <w:r>
        <w:rPr>
          <w:b/>
          <w:noProof/>
          <w:vertAlign w:val="superscript"/>
        </w:rPr>
        <w:t>(1)</w:t>
      </w:r>
      <w:r>
        <w:rPr>
          <w:b/>
          <w:noProof/>
        </w:rPr>
        <w:t>)</w:t>
      </w:r>
      <w:r>
        <w:rPr>
          <w:noProof/>
        </w:rPr>
        <w:t xml:space="preserve">izjavljuje da su, osim ako je drukčije izričito navedeno, ovi proizvodi ... </w:t>
      </w:r>
      <w:r>
        <w:rPr>
          <w:b/>
          <w:noProof/>
          <w:vertAlign w:val="superscript"/>
        </w:rPr>
        <w:t>(2)</w:t>
      </w:r>
      <w:r>
        <w:rPr>
          <w:noProof/>
        </w:rPr>
        <w:t>preferencijalnog podrijetla.</w:t>
      </w:r>
    </w:p>
    <w:p>
      <w:pPr>
        <w:jc w:val="center"/>
        <w:rPr>
          <w:noProof/>
        </w:rPr>
      </w:pPr>
      <w:r>
        <w:rPr>
          <w:noProof/>
        </w:rPr>
        <w:t>Текст на чешки език</w:t>
      </w:r>
    </w:p>
    <w:p>
      <w:pPr>
        <w:spacing w:after="240"/>
        <w:rPr>
          <w:noProof/>
        </w:rPr>
      </w:pPr>
      <w:r>
        <w:rPr>
          <w:noProof/>
        </w:rPr>
        <w:t>Vývozce výrobků uvedených v tomto dokumentu (číslo povolení …</w:t>
      </w:r>
      <w:r>
        <w:rPr>
          <w:b/>
          <w:noProof/>
          <w:vertAlign w:val="superscript"/>
        </w:rPr>
        <w:t>(1)</w:t>
      </w:r>
      <w:r>
        <w:rPr>
          <w:noProof/>
        </w:rPr>
        <w:t>) prohlašuje, že kromě zřetelně označených mají tyto výrobky preferenční původ v …</w:t>
      </w:r>
      <w:r>
        <w:rPr>
          <w:b/>
          <w:noProof/>
          <w:vertAlign w:val="superscript"/>
        </w:rPr>
        <w:t>(2</w:t>
      </w:r>
      <w:r>
        <w:rPr>
          <w:noProof/>
          <w:vertAlign w:val="superscript"/>
        </w:rPr>
        <w:t>)</w:t>
      </w:r>
      <w:r>
        <w:rPr>
          <w:noProof/>
        </w:rPr>
        <w:t>.</w:t>
      </w:r>
    </w:p>
    <w:p>
      <w:pPr>
        <w:jc w:val="center"/>
        <w:rPr>
          <w:noProof/>
        </w:rPr>
      </w:pPr>
      <w:r>
        <w:rPr>
          <w:noProof/>
        </w:rPr>
        <w:t>Текст на датски език</w:t>
      </w:r>
    </w:p>
    <w:p>
      <w:pPr>
        <w:spacing w:after="240"/>
        <w:rPr>
          <w:noProof/>
        </w:rPr>
      </w:pPr>
      <w:r>
        <w:rPr>
          <w:noProof/>
        </w:rPr>
        <w:t>Eksportøren af varer, der er omfattet af nærværende dokument, (toldmyndighedernes tilladelse nr. ...</w:t>
      </w:r>
      <w:r>
        <w:rPr>
          <w:b/>
          <w:noProof/>
          <w:vertAlign w:val="superscript"/>
        </w:rPr>
        <w:t>(1)</w:t>
      </w:r>
      <w:r>
        <w:rPr>
          <w:noProof/>
        </w:rPr>
        <w:t>), erklærer, at varerne, medmindre andet tydeligt er angivet, har præferenceoprindelse i ...</w:t>
      </w:r>
      <w:r>
        <w:rPr>
          <w:b/>
          <w:noProof/>
          <w:vertAlign w:val="superscript"/>
        </w:rPr>
        <w:t>(2)</w:t>
      </w:r>
      <w:r>
        <w:rPr>
          <w:noProof/>
        </w:rPr>
        <w:t>.</w:t>
      </w:r>
    </w:p>
    <w:p>
      <w:pPr>
        <w:jc w:val="center"/>
        <w:rPr>
          <w:noProof/>
        </w:rPr>
      </w:pPr>
      <w:r>
        <w:rPr>
          <w:noProof/>
        </w:rPr>
        <w:t>Текст на немски език</w:t>
      </w:r>
    </w:p>
    <w:p>
      <w:pPr>
        <w:spacing w:after="240"/>
        <w:rPr>
          <w:noProof/>
        </w:rPr>
      </w:pPr>
      <w:r>
        <w:rPr>
          <w:noProof/>
        </w:rPr>
        <w:t>Der Ausführer (Ermächtigter Ausführer; Bewilligungs-Nr. ...</w:t>
      </w:r>
      <w:r>
        <w:rPr>
          <w:b/>
          <w:noProof/>
          <w:vertAlign w:val="superscript"/>
        </w:rPr>
        <w:t>(1)</w:t>
      </w:r>
      <w:r>
        <w:rPr>
          <w:noProof/>
        </w:rPr>
        <w:t>) der Waren, auf die sich dieses Handelspapier bezieht, erklärt, dass diese Waren, soweit nicht anderes angegeben, präferenzbegünstigte ...</w:t>
      </w:r>
      <w:r>
        <w:rPr>
          <w:b/>
          <w:noProof/>
          <w:vertAlign w:val="superscript"/>
        </w:rPr>
        <w:t>(2)</w:t>
      </w:r>
      <w:r>
        <w:rPr>
          <w:noProof/>
        </w:rPr>
        <w:t xml:space="preserve"> Ursprungswaren sind.</w:t>
      </w:r>
    </w:p>
    <w:p>
      <w:pPr>
        <w:jc w:val="center"/>
        <w:rPr>
          <w:noProof/>
        </w:rPr>
      </w:pPr>
      <w:r>
        <w:rPr>
          <w:noProof/>
        </w:rPr>
        <w:t>Текст на естонски език</w:t>
      </w:r>
    </w:p>
    <w:p>
      <w:pPr>
        <w:spacing w:after="240"/>
        <w:rPr>
          <w:noProof/>
        </w:rPr>
      </w:pPr>
      <w:r>
        <w:rPr>
          <w:noProof/>
        </w:rPr>
        <w:t>Käesoleva dokumendiga hõlmatud toodete eksportija (tolli kinnitus nr. ...</w:t>
      </w:r>
      <w:r>
        <w:rPr>
          <w:b/>
          <w:noProof/>
          <w:vertAlign w:val="superscript"/>
        </w:rPr>
        <w:t>(1)</w:t>
      </w:r>
      <w:r>
        <w:rPr>
          <w:noProof/>
        </w:rPr>
        <w:t>) deklareerib, et need tooted on ...</w:t>
      </w:r>
      <w:r>
        <w:rPr>
          <w:b/>
          <w:noProof/>
          <w:vertAlign w:val="superscript"/>
        </w:rPr>
        <w:t>(2)</w:t>
      </w:r>
      <w:r>
        <w:rPr>
          <w:noProof/>
        </w:rPr>
        <w:t xml:space="preserve"> sooduspäritoluga, välja arvatud juhul, kui on selgelt näidatud teisiti.</w:t>
      </w:r>
    </w:p>
    <w:p>
      <w:pPr>
        <w:jc w:val="center"/>
        <w:rPr>
          <w:noProof/>
        </w:rPr>
      </w:pPr>
      <w:r>
        <w:rPr>
          <w:noProof/>
        </w:rPr>
        <w:t>Текст на гръцки език</w:t>
      </w:r>
    </w:p>
    <w:p>
      <w:pPr>
        <w:spacing w:after="240"/>
        <w:rPr>
          <w:noProof/>
        </w:rPr>
      </w:pPr>
      <w:r>
        <w:rPr>
          <w:noProof/>
        </w:rPr>
        <w:t>Ο εξαγωγέας των προϊόντων που καλύπτονται από το παρόν έγγραφο (άδεια τελωνείου υπ΄αριθ. ...</w:t>
      </w:r>
      <w:r>
        <w:rPr>
          <w:b/>
          <w:noProof/>
          <w:vertAlign w:val="superscript"/>
        </w:rPr>
        <w:t>(1)</w:t>
      </w:r>
      <w:r>
        <w:rPr>
          <w:noProof/>
        </w:rPr>
        <w:t>) δηλώνει ότι, εκτός εάν δηλώνεται σαφώς άλλως, τα προϊόντα αυτά είναι προτιμησιακής καταγωγής ...</w:t>
      </w:r>
      <w:r>
        <w:rPr>
          <w:b/>
          <w:noProof/>
          <w:vertAlign w:val="superscript"/>
        </w:rPr>
        <w:t>(2)</w:t>
      </w:r>
      <w:r>
        <w:rPr>
          <w:noProof/>
        </w:rPr>
        <w:t>.</w:t>
      </w:r>
    </w:p>
    <w:p>
      <w:pPr>
        <w:jc w:val="center"/>
        <w:rPr>
          <w:noProof/>
        </w:rPr>
      </w:pPr>
      <w:r>
        <w:rPr>
          <w:noProof/>
        </w:rPr>
        <w:lastRenderedPageBreak/>
        <w:t>Текст на английски език</w:t>
      </w:r>
    </w:p>
    <w:p>
      <w:pPr>
        <w:spacing w:after="240"/>
        <w:rPr>
          <w:noProof/>
        </w:rPr>
      </w:pPr>
      <w:r>
        <w:rPr>
          <w:noProof/>
        </w:rPr>
        <w:t>The exporter of the products covered by this document (customs authorisation No ...</w:t>
      </w:r>
      <w:r>
        <w:rPr>
          <w:b/>
          <w:noProof/>
          <w:vertAlign w:val="superscript"/>
        </w:rPr>
        <w:t>(1)</w:t>
      </w:r>
      <w:r>
        <w:rPr>
          <w:noProof/>
        </w:rPr>
        <w:t>) declares that, except where otherwise clearly indicated, these products are of ...</w:t>
      </w:r>
      <w:r>
        <w:rPr>
          <w:b/>
          <w:noProof/>
          <w:vertAlign w:val="superscript"/>
        </w:rPr>
        <w:t>(2)</w:t>
      </w:r>
      <w:r>
        <w:rPr>
          <w:noProof/>
        </w:rPr>
        <w:t xml:space="preserve"> preferential origin.</w:t>
      </w:r>
    </w:p>
    <w:p>
      <w:pPr>
        <w:jc w:val="center"/>
        <w:rPr>
          <w:noProof/>
        </w:rPr>
      </w:pPr>
      <w:r>
        <w:rPr>
          <w:noProof/>
        </w:rPr>
        <w:t>Текст на френски език</w:t>
      </w:r>
    </w:p>
    <w:p>
      <w:pPr>
        <w:spacing w:after="240"/>
        <w:rPr>
          <w:noProof/>
        </w:rPr>
      </w:pPr>
      <w:r>
        <w:rPr>
          <w:noProof/>
        </w:rPr>
        <w:t>L'exportateur des produits couverts par le présent document (autorisation douanière n° ...</w:t>
      </w:r>
      <w:r>
        <w:rPr>
          <w:b/>
          <w:noProof/>
          <w:vertAlign w:val="superscript"/>
        </w:rPr>
        <w:t>(1)</w:t>
      </w:r>
      <w:r>
        <w:rPr>
          <w:noProof/>
        </w:rPr>
        <w:t xml:space="preserve">) déclare que, sauf indication claire du contraire, ces produits ont l'origine préférentielle ... </w:t>
      </w:r>
      <w:r>
        <w:rPr>
          <w:b/>
          <w:noProof/>
          <w:vertAlign w:val="superscript"/>
        </w:rPr>
        <w:t>(2)</w:t>
      </w:r>
      <w:r>
        <w:rPr>
          <w:noProof/>
        </w:rPr>
        <w:t>.</w:t>
      </w:r>
    </w:p>
    <w:p>
      <w:pPr>
        <w:jc w:val="center"/>
        <w:rPr>
          <w:noProof/>
        </w:rPr>
      </w:pPr>
      <w:r>
        <w:rPr>
          <w:noProof/>
        </w:rPr>
        <w:t>Текст на италиански език</w:t>
      </w:r>
    </w:p>
    <w:p>
      <w:pPr>
        <w:spacing w:after="240"/>
        <w:rPr>
          <w:noProof/>
        </w:rPr>
      </w:pPr>
      <w:r>
        <w:rPr>
          <w:noProof/>
        </w:rPr>
        <w:t>L'esportatore delle merci contemplate nel presente documento (autorizzazione doganale n…</w:t>
      </w:r>
      <w:r>
        <w:rPr>
          <w:b/>
          <w:noProof/>
          <w:vertAlign w:val="superscript"/>
        </w:rPr>
        <w:t>(1)</w:t>
      </w:r>
      <w:r>
        <w:rPr>
          <w:noProof/>
        </w:rPr>
        <w:t>) dichiara che, salvo indicazione contraria, le merci sono di origine preferenziale ....</w:t>
      </w:r>
      <w:r>
        <w:rPr>
          <w:b/>
          <w:noProof/>
          <w:vertAlign w:val="superscript"/>
        </w:rPr>
        <w:t>(2)</w:t>
      </w:r>
      <w:r>
        <w:rPr>
          <w:noProof/>
        </w:rPr>
        <w:t>.</w:t>
      </w:r>
    </w:p>
    <w:p>
      <w:pPr>
        <w:jc w:val="center"/>
        <w:rPr>
          <w:noProof/>
        </w:rPr>
      </w:pPr>
      <w:r>
        <w:rPr>
          <w:noProof/>
        </w:rPr>
        <w:t>Текст на латвийски език</w:t>
      </w:r>
    </w:p>
    <w:p>
      <w:pPr>
        <w:tabs>
          <w:tab w:val="left" w:pos="-284"/>
          <w:tab w:val="left" w:pos="8880"/>
        </w:tabs>
        <w:spacing w:after="240"/>
        <w:rPr>
          <w:noProof/>
        </w:rPr>
      </w:pPr>
      <w:r>
        <w:rPr>
          <w:noProof/>
          <w:color w:val="000000"/>
        </w:rPr>
        <w:t>To produktu eksportētājs, kuri ietverti šajā dokumentā (muitas atļauja Nr. …</w:t>
      </w:r>
      <w:r>
        <w:rPr>
          <w:b/>
          <w:noProof/>
          <w:color w:val="000000"/>
          <w:vertAlign w:val="superscript"/>
        </w:rPr>
        <w:t>(1)</w:t>
      </w:r>
      <w:r>
        <w:rPr>
          <w:noProof/>
          <w:color w:val="000000"/>
        </w:rPr>
        <w:t>), deklarē, ka, izņemot tur, kur ir citādi skaidri noteikts, šiem produktiem ir preferenciāla izcelsme …</w:t>
      </w:r>
      <w:r>
        <w:rPr>
          <w:b/>
          <w:noProof/>
          <w:color w:val="000000"/>
          <w:vertAlign w:val="superscript"/>
        </w:rPr>
        <w:t>(2)</w:t>
      </w:r>
      <w:r>
        <w:rPr>
          <w:noProof/>
          <w:color w:val="000000"/>
        </w:rPr>
        <w:t>.</w:t>
      </w:r>
    </w:p>
    <w:p>
      <w:pPr>
        <w:jc w:val="center"/>
        <w:rPr>
          <w:noProof/>
        </w:rPr>
      </w:pPr>
      <w:r>
        <w:rPr>
          <w:noProof/>
        </w:rPr>
        <w:t>Текст на литовски език</w:t>
      </w:r>
    </w:p>
    <w:p>
      <w:pPr>
        <w:tabs>
          <w:tab w:val="left" w:pos="-284"/>
          <w:tab w:val="left" w:pos="8880"/>
        </w:tabs>
        <w:spacing w:after="240"/>
        <w:rPr>
          <w:noProof/>
        </w:rPr>
      </w:pPr>
      <w:r>
        <w:rPr>
          <w:noProof/>
        </w:rPr>
        <w:t>Šiame dokumente išvardytų produktų eksportuotojas (muitinės liudijimo Nr …</w:t>
      </w:r>
      <w:r>
        <w:rPr>
          <w:b/>
          <w:noProof/>
          <w:vertAlign w:val="superscript"/>
        </w:rPr>
        <w:t>(1)</w:t>
      </w:r>
      <w:r>
        <w:rPr>
          <w:noProof/>
        </w:rPr>
        <w:t>) deklaruoja, kad, jeigu kitaip nenurodyta, tai yra …</w:t>
      </w:r>
      <w:r>
        <w:rPr>
          <w:b/>
          <w:noProof/>
          <w:vertAlign w:val="superscript"/>
        </w:rPr>
        <w:t>(2)</w:t>
      </w:r>
      <w:r>
        <w:rPr>
          <w:noProof/>
        </w:rPr>
        <w:t>preferencinės kilmės produktai.</w:t>
      </w:r>
    </w:p>
    <w:p>
      <w:pPr>
        <w:jc w:val="center"/>
        <w:rPr>
          <w:noProof/>
        </w:rPr>
      </w:pPr>
      <w:r>
        <w:rPr>
          <w:noProof/>
        </w:rPr>
        <w:t>Текст на унгарски език</w:t>
      </w:r>
    </w:p>
    <w:p>
      <w:pPr>
        <w:spacing w:after="240"/>
        <w:rPr>
          <w:noProof/>
        </w:rPr>
      </w:pPr>
      <w:r>
        <w:rPr>
          <w:noProof/>
        </w:rPr>
        <w:t>A jelen okmányban szereplő áruk exportőre (vámfelhatalmazási szám: ...</w:t>
      </w:r>
      <w:r>
        <w:rPr>
          <w:b/>
          <w:noProof/>
          <w:vertAlign w:val="superscript"/>
        </w:rPr>
        <w:t>(1)</w:t>
      </w:r>
      <w:r>
        <w:rPr>
          <w:noProof/>
        </w:rPr>
        <w:t>) kijelentem, hogy eltérő egyértelmű jelzés hiányában az áruk preferenciális ...</w:t>
      </w:r>
      <w:r>
        <w:rPr>
          <w:b/>
          <w:noProof/>
          <w:vertAlign w:val="superscript"/>
        </w:rPr>
        <w:t>(2)</w:t>
      </w:r>
      <w:r>
        <w:rPr>
          <w:noProof/>
        </w:rPr>
        <w:t xml:space="preserve"> származásúak.</w:t>
      </w:r>
    </w:p>
    <w:p>
      <w:pPr>
        <w:jc w:val="center"/>
        <w:rPr>
          <w:noProof/>
        </w:rPr>
      </w:pPr>
      <w:r>
        <w:rPr>
          <w:noProof/>
        </w:rPr>
        <w:t>Текст на малтийски език</w:t>
      </w:r>
    </w:p>
    <w:p>
      <w:pPr>
        <w:spacing w:after="240"/>
        <w:rPr>
          <w:noProof/>
        </w:rPr>
      </w:pPr>
      <w:r>
        <w:rPr>
          <w:noProof/>
        </w:rPr>
        <w:t>L-esportatur tal-prodotti koperti b'dan id-dokument (awtorizzazzjoni tad-dwana nru. …</w:t>
      </w:r>
      <w:r>
        <w:rPr>
          <w:b/>
          <w:noProof/>
          <w:vertAlign w:val="superscript"/>
        </w:rPr>
        <w:t>(1)</w:t>
      </w:r>
      <w:r>
        <w:rPr>
          <w:noProof/>
        </w:rPr>
        <w:t>) jiddikjara li, ħlief fejn indikat b'mod ċar li mhux hekk, dawn il-prodotti huma ta' oriġini preferenzjali …</w:t>
      </w:r>
      <w:r>
        <w:rPr>
          <w:b/>
          <w:noProof/>
          <w:vertAlign w:val="superscript"/>
        </w:rPr>
        <w:t>(2)</w:t>
      </w:r>
      <w:r>
        <w:rPr>
          <w:noProof/>
        </w:rPr>
        <w:t>.</w:t>
      </w:r>
    </w:p>
    <w:p>
      <w:pPr>
        <w:jc w:val="center"/>
        <w:rPr>
          <w:noProof/>
        </w:rPr>
      </w:pPr>
      <w:r>
        <w:rPr>
          <w:noProof/>
        </w:rPr>
        <w:t>Текст на нидерландски език</w:t>
      </w:r>
    </w:p>
    <w:p>
      <w:pPr>
        <w:spacing w:after="240"/>
        <w:rPr>
          <w:noProof/>
        </w:rPr>
      </w:pPr>
      <w:r>
        <w:rPr>
          <w:noProof/>
        </w:rPr>
        <w:t>De exporteur van de goederen waarop dit document van toepassing is (douanevergunning nr. ...</w:t>
      </w:r>
      <w:r>
        <w:rPr>
          <w:b/>
          <w:noProof/>
          <w:vertAlign w:val="superscript"/>
        </w:rPr>
        <w:t>(1)</w:t>
      </w:r>
      <w:r>
        <w:rPr>
          <w:noProof/>
        </w:rPr>
        <w:t xml:space="preserve">), verklaart dat, behoudens uitdrukkelijke andersluidende vermelding, deze goederen van preferentiële oorsprong zijn uit….. </w:t>
      </w:r>
      <w:r>
        <w:rPr>
          <w:b/>
          <w:noProof/>
          <w:vertAlign w:val="superscript"/>
        </w:rPr>
        <w:t>(2)</w:t>
      </w:r>
      <w:r>
        <w:rPr>
          <w:noProof/>
        </w:rPr>
        <w:t>.</w:t>
      </w:r>
    </w:p>
    <w:p>
      <w:pPr>
        <w:jc w:val="center"/>
        <w:rPr>
          <w:noProof/>
        </w:rPr>
      </w:pPr>
      <w:r>
        <w:rPr>
          <w:noProof/>
        </w:rPr>
        <w:t>Текст на полски език</w:t>
      </w:r>
    </w:p>
    <w:p>
      <w:pPr>
        <w:spacing w:after="240"/>
        <w:rPr>
          <w:noProof/>
        </w:rPr>
      </w:pPr>
      <w:r>
        <w:rPr>
          <w:noProof/>
        </w:rPr>
        <w:t>Eksporter produktów objętych tym dokumentem (upoważnienie władz celnych nr …</w:t>
      </w:r>
      <w:r>
        <w:rPr>
          <w:b/>
          <w:noProof/>
          <w:vertAlign w:val="superscript"/>
        </w:rPr>
        <w:t>(1)</w:t>
      </w:r>
      <w:r>
        <w:rPr>
          <w:noProof/>
        </w:rPr>
        <w:t>) deklaruje, że z wyjątkiem gdzie jest to wyraźnie określone, produkty te mają preferencyjne pochodzenie z …</w:t>
      </w:r>
      <w:r>
        <w:rPr>
          <w:b/>
          <w:noProof/>
          <w:vertAlign w:val="superscript"/>
        </w:rPr>
        <w:t>(2)</w:t>
      </w:r>
      <w:r>
        <w:rPr>
          <w:noProof/>
        </w:rPr>
        <w:t>.</w:t>
      </w:r>
    </w:p>
    <w:p>
      <w:pPr>
        <w:jc w:val="center"/>
        <w:rPr>
          <w:noProof/>
        </w:rPr>
      </w:pPr>
      <w:r>
        <w:rPr>
          <w:noProof/>
        </w:rPr>
        <w:t>Текст на португалски език</w:t>
      </w:r>
    </w:p>
    <w:p>
      <w:pPr>
        <w:spacing w:after="240"/>
        <w:rPr>
          <w:noProof/>
        </w:rPr>
      </w:pPr>
      <w:r>
        <w:rPr>
          <w:noProof/>
        </w:rPr>
        <w:t>O abaixo</w:t>
      </w:r>
      <w:r>
        <w:rPr>
          <w:noProof/>
        </w:rPr>
        <w:softHyphen/>
        <w:t>-assinado, exportador dos produtos abrangidos pelo presente documento (autorização aduaneira n°. ...</w:t>
      </w:r>
      <w:r>
        <w:rPr>
          <w:b/>
          <w:noProof/>
          <w:vertAlign w:val="superscript"/>
        </w:rPr>
        <w:t>(1)</w:t>
      </w:r>
      <w:r>
        <w:rPr>
          <w:noProof/>
        </w:rPr>
        <w:t>), declara que, salvo indicação expressa em contrário, estes produtos são de origem preferencial ...</w:t>
      </w:r>
      <w:r>
        <w:rPr>
          <w:b/>
          <w:noProof/>
          <w:vertAlign w:val="superscript"/>
        </w:rPr>
        <w:t>(2)</w:t>
      </w:r>
      <w:r>
        <w:rPr>
          <w:noProof/>
        </w:rPr>
        <w:t>.</w:t>
      </w:r>
    </w:p>
    <w:p>
      <w:pPr>
        <w:jc w:val="center"/>
        <w:rPr>
          <w:bCs/>
          <w:noProof/>
        </w:rPr>
      </w:pPr>
      <w:r>
        <w:rPr>
          <w:noProof/>
        </w:rPr>
        <w:lastRenderedPageBreak/>
        <w:t>Текст на румънски език</w:t>
      </w:r>
    </w:p>
    <w:p>
      <w:pPr>
        <w:spacing w:after="240"/>
        <w:rPr>
          <w:noProof/>
        </w:rPr>
      </w:pPr>
      <w:r>
        <w:rPr>
          <w:noProof/>
        </w:rPr>
        <w:t>Exportatorul produselor ce fac obiectul acestui document (autorizaţia vamală nr. …(1)) declară că, exceptând cazul în care în mod expres este indicat altfel, aceste produse sunt de origine preferenţială…</w:t>
      </w:r>
      <w:r>
        <w:rPr>
          <w:b/>
          <w:noProof/>
          <w:vertAlign w:val="superscript"/>
        </w:rPr>
        <w:t>(2)</w:t>
      </w:r>
      <w:r>
        <w:rPr>
          <w:noProof/>
        </w:rPr>
        <w:t>.</w:t>
      </w:r>
    </w:p>
    <w:p>
      <w:pPr>
        <w:jc w:val="center"/>
        <w:rPr>
          <w:noProof/>
        </w:rPr>
      </w:pPr>
      <w:r>
        <w:rPr>
          <w:noProof/>
        </w:rPr>
        <w:t>Текст на словенски език</w:t>
      </w:r>
    </w:p>
    <w:p>
      <w:pPr>
        <w:spacing w:after="240"/>
        <w:rPr>
          <w:noProof/>
        </w:rPr>
      </w:pPr>
      <w:r>
        <w:rPr>
          <w:noProof/>
        </w:rPr>
        <w:t>Izvoznik blaga, zajetega v tem dokumentu (pooblastilo carinskih organov št …</w:t>
      </w:r>
      <w:r>
        <w:rPr>
          <w:b/>
          <w:noProof/>
          <w:vertAlign w:val="superscript"/>
        </w:rPr>
        <w:t>(1)</w:t>
      </w:r>
      <w:r>
        <w:rPr>
          <w:noProof/>
        </w:rPr>
        <w:t>), izjavlja, da, razen če ni drugače jasno navedeno, ima to blago preferencialno …</w:t>
      </w:r>
      <w:r>
        <w:rPr>
          <w:b/>
          <w:noProof/>
          <w:vertAlign w:val="superscript"/>
        </w:rPr>
        <w:t>(2)</w:t>
      </w:r>
      <w:r>
        <w:rPr>
          <w:noProof/>
        </w:rPr>
        <w:t xml:space="preserve"> poreklo.</w:t>
      </w:r>
    </w:p>
    <w:p>
      <w:pPr>
        <w:jc w:val="center"/>
        <w:rPr>
          <w:noProof/>
        </w:rPr>
      </w:pPr>
      <w:r>
        <w:rPr>
          <w:noProof/>
        </w:rPr>
        <w:t>Текст на словашки език</w:t>
      </w:r>
    </w:p>
    <w:p>
      <w:pPr>
        <w:spacing w:after="240"/>
        <w:rPr>
          <w:noProof/>
        </w:rPr>
      </w:pPr>
      <w:r>
        <w:rPr>
          <w:noProof/>
        </w:rPr>
        <w:t>Vývozca výrobkov uvedených v tomto dokumente (číslo povolenia …</w:t>
      </w:r>
      <w:r>
        <w:rPr>
          <w:b/>
          <w:noProof/>
          <w:vertAlign w:val="superscript"/>
        </w:rPr>
        <w:t>(1)</w:t>
      </w:r>
      <w:r>
        <w:rPr>
          <w:noProof/>
        </w:rPr>
        <w:t>) vyhlasuje, že okrem zreteľne označených, majú tieto výrobky preferenčný pôvod v …</w:t>
      </w:r>
      <w:r>
        <w:rPr>
          <w:b/>
          <w:noProof/>
          <w:vertAlign w:val="superscript"/>
        </w:rPr>
        <w:t>(2)</w:t>
      </w:r>
      <w:r>
        <w:rPr>
          <w:noProof/>
        </w:rPr>
        <w:t>.</w:t>
      </w:r>
    </w:p>
    <w:p>
      <w:pPr>
        <w:jc w:val="center"/>
        <w:rPr>
          <w:noProof/>
        </w:rPr>
      </w:pPr>
      <w:r>
        <w:rPr>
          <w:noProof/>
        </w:rPr>
        <w:t>Текст на фински език</w:t>
      </w:r>
    </w:p>
    <w:p>
      <w:pPr>
        <w:spacing w:after="240"/>
        <w:rPr>
          <w:noProof/>
        </w:rPr>
      </w:pPr>
      <w:r>
        <w:rPr>
          <w:noProof/>
        </w:rPr>
        <w:t>Tässä asiakirjassa mainittujen tuotteiden viejä (tullin lupa n:o ...</w:t>
      </w:r>
      <w:r>
        <w:rPr>
          <w:b/>
          <w:noProof/>
          <w:vertAlign w:val="superscript"/>
        </w:rPr>
        <w:t>(1)</w:t>
      </w:r>
      <w:r>
        <w:rPr>
          <w:noProof/>
        </w:rPr>
        <w:t xml:space="preserve">) ilmoittaa, että nämä tuotteet ovat, ellei toisin ole selvästi merkitty, etuuskohteluun oikeutettuja ... alkuperätuotteita </w:t>
      </w:r>
      <w:r>
        <w:rPr>
          <w:b/>
          <w:noProof/>
          <w:vertAlign w:val="superscript"/>
        </w:rPr>
        <w:t>(2)</w:t>
      </w:r>
      <w:r>
        <w:rPr>
          <w:noProof/>
        </w:rPr>
        <w:t>.</w:t>
      </w:r>
    </w:p>
    <w:p>
      <w:pPr>
        <w:jc w:val="center"/>
        <w:rPr>
          <w:noProof/>
        </w:rPr>
      </w:pPr>
      <w:r>
        <w:rPr>
          <w:noProof/>
        </w:rPr>
        <w:t>Текст на шведски език</w:t>
      </w:r>
    </w:p>
    <w:p>
      <w:pPr>
        <w:spacing w:after="240"/>
        <w:rPr>
          <w:noProof/>
        </w:rPr>
      </w:pPr>
      <w:r>
        <w:rPr>
          <w:noProof/>
        </w:rPr>
        <w:t>Exportören av de varor som omfattas av detta dokument (tullmyndighetens tillstånd nr ...</w:t>
      </w:r>
      <w:r>
        <w:rPr>
          <w:b/>
          <w:noProof/>
          <w:vertAlign w:val="superscript"/>
        </w:rPr>
        <w:t>(1)</w:t>
      </w:r>
      <w:r>
        <w:rPr>
          <w:noProof/>
        </w:rPr>
        <w:t xml:space="preserve">) försäkrar att dessa varor, om inte annat tydligt markerats, har förmånsberättigande ... ursprung </w:t>
      </w:r>
      <w:r>
        <w:rPr>
          <w:b/>
          <w:noProof/>
          <w:vertAlign w:val="superscript"/>
        </w:rPr>
        <w:t>(2)</w:t>
      </w:r>
      <w:r>
        <w:rPr>
          <w:noProof/>
        </w:rPr>
        <w:t>.</w:t>
      </w:r>
    </w:p>
    <w:tbl>
      <w:tblPr>
        <w:tblW w:w="0" w:type="auto"/>
        <w:tblLook w:val="01E0" w:firstRow="1" w:lastRow="1" w:firstColumn="1" w:lastColumn="1" w:noHBand="0" w:noVBand="0"/>
      </w:tblPr>
      <w:tblGrid>
        <w:gridCol w:w="4325"/>
        <w:gridCol w:w="5530"/>
      </w:tblGrid>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rPr>
                <w:noProof/>
              </w:rPr>
            </w:pPr>
            <w:r>
              <w:rPr>
                <w:noProof/>
              </w:rPr>
              <w:t>…………………………………………………</w:t>
            </w:r>
            <w:r>
              <w:rPr>
                <w:b/>
                <w:noProof/>
                <w:vertAlign w:val="superscript"/>
              </w:rPr>
              <w:t>(3)</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 xml:space="preserve">(Място и дата) </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w:t>
            </w:r>
            <w:r>
              <w:rPr>
                <w:b/>
                <w:noProof/>
                <w:vertAlign w:val="superscript"/>
              </w:rPr>
              <w:t>(4)</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(Подпис на износителя; освен това името на лицето, подписващо декларацията, трябва да се изпише четливо)</w:t>
            </w:r>
          </w:p>
        </w:tc>
      </w:tr>
    </w:tbl>
    <w:p>
      <w:pPr>
        <w:tabs>
          <w:tab w:val="right" w:leader="dot" w:pos="9639"/>
        </w:tabs>
        <w:rPr>
          <w:noProof/>
        </w:rPr>
      </w:pPr>
      <w:r>
        <w:rPr>
          <w:noProof/>
        </w:rPr>
        <w:t>БЕЛЕЖКИ</w:t>
      </w:r>
    </w:p>
    <w:p>
      <w:pPr>
        <w:pStyle w:val="Point0"/>
        <w:spacing w:before="0" w:after="0"/>
        <w:rPr>
          <w:noProof/>
          <w:sz w:val="20"/>
          <w:szCs w:val="20"/>
        </w:rPr>
      </w:pPr>
      <w:r>
        <w:rPr>
          <w:rStyle w:val="FootnoteReference"/>
          <w:noProof/>
          <w:sz w:val="20"/>
        </w:rPr>
        <w:t>(1)</w:t>
      </w:r>
      <w:r>
        <w:rPr>
          <w:noProof/>
        </w:rPr>
        <w:tab/>
      </w:r>
      <w:r>
        <w:rPr>
          <w:noProof/>
          <w:sz w:val="20"/>
        </w:rPr>
        <w:t>Когато декларацията за произход се изготвя от одобрен износител по смисъла на член 23 от протокола, на това място трябва да бъде вписан номерът на разрешителното на одобрения износител. Когато декларацията за произход не се изготвя от одобрен износител, думите в скоби се изпускат или мястото се оставя непопълнено.</w:t>
      </w:r>
    </w:p>
    <w:p>
      <w:pPr>
        <w:pStyle w:val="Point0"/>
        <w:spacing w:before="0" w:after="0"/>
        <w:rPr>
          <w:noProof/>
          <w:sz w:val="20"/>
          <w:szCs w:val="20"/>
        </w:rPr>
      </w:pPr>
      <w:r>
        <w:rPr>
          <w:rStyle w:val="FootnoteReference"/>
          <w:noProof/>
          <w:sz w:val="20"/>
        </w:rPr>
        <w:t>(2)</w:t>
      </w:r>
      <w:r>
        <w:rPr>
          <w:noProof/>
        </w:rPr>
        <w:tab/>
      </w:r>
      <w:r>
        <w:rPr>
          <w:noProof/>
          <w:sz w:val="20"/>
        </w:rPr>
        <w:t>Трябва да бъде посочен произходът на продуктите. Когато декларацията за произход се отнася изцяло или отчасти до продукти с произход от Сеута и Мелила по смисъла на член 41 от протокола, износителят трябва ясно да ги посочи в документа, върху който се изготвя декларацията, като ги обозначи със символа „СМ“.</w:t>
      </w:r>
    </w:p>
    <w:p>
      <w:pPr>
        <w:pStyle w:val="Point0"/>
        <w:spacing w:before="0" w:after="0"/>
        <w:rPr>
          <w:noProof/>
          <w:sz w:val="20"/>
          <w:szCs w:val="20"/>
        </w:rPr>
      </w:pPr>
      <w:r>
        <w:rPr>
          <w:rStyle w:val="FootnoteReference"/>
          <w:noProof/>
          <w:sz w:val="20"/>
        </w:rPr>
        <w:t>(3)</w:t>
      </w:r>
      <w:r>
        <w:rPr>
          <w:noProof/>
        </w:rPr>
        <w:tab/>
      </w:r>
      <w:r>
        <w:rPr>
          <w:noProof/>
          <w:sz w:val="20"/>
        </w:rPr>
        <w:t>Тези данни могат да бъдат пропуснати, ако информацията се съдържа в самия документ.</w:t>
      </w:r>
    </w:p>
    <w:p>
      <w:pPr>
        <w:pStyle w:val="Point0"/>
        <w:spacing w:before="0" w:after="0"/>
        <w:rPr>
          <w:noProof/>
          <w:sz w:val="20"/>
          <w:szCs w:val="20"/>
        </w:rPr>
      </w:pPr>
      <w:r>
        <w:rPr>
          <w:rStyle w:val="FootnoteReference"/>
          <w:noProof/>
          <w:sz w:val="20"/>
        </w:rPr>
        <w:t>(4)</w:t>
      </w:r>
      <w:r>
        <w:rPr>
          <w:noProof/>
        </w:rPr>
        <w:tab/>
      </w:r>
      <w:r>
        <w:rPr>
          <w:noProof/>
          <w:sz w:val="20"/>
        </w:rPr>
        <w:t>Вж. член 22, параграф 5 от протокола. В случаите, когато не се изисква подпис на износителя, освобождаването от изискването за подписване означава също, че не е необходимо да се посочва името на подписващия.</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2" w:name="_Toc204060736"/>
      <w:r>
        <w:rPr>
          <w:b/>
          <w:noProof/>
          <w:u w:val="single"/>
        </w:rPr>
        <w:lastRenderedPageBreak/>
        <w:t>ПРИЛОЖЕНИЕ VА</w:t>
      </w:r>
    </w:p>
    <w:p>
      <w:pPr>
        <w:spacing w:after="600"/>
        <w:jc w:val="center"/>
        <w:rPr>
          <w:noProof/>
        </w:rPr>
      </w:pPr>
      <w:r>
        <w:rPr>
          <w:noProof/>
        </w:rPr>
        <w:t>ДЕКЛАРАЦИЯ НА ДОСТАВЧИК ОТНОСНО ПРОДУКТИ, КОИТО ИМАТ ПРЕФЕРЕНЦИАЛЕН ПРОИЗХОД</w:t>
      </w:r>
      <w:bookmarkEnd w:id="12"/>
    </w:p>
    <w:p>
      <w:pPr>
        <w:tabs>
          <w:tab w:val="left" w:pos="-1170"/>
          <w:tab w:val="left" w:pos="0"/>
        </w:tabs>
        <w:rPr>
          <w:noProof/>
        </w:rPr>
      </w:pPr>
      <w:r>
        <w:rPr>
          <w:noProof/>
        </w:rPr>
        <w:t>Аз, долуподписаният, декларирам, че стоките, изброени в настоящата фактура ..................................................(</w:t>
      </w:r>
      <w:r>
        <w:rPr>
          <w:noProof/>
          <w:vertAlign w:val="superscript"/>
        </w:rPr>
        <w:t>1</w:t>
      </w:r>
      <w:r>
        <w:rPr>
          <w:noProof/>
        </w:rPr>
        <w:t>),</w:t>
      </w:r>
    </w:p>
    <w:p>
      <w:pPr>
        <w:tabs>
          <w:tab w:val="left" w:pos="-1170"/>
          <w:tab w:val="left" w:pos="0"/>
        </w:tabs>
        <w:spacing w:after="360"/>
        <w:rPr>
          <w:noProof/>
        </w:rPr>
      </w:pPr>
      <w:r>
        <w:rPr>
          <w:noProof/>
        </w:rPr>
        <w:t>са произведени в ..............................(</w:t>
      </w:r>
      <w:r>
        <w:rPr>
          <w:noProof/>
          <w:vertAlign w:val="superscript"/>
        </w:rPr>
        <w:t>2</w:t>
      </w:r>
      <w:r>
        <w:rPr>
          <w:noProof/>
        </w:rPr>
        <w:t>) и отговарят на правилата за произход, които регулират преференциалната търговия между държавите партньори от ИАО и Европейския съюз.</w:t>
      </w:r>
    </w:p>
    <w:p>
      <w:pPr>
        <w:tabs>
          <w:tab w:val="left" w:pos="-1170"/>
          <w:tab w:val="left" w:pos="0"/>
        </w:tabs>
        <w:rPr>
          <w:noProof/>
        </w:rPr>
      </w:pPr>
      <w:r>
        <w:rPr>
          <w:noProof/>
        </w:rPr>
        <w:t>Задължавам се да предоставя при поискване от митническите органи доказателства в подкрепа на настоящата декларация.</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rPr>
          <w:noProof/>
        </w:rPr>
      </w:pPr>
      <w:r>
        <w:rPr>
          <w:noProof/>
        </w:rPr>
        <w:t>...........................................(</w:t>
      </w:r>
      <w:r>
        <w:rPr>
          <w:noProof/>
          <w:vertAlign w:val="superscript"/>
        </w:rPr>
        <w:t>5</w:t>
      </w:r>
      <w:r>
        <w:rPr>
          <w:noProof/>
        </w:rPr>
        <w:t>).</w:t>
      </w:r>
    </w:p>
    <w:p>
      <w:pPr>
        <w:tabs>
          <w:tab w:val="left" w:pos="-1170"/>
          <w:tab w:val="left" w:pos="0"/>
        </w:tabs>
        <w:spacing w:before="600"/>
        <w:jc w:val="center"/>
        <w:rPr>
          <w:noProof/>
        </w:rPr>
      </w:pPr>
      <w:r>
        <w:rPr>
          <w:noProof/>
        </w:rPr>
        <w:t>Бележка</w:t>
      </w:r>
    </w:p>
    <w:p>
      <w:pPr>
        <w:tabs>
          <w:tab w:val="left" w:pos="-1170"/>
          <w:tab w:val="left" w:pos="0"/>
        </w:tabs>
        <w:spacing w:after="240"/>
        <w:rPr>
          <w:noProof/>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szCs w:val="20"/>
        </w:rPr>
        <w:t>– 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изброени в настоящата фактура и обозначени ..................., са произведени ...............................“.</w:t>
      </w:r>
      <w:r>
        <w:rPr>
          <w:noProof/>
          <w:sz w:val="20"/>
          <w:szCs w:val="20"/>
        </w:rPr>
        <w:tab/>
      </w:r>
      <w:r>
        <w:rPr>
          <w:noProof/>
          <w:sz w:val="20"/>
          <w:szCs w:val="20"/>
        </w:rPr>
        <w:br/>
        <w:t>– Ако се използва документ, различен от фактура или приложение към фактура (вж. член 30, параграф 3), вместо думата „фактура“ се вписва наименованието на съответния документ.</w:t>
      </w:r>
    </w:p>
    <w:p>
      <w:pPr>
        <w:pStyle w:val="Point0"/>
        <w:spacing w:before="0" w:after="0"/>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Европейския съюз, държава членка, държава партньор от ИАО, отделна ОСТ или друга държава от АКТБ. Когато е посочена държава партньор от ИАО, отделна ОСТ или друга държава от АКТБ, трябва да се направи позоваване и на митническото учреждение на Европейския съюз, което притежава съответния(ите) сертификат(и) EUR 1, като се посочи номерът на въпросния(те) сертификат(и) и, при възможност, съответният митнически входящ номер.</w:t>
      </w:r>
    </w:p>
    <w:p>
      <w:pPr>
        <w:pStyle w:val="Point0"/>
        <w:spacing w:before="0" w:after="0"/>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Място и дата.</w:t>
      </w:r>
    </w:p>
    <w:p>
      <w:pPr>
        <w:pStyle w:val="Point0"/>
        <w:spacing w:before="0" w:after="0"/>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Име и заемана длъжност в предприятието.</w:t>
      </w:r>
    </w:p>
    <w:p>
      <w:pPr>
        <w:pStyle w:val="Point0"/>
        <w:spacing w:before="0" w:after="0"/>
        <w:rPr>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Подпис.</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3" w:name="_Toc204060737"/>
      <w:r>
        <w:rPr>
          <w:b/>
          <w:noProof/>
          <w:u w:val="single"/>
        </w:rPr>
        <w:lastRenderedPageBreak/>
        <w:t>ПРИЛОЖЕНИЕ VБ</w:t>
      </w:r>
    </w:p>
    <w:p>
      <w:pPr>
        <w:spacing w:after="360"/>
        <w:jc w:val="center"/>
        <w:rPr>
          <w:noProof/>
        </w:rPr>
      </w:pPr>
      <w:r>
        <w:rPr>
          <w:noProof/>
        </w:rPr>
        <w:t>ДЕКЛАРАЦИЯ НА ДОСТАВЧИК ОТНОСНО ПРОДУКТИ, КОИТО НЯМАТ ПРЕФЕРЕНЦИАЛЕН ПРОИЗХОД</w:t>
      </w:r>
      <w:bookmarkEnd w:id="13"/>
    </w:p>
    <w:p>
      <w:pPr>
        <w:tabs>
          <w:tab w:val="left" w:pos="-1170"/>
          <w:tab w:val="left" w:pos="0"/>
        </w:tabs>
        <w:rPr>
          <w:noProof/>
        </w:rPr>
      </w:pPr>
      <w:r>
        <w:rPr>
          <w:noProof/>
        </w:rPr>
        <w:t>Аз, долуподписаният, декларирам, че стоките, изброени в настоящата фактура ..................(</w:t>
      </w:r>
      <w:r>
        <w:rPr>
          <w:noProof/>
          <w:vertAlign w:val="superscript"/>
        </w:rPr>
        <w:t>1</w:t>
      </w:r>
      <w:r>
        <w:rPr>
          <w:noProof/>
        </w:rPr>
        <w:t>), са произведени в ....................(</w:t>
      </w:r>
      <w:r>
        <w:rPr>
          <w:noProof/>
          <w:vertAlign w:val="superscript"/>
        </w:rPr>
        <w:t>2</w:t>
      </w:r>
      <w:r>
        <w:rPr>
          <w:noProof/>
        </w:rPr>
        <w:t>) и включват следните компоненти или материали, които не са с произход от държава партньор от ИАО, друга държава от АКТБ, ОСТ или Европейския съюз за целите на преференциалната търговия:</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rPr>
          <w:noProof/>
        </w:rPr>
      </w:pPr>
      <w:r>
        <w:rPr>
          <w:noProof/>
        </w:rPr>
        <w:t>................................................................................................................................................................</w:t>
      </w:r>
    </w:p>
    <w:p>
      <w:pPr>
        <w:tabs>
          <w:tab w:val="left" w:pos="-1170"/>
          <w:tab w:val="left" w:pos="0"/>
        </w:tabs>
        <w:rPr>
          <w:noProof/>
        </w:rPr>
      </w:pPr>
      <w:r>
        <w:rPr>
          <w:noProof/>
        </w:rPr>
        <w:t>.....................................................................….......................................................................................</w:t>
      </w:r>
    </w:p>
    <w:p>
      <w:pPr>
        <w:tabs>
          <w:tab w:val="left" w:pos="-1170"/>
          <w:tab w:val="left" w:pos="0"/>
        </w:tabs>
        <w:rPr>
          <w:noProof/>
        </w:rPr>
      </w:pPr>
      <w:r>
        <w:rPr>
          <w:noProof/>
        </w:rPr>
        <w:t>..........................................................................................................................................................(</w:t>
      </w:r>
      <w:r>
        <w:rPr>
          <w:noProof/>
          <w:vertAlign w:val="superscript"/>
        </w:rPr>
        <w:t>6</w:t>
      </w:r>
      <w:r>
        <w:rPr>
          <w:noProof/>
        </w:rPr>
        <w:t>).</w:t>
      </w:r>
    </w:p>
    <w:p>
      <w:pPr>
        <w:tabs>
          <w:tab w:val="left" w:pos="-1170"/>
          <w:tab w:val="left" w:pos="0"/>
        </w:tabs>
        <w:spacing w:before="360"/>
        <w:rPr>
          <w:noProof/>
        </w:rPr>
      </w:pPr>
      <w:r>
        <w:rPr>
          <w:noProof/>
        </w:rPr>
        <w:t>Задължавам се да предоставя при поискване от митническите органи доказателства в подкрепа на настоящата декларация.</w:t>
      </w:r>
    </w:p>
    <w:p>
      <w:pPr>
        <w:tabs>
          <w:tab w:val="left" w:pos="-1170"/>
          <w:tab w:val="left" w:pos="0"/>
        </w:tabs>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rPr>
          <w:noProof/>
        </w:rPr>
      </w:pPr>
      <w:r>
        <w:rPr>
          <w:noProof/>
        </w:rPr>
        <w:t>..........................................................................................................................................................(</w:t>
      </w:r>
      <w:r>
        <w:rPr>
          <w:noProof/>
          <w:vertAlign w:val="superscript"/>
        </w:rPr>
        <w:t>9</w:t>
      </w:r>
      <w:r>
        <w:rPr>
          <w:noProof/>
        </w:rPr>
        <w:t>).</w:t>
      </w:r>
    </w:p>
    <w:p>
      <w:pPr>
        <w:tabs>
          <w:tab w:val="left" w:pos="-1170"/>
          <w:tab w:val="left" w:pos="0"/>
        </w:tabs>
        <w:spacing w:before="360" w:after="360"/>
        <w:jc w:val="center"/>
        <w:rPr>
          <w:noProof/>
        </w:rPr>
      </w:pPr>
      <w:r>
        <w:rPr>
          <w:noProof/>
        </w:rPr>
        <w:t>Бележка</w:t>
      </w:r>
    </w:p>
    <w:p>
      <w:pPr>
        <w:tabs>
          <w:tab w:val="left" w:pos="-1170"/>
          <w:tab w:val="left" w:pos="0"/>
        </w:tabs>
        <w:rPr>
          <w:noProof/>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szCs w:val="20"/>
        </w:rPr>
        <w:t>– 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изброени в настоящата фактура и обозначени ...................., са произведени ...............................“.</w:t>
      </w:r>
      <w:r>
        <w:rPr>
          <w:noProof/>
          <w:sz w:val="20"/>
          <w:szCs w:val="20"/>
        </w:rPr>
        <w:tab/>
      </w:r>
      <w:r>
        <w:rPr>
          <w:noProof/>
          <w:sz w:val="20"/>
          <w:szCs w:val="20"/>
        </w:rPr>
        <w:br/>
        <w:t>– Ако се използва документ, различен от фактура или приложение към фактура (вж. член 30, параграф 3), вместо думата „фактура“ се вписва наименованието на съответния документ.</w:t>
      </w:r>
    </w:p>
    <w:p>
      <w:pPr>
        <w:pStyle w:val="Point0"/>
        <w:spacing w:before="0" w:after="0"/>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Европейския съюз, държава членка, държава партньор от ИАО, отделна ОСТ или друга държава от АКТБ.</w:t>
      </w:r>
    </w:p>
    <w:p>
      <w:pPr>
        <w:pStyle w:val="Point0"/>
        <w:spacing w:before="0" w:after="0"/>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Описание трябва да се направи при всички случаи. То трябва да бъде точно и достатъчно подробно, за да позволи да бъде определено тарифното класиране на съответните стоки.</w:t>
      </w:r>
    </w:p>
    <w:p>
      <w:pPr>
        <w:pStyle w:val="Point0"/>
        <w:spacing w:before="0" w:after="0"/>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Митническите стойности трябва да се впишат само ако това се изисква.</w:t>
      </w:r>
    </w:p>
    <w:p>
      <w:pPr>
        <w:pStyle w:val="Point0"/>
        <w:spacing w:before="0" w:after="0"/>
        <w:rPr>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Държавата на произход трябва да се посочи само ако това се изисква. Произходът, който трябва да се посочи, трябва да бъде преференциален произход, всички други видове произход се посочват като „трета държава“.</w:t>
      </w:r>
    </w:p>
    <w:p>
      <w:pPr>
        <w:pStyle w:val="Point0"/>
        <w:spacing w:before="0" w:after="0"/>
        <w:rPr>
          <w:noProof/>
          <w:sz w:val="20"/>
          <w:szCs w:val="20"/>
        </w:rPr>
      </w:pPr>
      <w:r>
        <w:rPr>
          <w:noProof/>
          <w:sz w:val="20"/>
          <w:szCs w:val="20"/>
        </w:rPr>
        <w:t>(</w:t>
      </w:r>
      <w:r>
        <w:rPr>
          <w:noProof/>
          <w:sz w:val="20"/>
          <w:szCs w:val="20"/>
          <w:vertAlign w:val="superscript"/>
        </w:rPr>
        <w:t>6</w:t>
      </w:r>
      <w:r>
        <w:rPr>
          <w:noProof/>
          <w:sz w:val="20"/>
          <w:szCs w:val="20"/>
        </w:rPr>
        <w:t>)</w:t>
      </w:r>
      <w:r>
        <w:rPr>
          <w:noProof/>
          <w:sz w:val="20"/>
          <w:szCs w:val="20"/>
        </w:rPr>
        <w:tab/>
        <w:t>Да се добави текстът: „и са претърпели следната преработка в [Европейския съюз] [държава членка] [държава партньор от ИАО] [ОСТ] [друга държава от АКТБ] .................................“, заедно с описание на извършената преработка, ако тази информация се изисква.</w:t>
      </w:r>
    </w:p>
    <w:p>
      <w:pPr>
        <w:pStyle w:val="Point0"/>
        <w:spacing w:before="0" w:after="0"/>
        <w:rPr>
          <w:noProof/>
          <w:sz w:val="20"/>
          <w:szCs w:val="20"/>
        </w:rPr>
      </w:pPr>
      <w:r>
        <w:rPr>
          <w:noProof/>
          <w:sz w:val="20"/>
          <w:szCs w:val="20"/>
        </w:rPr>
        <w:t>(</w:t>
      </w:r>
      <w:r>
        <w:rPr>
          <w:noProof/>
          <w:sz w:val="20"/>
          <w:szCs w:val="20"/>
          <w:vertAlign w:val="superscript"/>
        </w:rPr>
        <w:t>7</w:t>
      </w:r>
      <w:r>
        <w:rPr>
          <w:noProof/>
          <w:sz w:val="20"/>
          <w:szCs w:val="20"/>
        </w:rPr>
        <w:t>)</w:t>
      </w:r>
      <w:r>
        <w:rPr>
          <w:noProof/>
          <w:sz w:val="20"/>
          <w:szCs w:val="20"/>
        </w:rPr>
        <w:tab/>
        <w:t>Място и дата.</w:t>
      </w:r>
    </w:p>
    <w:p>
      <w:pPr>
        <w:pStyle w:val="Point0"/>
        <w:spacing w:before="0" w:after="0"/>
        <w:rPr>
          <w:noProof/>
          <w:sz w:val="20"/>
          <w:szCs w:val="20"/>
        </w:rPr>
      </w:pPr>
      <w:r>
        <w:rPr>
          <w:noProof/>
          <w:sz w:val="20"/>
          <w:szCs w:val="20"/>
        </w:rPr>
        <w:t>(</w:t>
      </w:r>
      <w:r>
        <w:rPr>
          <w:noProof/>
          <w:sz w:val="20"/>
          <w:szCs w:val="20"/>
          <w:vertAlign w:val="superscript"/>
        </w:rPr>
        <w:t>8</w:t>
      </w:r>
      <w:r>
        <w:rPr>
          <w:noProof/>
          <w:sz w:val="20"/>
          <w:szCs w:val="20"/>
        </w:rPr>
        <w:t>)</w:t>
      </w:r>
      <w:r>
        <w:rPr>
          <w:noProof/>
          <w:sz w:val="20"/>
          <w:szCs w:val="20"/>
        </w:rPr>
        <w:tab/>
        <w:t>Име и заемана длъжност в предприятието.</w:t>
      </w:r>
    </w:p>
    <w:p>
      <w:pPr>
        <w:pStyle w:val="Point0"/>
        <w:spacing w:before="0" w:after="0"/>
        <w:rPr>
          <w:noProof/>
          <w:sz w:val="20"/>
          <w:szCs w:val="20"/>
        </w:rPr>
      </w:pPr>
      <w:r>
        <w:rPr>
          <w:noProof/>
          <w:sz w:val="20"/>
          <w:szCs w:val="20"/>
        </w:rPr>
        <w:t>(</w:t>
      </w:r>
      <w:r>
        <w:rPr>
          <w:noProof/>
          <w:sz w:val="20"/>
          <w:szCs w:val="20"/>
          <w:vertAlign w:val="superscript"/>
        </w:rPr>
        <w:t>9</w:t>
      </w:r>
      <w:r>
        <w:rPr>
          <w:noProof/>
          <w:sz w:val="20"/>
          <w:szCs w:val="20"/>
        </w:rPr>
        <w:t>)</w:t>
      </w:r>
      <w:r>
        <w:rPr>
          <w:noProof/>
          <w:sz w:val="20"/>
          <w:szCs w:val="20"/>
        </w:rPr>
        <w:tab/>
        <w:t>Подпис.</w:t>
      </w:r>
    </w:p>
    <w:p>
      <w:pPr>
        <w:jc w:val="center"/>
        <w:rPr>
          <w:noProof/>
          <w:sz w:val="20"/>
        </w:rPr>
      </w:pPr>
      <w:r>
        <w:rPr>
          <w:noProof/>
          <w:sz w:val="20"/>
        </w:rPr>
        <w:lastRenderedPageBreak/>
        <w:t>________________________________</w:t>
      </w:r>
    </w:p>
    <w:p>
      <w:pPr>
        <w:tabs>
          <w:tab w:val="right" w:leader="dot" w:pos="9639"/>
        </w:tabs>
        <w:jc w:val="right"/>
        <w:rPr>
          <w:noProof/>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lastRenderedPageBreak/>
        <w:t>ПРИЛОЖЕНИЕ VВ</w:t>
      </w:r>
    </w:p>
    <w:p>
      <w:pPr>
        <w:tabs>
          <w:tab w:val="right" w:leader="dot" w:pos="9639"/>
        </w:tabs>
        <w:spacing w:after="360"/>
        <w:jc w:val="center"/>
        <w:rPr>
          <w:noProof/>
        </w:rPr>
      </w:pPr>
      <w:r>
        <w:rPr>
          <w:noProof/>
        </w:rPr>
        <w:t>Дългосрочна декларация на доставчик относно продукти, които имат преференциален произход, както е предвидено в член 28, параграф 6</w:t>
      </w:r>
    </w:p>
    <w:p>
      <w:pPr>
        <w:tabs>
          <w:tab w:val="right" w:leader="dot" w:pos="9639"/>
        </w:tabs>
        <w:rPr>
          <w:noProof/>
          <w:sz w:val="21"/>
          <w:szCs w:val="21"/>
        </w:rPr>
      </w:pPr>
      <w:r>
        <w:rPr>
          <w:noProof/>
          <w:sz w:val="21"/>
        </w:rPr>
        <w:t>Аз, долуподписаният, декларирам, че описаните по-долу стоки:</w:t>
      </w:r>
    </w:p>
    <w:p>
      <w:pPr>
        <w:tabs>
          <w:tab w:val="left" w:pos="-1170"/>
          <w:tab w:val="left" w:pos="0"/>
        </w:tabs>
        <w:spacing w:before="240" w:after="240"/>
        <w:rPr>
          <w:noProof/>
          <w:sz w:val="21"/>
          <w:szCs w:val="21"/>
        </w:rPr>
      </w:pPr>
      <w:r>
        <w:rPr>
          <w:noProof/>
          <w:sz w:val="21"/>
        </w:rPr>
        <w:t>...........................................................................................(1)</w:t>
      </w:r>
    </w:p>
    <w:p>
      <w:pPr>
        <w:tabs>
          <w:tab w:val="left" w:pos="-1170"/>
          <w:tab w:val="left" w:pos="0"/>
        </w:tabs>
        <w:spacing w:before="240" w:after="240"/>
        <w:rPr>
          <w:noProof/>
          <w:sz w:val="21"/>
          <w:szCs w:val="21"/>
        </w:rPr>
      </w:pPr>
      <w:r>
        <w:rPr>
          <w:noProof/>
          <w:sz w:val="21"/>
        </w:rPr>
        <w:t>…………………………………………………………...(2)</w:t>
      </w:r>
    </w:p>
    <w:p>
      <w:pPr>
        <w:tabs>
          <w:tab w:val="left" w:pos="-1170"/>
          <w:tab w:val="left" w:pos="0"/>
        </w:tabs>
        <w:spacing w:before="240" w:after="240"/>
        <w:rPr>
          <w:noProof/>
          <w:sz w:val="21"/>
          <w:szCs w:val="21"/>
        </w:rPr>
      </w:pPr>
      <w:r>
        <w:rPr>
          <w:noProof/>
          <w:sz w:val="21"/>
        </w:rPr>
        <w:t>които редовно се доставят на …………………………..(3), са с произход от ……………………(4) и отговарят на правилата за произход, които регулират преференциалната търговия с …………………………..(5).</w:t>
      </w:r>
    </w:p>
    <w:p>
      <w:pPr>
        <w:tabs>
          <w:tab w:val="left" w:pos="-1170"/>
          <w:tab w:val="left" w:pos="0"/>
        </w:tabs>
        <w:spacing w:before="240" w:after="240"/>
        <w:rPr>
          <w:noProof/>
          <w:sz w:val="21"/>
          <w:szCs w:val="21"/>
        </w:rPr>
      </w:pPr>
      <w:r>
        <w:rPr>
          <w:noProof/>
          <w:sz w:val="21"/>
        </w:rPr>
        <w:t>Настоящата декларация е валидна за всички последващи пратки на тези стоки, изпратени от …………. до …………………………(6).</w:t>
      </w:r>
    </w:p>
    <w:p>
      <w:pPr>
        <w:tabs>
          <w:tab w:val="left" w:pos="-1170"/>
          <w:tab w:val="left" w:pos="0"/>
        </w:tabs>
        <w:spacing w:before="360"/>
        <w:rPr>
          <w:noProof/>
          <w:sz w:val="21"/>
          <w:szCs w:val="21"/>
        </w:rPr>
      </w:pPr>
      <w:r>
        <w:rPr>
          <w:noProof/>
          <w:sz w:val="21"/>
        </w:rPr>
        <w:t>Задължавам се незабавно да уведомя ................................, ако настоящата декларация престане да бъде валидна.</w:t>
      </w:r>
    </w:p>
    <w:p>
      <w:pPr>
        <w:tabs>
          <w:tab w:val="left" w:pos="-1170"/>
          <w:tab w:val="left" w:pos="0"/>
        </w:tabs>
        <w:spacing w:before="360"/>
        <w:rPr>
          <w:noProof/>
          <w:sz w:val="21"/>
          <w:szCs w:val="21"/>
        </w:rPr>
      </w:pPr>
      <w:r>
        <w:rPr>
          <w:noProof/>
          <w:sz w:val="21"/>
        </w:rPr>
        <w:t>Задължавам се да предоставя при поискване от митническите органи всякакви допълнителни подкрепящи документи.</w:t>
      </w:r>
    </w:p>
    <w:p>
      <w:pPr>
        <w:tabs>
          <w:tab w:val="left" w:pos="-1170"/>
          <w:tab w:val="left" w:pos="0"/>
        </w:tabs>
        <w:spacing w:before="360"/>
        <w:rPr>
          <w:noProof/>
          <w:sz w:val="21"/>
          <w:szCs w:val="21"/>
        </w:rPr>
      </w:pPr>
      <w:r>
        <w:rPr>
          <w:noProof/>
          <w:sz w:val="21"/>
        </w:rPr>
        <w:t>………………………………………………(7)</w:t>
      </w:r>
    </w:p>
    <w:p>
      <w:pPr>
        <w:tabs>
          <w:tab w:val="left" w:pos="-1170"/>
          <w:tab w:val="left" w:pos="0"/>
        </w:tabs>
        <w:rPr>
          <w:noProof/>
          <w:sz w:val="21"/>
          <w:szCs w:val="21"/>
        </w:rPr>
      </w:pPr>
      <w:r>
        <w:rPr>
          <w:noProof/>
          <w:sz w:val="21"/>
        </w:rPr>
        <w:t>………………………………………………(8)</w:t>
      </w:r>
    </w:p>
    <w:p>
      <w:pPr>
        <w:tabs>
          <w:tab w:val="left" w:pos="-1170"/>
          <w:tab w:val="left" w:pos="0"/>
        </w:tabs>
        <w:spacing w:before="240" w:after="240"/>
        <w:rPr>
          <w:noProof/>
          <w:sz w:val="21"/>
          <w:szCs w:val="21"/>
        </w:rPr>
      </w:pPr>
      <w:r>
        <w:rPr>
          <w:noProof/>
          <w:sz w:val="21"/>
        </w:rPr>
        <w:t xml:space="preserve">………………………………………………(9) </w:t>
      </w:r>
    </w:p>
    <w:p>
      <w:pPr>
        <w:tabs>
          <w:tab w:val="right" w:leader="dot" w:pos="9639"/>
        </w:tabs>
        <w:spacing w:before="840" w:after="240"/>
        <w:rPr>
          <w:noProof/>
          <w:sz w:val="21"/>
          <w:szCs w:val="21"/>
        </w:rPr>
      </w:pPr>
      <w:r>
        <w:rPr>
          <w:noProof/>
          <w:sz w:val="21"/>
        </w:rPr>
        <w:t>Бележка</w:t>
      </w:r>
    </w:p>
    <w:p>
      <w:pPr>
        <w:pStyle w:val="Point0"/>
        <w:spacing w:before="0" w:after="0"/>
        <w:rPr>
          <w:noProof/>
          <w:sz w:val="20"/>
          <w:szCs w:val="20"/>
        </w:rPr>
      </w:pPr>
      <w:r>
        <w:rPr>
          <w:noProof/>
          <w:sz w:val="20"/>
        </w:rPr>
        <w:t>(1)</w:t>
      </w:r>
      <w:r>
        <w:rPr>
          <w:noProof/>
        </w:rPr>
        <w:tab/>
      </w:r>
      <w:r>
        <w:rPr>
          <w:noProof/>
          <w:sz w:val="20"/>
        </w:rPr>
        <w:t>Описание.</w:t>
      </w:r>
    </w:p>
    <w:p>
      <w:pPr>
        <w:pStyle w:val="Point0"/>
        <w:spacing w:before="0" w:after="0"/>
        <w:rPr>
          <w:noProof/>
          <w:sz w:val="20"/>
          <w:szCs w:val="20"/>
        </w:rPr>
      </w:pPr>
      <w:r>
        <w:rPr>
          <w:noProof/>
          <w:sz w:val="20"/>
        </w:rPr>
        <w:t>(2)</w:t>
      </w:r>
      <w:r>
        <w:rPr>
          <w:noProof/>
        </w:rPr>
        <w:tab/>
      </w:r>
      <w:r>
        <w:rPr>
          <w:noProof/>
          <w:sz w:val="20"/>
        </w:rPr>
        <w:t>Търговско наименование, посочено във фактурите, например номер на модела.</w:t>
      </w:r>
    </w:p>
    <w:p>
      <w:pPr>
        <w:pStyle w:val="Point0"/>
        <w:spacing w:before="0" w:after="0"/>
        <w:rPr>
          <w:noProof/>
          <w:sz w:val="20"/>
          <w:szCs w:val="20"/>
        </w:rPr>
      </w:pPr>
      <w:r>
        <w:rPr>
          <w:noProof/>
          <w:sz w:val="20"/>
        </w:rPr>
        <w:t>(3)</w:t>
      </w:r>
      <w:r>
        <w:rPr>
          <w:noProof/>
        </w:rPr>
        <w:tab/>
      </w:r>
      <w:r>
        <w:rPr>
          <w:noProof/>
          <w:sz w:val="20"/>
        </w:rPr>
        <w:t>Наименование на дружеството, на което се доставят стоките.</w:t>
      </w:r>
    </w:p>
    <w:p>
      <w:pPr>
        <w:pStyle w:val="Point0"/>
        <w:spacing w:before="0" w:after="0"/>
        <w:rPr>
          <w:noProof/>
          <w:sz w:val="20"/>
          <w:szCs w:val="20"/>
        </w:rPr>
      </w:pPr>
      <w:r>
        <w:rPr>
          <w:noProof/>
          <w:sz w:val="20"/>
        </w:rPr>
        <w:t>(4)</w:t>
      </w:r>
      <w:r>
        <w:rPr>
          <w:noProof/>
        </w:rPr>
        <w:tab/>
      </w:r>
      <w:r>
        <w:rPr>
          <w:noProof/>
          <w:sz w:val="20"/>
        </w:rPr>
        <w:t>ЕС, държавата, групата от държави или територията, от която произхождат стоките.</w:t>
      </w:r>
    </w:p>
    <w:p>
      <w:pPr>
        <w:pStyle w:val="Point0"/>
        <w:spacing w:before="0" w:after="0"/>
        <w:rPr>
          <w:noProof/>
          <w:sz w:val="20"/>
          <w:szCs w:val="20"/>
        </w:rPr>
      </w:pPr>
      <w:r>
        <w:rPr>
          <w:noProof/>
          <w:sz w:val="20"/>
        </w:rPr>
        <w:t>(5)</w:t>
      </w:r>
      <w:r>
        <w:rPr>
          <w:noProof/>
        </w:rPr>
        <w:tab/>
      </w:r>
      <w:r>
        <w:rPr>
          <w:noProof/>
          <w:sz w:val="20"/>
        </w:rPr>
        <w:t>Съответната държава, група държави или територии.</w:t>
      </w:r>
    </w:p>
    <w:p>
      <w:pPr>
        <w:pStyle w:val="Point0"/>
        <w:spacing w:before="0" w:after="0"/>
        <w:rPr>
          <w:noProof/>
          <w:sz w:val="20"/>
          <w:szCs w:val="20"/>
        </w:rPr>
      </w:pPr>
      <w:r>
        <w:rPr>
          <w:noProof/>
          <w:sz w:val="20"/>
        </w:rPr>
        <w:t>(6)</w:t>
      </w:r>
      <w:r>
        <w:rPr>
          <w:noProof/>
        </w:rPr>
        <w:tab/>
      </w:r>
      <w:r>
        <w:rPr>
          <w:noProof/>
          <w:sz w:val="20"/>
        </w:rPr>
        <w:t>Посочват се датите. Срокът не може да надхвърля 12 месеца.</w:t>
      </w:r>
    </w:p>
    <w:p>
      <w:pPr>
        <w:pStyle w:val="Point0"/>
        <w:spacing w:before="0" w:after="0"/>
        <w:rPr>
          <w:noProof/>
          <w:sz w:val="20"/>
          <w:szCs w:val="20"/>
        </w:rPr>
      </w:pPr>
      <w:r>
        <w:rPr>
          <w:noProof/>
          <w:sz w:val="20"/>
        </w:rPr>
        <w:t>(7)</w:t>
      </w:r>
      <w:r>
        <w:rPr>
          <w:noProof/>
        </w:rPr>
        <w:tab/>
      </w:r>
      <w:r>
        <w:rPr>
          <w:noProof/>
          <w:sz w:val="20"/>
        </w:rPr>
        <w:t>Място и дата.</w:t>
      </w:r>
    </w:p>
    <w:p>
      <w:pPr>
        <w:pStyle w:val="Point0"/>
        <w:spacing w:before="0" w:after="0"/>
        <w:rPr>
          <w:noProof/>
          <w:sz w:val="20"/>
          <w:szCs w:val="20"/>
        </w:rPr>
      </w:pPr>
      <w:r>
        <w:rPr>
          <w:noProof/>
          <w:sz w:val="20"/>
        </w:rPr>
        <w:t>(8)</w:t>
      </w:r>
      <w:r>
        <w:rPr>
          <w:noProof/>
        </w:rPr>
        <w:tab/>
      </w:r>
      <w:r>
        <w:rPr>
          <w:noProof/>
          <w:sz w:val="20"/>
        </w:rPr>
        <w:t>Име и длъжност, наименование и адрес на дружеството.</w:t>
      </w:r>
    </w:p>
    <w:p>
      <w:pPr>
        <w:pStyle w:val="Point0"/>
        <w:spacing w:before="0" w:after="0"/>
        <w:rPr>
          <w:noProof/>
        </w:rPr>
      </w:pPr>
      <w:r>
        <w:rPr>
          <w:noProof/>
          <w:sz w:val="20"/>
        </w:rPr>
        <w:t>(9)</w:t>
      </w:r>
      <w:r>
        <w:rPr>
          <w:noProof/>
        </w:rPr>
        <w:tab/>
      </w:r>
      <w:r>
        <w:rPr>
          <w:noProof/>
          <w:sz w:val="20"/>
        </w:rPr>
        <w:t>Подпис.</w:t>
      </w:r>
    </w:p>
    <w:p>
      <w:pPr>
        <w:tabs>
          <w:tab w:val="right" w:leader="dot" w:pos="9639"/>
        </w:tabs>
        <w:jc w:val="right"/>
        <w:rPr>
          <w:b/>
          <w:noProof/>
          <w:sz w:val="21"/>
          <w:szCs w:val="21"/>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lastRenderedPageBreak/>
        <w:t>ПРИЛОЖЕНИЕ VГ</w:t>
      </w:r>
    </w:p>
    <w:p>
      <w:pPr>
        <w:tabs>
          <w:tab w:val="right" w:leader="dot" w:pos="9639"/>
        </w:tabs>
        <w:jc w:val="center"/>
        <w:rPr>
          <w:noProof/>
        </w:rPr>
      </w:pPr>
      <w:r>
        <w:rPr>
          <w:noProof/>
        </w:rPr>
        <w:t xml:space="preserve">Дългосрочна декларация на доставчик относно продукти, които нямат преференциален произход, както е предвидено в член 28, параграф 6 </w:t>
      </w:r>
    </w:p>
    <w:p>
      <w:pPr>
        <w:tabs>
          <w:tab w:val="right" w:leader="dot" w:pos="9639"/>
        </w:tabs>
        <w:spacing w:before="480"/>
        <w:rPr>
          <w:noProof/>
          <w:sz w:val="21"/>
          <w:szCs w:val="21"/>
        </w:rPr>
      </w:pPr>
      <w:r>
        <w:rPr>
          <w:noProof/>
          <w:sz w:val="21"/>
        </w:rPr>
        <w:t>Аз, долуподписаният, доставчик на стоките, обхванати от настоящия документ, които се доставят редовно на …………….………(1), декларирам, че:</w:t>
      </w:r>
    </w:p>
    <w:p>
      <w:pPr>
        <w:tabs>
          <w:tab w:val="right" w:leader="dot" w:pos="9639"/>
        </w:tabs>
        <w:spacing w:before="360" w:after="360"/>
        <w:rPr>
          <w:noProof/>
          <w:sz w:val="21"/>
          <w:szCs w:val="21"/>
        </w:rPr>
      </w:pPr>
      <w:r>
        <w:rPr>
          <w:noProof/>
          <w:sz w:val="21"/>
        </w:rPr>
        <w:t>Следните материали, които не са с произход от ЕС, държавите партньори от ИАО, ОСТ или други държави от АКТБ, са използвани за производството на посочените стоки.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tc>
          <w:tcPr>
            <w:tcW w:w="2463" w:type="dxa"/>
          </w:tcPr>
          <w:p>
            <w:pPr>
              <w:tabs>
                <w:tab w:val="right" w:leader="dot" w:pos="9639"/>
              </w:tabs>
              <w:jc w:val="left"/>
              <w:rPr>
                <w:noProof/>
                <w:sz w:val="21"/>
                <w:szCs w:val="21"/>
              </w:rPr>
            </w:pPr>
            <w:r>
              <w:rPr>
                <w:noProof/>
                <w:sz w:val="21"/>
              </w:rPr>
              <w:t>Описание на доставяните стоки</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Описание на използваните материали без произход</w:t>
            </w:r>
          </w:p>
          <w:p>
            <w:pPr>
              <w:tabs>
                <w:tab w:val="right" w:leader="dot" w:pos="9639"/>
              </w:tabs>
              <w:jc w:val="left"/>
              <w:rPr>
                <w:noProof/>
                <w:sz w:val="21"/>
                <w:szCs w:val="21"/>
              </w:rPr>
            </w:pPr>
          </w:p>
          <w:p>
            <w:pPr>
              <w:tabs>
                <w:tab w:val="right" w:leader="dot" w:pos="9639"/>
              </w:tabs>
              <w:jc w:val="left"/>
              <w:rPr>
                <w:noProof/>
                <w:sz w:val="21"/>
                <w:szCs w:val="21"/>
              </w:rPr>
            </w:pPr>
            <w:r>
              <w:rPr>
                <w:noProof/>
                <w:sz w:val="21"/>
              </w:rPr>
              <w:t>(2)</w:t>
            </w:r>
          </w:p>
        </w:tc>
        <w:tc>
          <w:tcPr>
            <w:tcW w:w="2464" w:type="dxa"/>
          </w:tcPr>
          <w:p>
            <w:pPr>
              <w:tabs>
                <w:tab w:val="right" w:leader="dot" w:pos="9639"/>
              </w:tabs>
              <w:jc w:val="left"/>
              <w:rPr>
                <w:noProof/>
                <w:sz w:val="21"/>
                <w:szCs w:val="21"/>
              </w:rPr>
            </w:pPr>
            <w:r>
              <w:rPr>
                <w:noProof/>
                <w:sz w:val="21"/>
              </w:rPr>
              <w:t>Позиция по ХС на използваните материали без произход</w:t>
            </w:r>
          </w:p>
          <w:p>
            <w:pPr>
              <w:tabs>
                <w:tab w:val="right" w:leader="dot" w:pos="9639"/>
              </w:tabs>
              <w:jc w:val="left"/>
              <w:rPr>
                <w:noProof/>
                <w:sz w:val="21"/>
                <w:szCs w:val="21"/>
              </w:rPr>
            </w:pPr>
          </w:p>
          <w:p>
            <w:pPr>
              <w:tabs>
                <w:tab w:val="right" w:leader="dot" w:pos="9639"/>
              </w:tabs>
              <w:jc w:val="left"/>
              <w:rPr>
                <w:noProof/>
                <w:sz w:val="21"/>
                <w:szCs w:val="21"/>
              </w:rPr>
            </w:pPr>
            <w:r>
              <w:rPr>
                <w:noProof/>
                <w:sz w:val="21"/>
              </w:rPr>
              <w:t>(3)</w:t>
            </w: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Стойност на използваните материали без произход</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r>
              <w:rPr>
                <w:noProof/>
                <w:sz w:val="21"/>
              </w:rPr>
              <w:t>(4)</w:t>
            </w: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bl>
    <w:p>
      <w:pPr>
        <w:tabs>
          <w:tab w:val="right" w:leader="dot" w:pos="9639"/>
        </w:tabs>
        <w:spacing w:before="360"/>
        <w:rPr>
          <w:noProof/>
          <w:sz w:val="21"/>
          <w:szCs w:val="21"/>
        </w:rPr>
      </w:pPr>
      <w:r>
        <w:rPr>
          <w:noProof/>
          <w:sz w:val="21"/>
        </w:rPr>
        <w:t xml:space="preserve">Всички други материали, използвани за производството на посочените стоки, са с произход от ЕС, държавите партньори от ИАО, ОСТ или други държави от АКТБ. </w:t>
      </w:r>
    </w:p>
    <w:p>
      <w:pPr>
        <w:tabs>
          <w:tab w:val="right" w:leader="dot" w:pos="9639"/>
        </w:tabs>
        <w:spacing w:before="360"/>
        <w:rPr>
          <w:noProof/>
          <w:sz w:val="21"/>
          <w:szCs w:val="21"/>
        </w:rPr>
      </w:pPr>
      <w:r>
        <w:rPr>
          <w:noProof/>
          <w:sz w:val="21"/>
        </w:rPr>
        <w:t>Настоящата декларация е валидна за всички последващи пратки на тези продукти, изпратени от …………. до ..............(5).</w:t>
      </w:r>
    </w:p>
    <w:p>
      <w:pPr>
        <w:tabs>
          <w:tab w:val="right" w:leader="dot" w:pos="9639"/>
        </w:tabs>
        <w:spacing w:before="360"/>
        <w:rPr>
          <w:noProof/>
          <w:sz w:val="21"/>
          <w:szCs w:val="21"/>
        </w:rPr>
      </w:pPr>
      <w:r>
        <w:rPr>
          <w:noProof/>
          <w:sz w:val="21"/>
        </w:rPr>
        <w:t>Задължавам се незабавно да уведомя ........................................, ако настоящата декларация престане да бъде валидна.</w:t>
      </w:r>
    </w:p>
    <w:p>
      <w:pPr>
        <w:tabs>
          <w:tab w:val="right" w:leader="dot" w:pos="9639"/>
        </w:tabs>
        <w:spacing w:before="360"/>
        <w:rPr>
          <w:noProof/>
          <w:sz w:val="21"/>
          <w:szCs w:val="21"/>
        </w:rPr>
      </w:pPr>
      <w:r>
        <w:rPr>
          <w:noProof/>
          <w:sz w:val="21"/>
        </w:rPr>
        <w:t>Задължавам се да предоставя при поискване от митническите органи всякакви допълнителни подкрепящи документи.</w:t>
      </w:r>
    </w:p>
    <w:p>
      <w:pPr>
        <w:tabs>
          <w:tab w:val="right" w:leader="dot" w:pos="9639"/>
        </w:tabs>
        <w:spacing w:before="240"/>
        <w:rPr>
          <w:noProof/>
          <w:sz w:val="21"/>
          <w:szCs w:val="21"/>
        </w:rPr>
      </w:pPr>
      <w:r>
        <w:rPr>
          <w:noProof/>
          <w:sz w:val="21"/>
        </w:rPr>
        <w:t>.....................................................(6)</w:t>
      </w:r>
    </w:p>
    <w:p>
      <w:pPr>
        <w:tabs>
          <w:tab w:val="right" w:leader="dot" w:pos="9639"/>
        </w:tabs>
        <w:spacing w:before="240" w:after="240"/>
        <w:rPr>
          <w:noProof/>
          <w:sz w:val="21"/>
          <w:szCs w:val="21"/>
        </w:rPr>
      </w:pPr>
      <w:r>
        <w:rPr>
          <w:noProof/>
          <w:sz w:val="21"/>
        </w:rPr>
        <w:t>.....................................................(7)</w:t>
      </w:r>
    </w:p>
    <w:p>
      <w:pPr>
        <w:tabs>
          <w:tab w:val="right" w:leader="dot" w:pos="9639"/>
        </w:tabs>
        <w:rPr>
          <w:noProof/>
          <w:sz w:val="21"/>
          <w:szCs w:val="21"/>
        </w:rPr>
      </w:pPr>
      <w:r>
        <w:rPr>
          <w:noProof/>
          <w:sz w:val="21"/>
        </w:rPr>
        <w:t>.....................................................(8)</w:t>
      </w:r>
    </w:p>
    <w:p>
      <w:pPr>
        <w:tabs>
          <w:tab w:val="right" w:leader="dot" w:pos="9639"/>
        </w:tabs>
        <w:spacing w:before="360"/>
        <w:rPr>
          <w:noProof/>
          <w:sz w:val="21"/>
          <w:szCs w:val="21"/>
        </w:rPr>
      </w:pPr>
      <w:r>
        <w:rPr>
          <w:noProof/>
          <w:sz w:val="21"/>
        </w:rPr>
        <w:t>Бележка</w:t>
      </w:r>
    </w:p>
    <w:p>
      <w:pPr>
        <w:pStyle w:val="Point0"/>
        <w:spacing w:before="0" w:after="0"/>
        <w:rPr>
          <w:noProof/>
          <w:sz w:val="20"/>
          <w:szCs w:val="20"/>
        </w:rPr>
      </w:pPr>
      <w:r>
        <w:rPr>
          <w:noProof/>
        </w:rPr>
        <w:t>(1)</w:t>
      </w:r>
      <w:r>
        <w:rPr>
          <w:noProof/>
        </w:rPr>
        <w:tab/>
      </w:r>
      <w:r>
        <w:rPr>
          <w:noProof/>
          <w:sz w:val="20"/>
        </w:rPr>
        <w:t>Име и адрес на клиента.</w:t>
      </w:r>
    </w:p>
    <w:p>
      <w:pPr>
        <w:pStyle w:val="Point0"/>
        <w:spacing w:before="0" w:after="0"/>
        <w:rPr>
          <w:noProof/>
          <w:sz w:val="20"/>
          <w:szCs w:val="20"/>
        </w:rPr>
      </w:pPr>
      <w:r>
        <w:rPr>
          <w:noProof/>
          <w:sz w:val="20"/>
        </w:rPr>
        <w:lastRenderedPageBreak/>
        <w:t>(2)</w:t>
      </w:r>
      <w:r>
        <w:rPr>
          <w:noProof/>
        </w:rPr>
        <w:tab/>
      </w:r>
      <w:r>
        <w:rPr>
          <w:noProof/>
          <w:sz w:val="20"/>
        </w:rPr>
        <w:t>Когато фактурата, известието за доставка или друг търговски документ, към който е прикрепена декларацията, се отнасят до стоки от различни типове или до стоки, които не включват същата пропорция материали без произход, доставчикът трябва да направи ясно разграничение между тях.</w:t>
      </w:r>
    </w:p>
    <w:p>
      <w:pPr>
        <w:pStyle w:val="Point0"/>
        <w:spacing w:before="0" w:after="0"/>
        <w:rPr>
          <w:noProof/>
          <w:sz w:val="20"/>
          <w:szCs w:val="20"/>
        </w:rPr>
      </w:pPr>
      <w:r>
        <w:rPr>
          <w:noProof/>
          <w:sz w:val="20"/>
        </w:rPr>
        <w:t>(3)</w:t>
      </w:r>
      <w:r>
        <w:rPr>
          <w:noProof/>
        </w:rPr>
        <w:tab/>
      </w:r>
      <w:r>
        <w:rPr>
          <w:noProof/>
          <w:sz w:val="20"/>
        </w:rPr>
        <w:t>Попълва се само когато е от значение за декларацията.</w:t>
      </w:r>
    </w:p>
    <w:p>
      <w:pPr>
        <w:pStyle w:val="Point0"/>
        <w:spacing w:before="0" w:after="0"/>
        <w:rPr>
          <w:noProof/>
          <w:sz w:val="20"/>
          <w:szCs w:val="20"/>
        </w:rPr>
      </w:pPr>
      <w:r>
        <w:rPr>
          <w:noProof/>
          <w:sz w:val="20"/>
        </w:rPr>
        <w:t>(4)</w:t>
      </w:r>
      <w:r>
        <w:rPr>
          <w:noProof/>
        </w:rPr>
        <w:tab/>
      </w:r>
      <w:r>
        <w:rPr>
          <w:noProof/>
          <w:sz w:val="20"/>
        </w:rPr>
        <w:t xml:space="preserve">„Стойност“ означава митническата стойност на материалите към датата на вноса на използваните материали без произход или, ако това не е известно, първата проверима цена, заплатена за материалите в ЕС, в държавите партньори от ИАО, в ОСТ или в други държави от АКТБ. </w:t>
      </w:r>
    </w:p>
    <w:p>
      <w:pPr>
        <w:pStyle w:val="Point0"/>
        <w:spacing w:before="0" w:after="0"/>
        <w:rPr>
          <w:noProof/>
          <w:sz w:val="20"/>
          <w:szCs w:val="20"/>
        </w:rPr>
      </w:pPr>
      <w:r>
        <w:rPr>
          <w:noProof/>
          <w:sz w:val="20"/>
        </w:rPr>
        <w:t>(5)</w:t>
      </w:r>
      <w:r>
        <w:rPr>
          <w:noProof/>
        </w:rPr>
        <w:tab/>
      </w:r>
      <w:r>
        <w:rPr>
          <w:noProof/>
          <w:sz w:val="20"/>
        </w:rPr>
        <w:t>Посочват се датите. Срокът не следва да надхвърля 12 месеца.</w:t>
      </w:r>
    </w:p>
    <w:p>
      <w:pPr>
        <w:pStyle w:val="Point0"/>
        <w:spacing w:before="0" w:after="0"/>
        <w:rPr>
          <w:noProof/>
          <w:sz w:val="20"/>
          <w:szCs w:val="20"/>
        </w:rPr>
      </w:pPr>
      <w:r>
        <w:rPr>
          <w:noProof/>
          <w:sz w:val="20"/>
        </w:rPr>
        <w:t>(6)</w:t>
      </w:r>
      <w:r>
        <w:rPr>
          <w:noProof/>
        </w:rPr>
        <w:tab/>
      </w:r>
      <w:r>
        <w:rPr>
          <w:noProof/>
          <w:sz w:val="20"/>
        </w:rPr>
        <w:t>Място и дата.</w:t>
      </w:r>
    </w:p>
    <w:p>
      <w:pPr>
        <w:pStyle w:val="Point0"/>
        <w:spacing w:before="0" w:after="0"/>
        <w:rPr>
          <w:noProof/>
          <w:sz w:val="20"/>
          <w:szCs w:val="20"/>
        </w:rPr>
      </w:pPr>
      <w:r>
        <w:rPr>
          <w:noProof/>
          <w:sz w:val="20"/>
        </w:rPr>
        <w:t>(7)</w:t>
      </w:r>
      <w:r>
        <w:rPr>
          <w:noProof/>
        </w:rPr>
        <w:tab/>
      </w:r>
      <w:r>
        <w:rPr>
          <w:noProof/>
          <w:sz w:val="20"/>
        </w:rPr>
        <w:t>Име и длъжност, наименование и адрес на дружеството.</w:t>
      </w:r>
    </w:p>
    <w:p>
      <w:pPr>
        <w:pStyle w:val="Point0"/>
        <w:spacing w:before="0" w:after="0"/>
        <w:rPr>
          <w:noProof/>
        </w:rPr>
      </w:pPr>
      <w:r>
        <w:rPr>
          <w:noProof/>
          <w:sz w:val="20"/>
        </w:rPr>
        <w:t>(8)</w:t>
      </w:r>
      <w:r>
        <w:rPr>
          <w:noProof/>
        </w:rPr>
        <w:tab/>
      </w:r>
      <w:r>
        <w:rPr>
          <w:noProof/>
          <w:sz w:val="20"/>
          <w:szCs w:val="20"/>
        </w:rPr>
        <w:t>Подпис.</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4" w:name="_Toc204060738"/>
      <w:r>
        <w:rPr>
          <w:b/>
          <w:noProof/>
          <w:u w:val="single"/>
        </w:rPr>
        <w:lastRenderedPageBreak/>
        <w:t>ПРИЛОЖЕНИЕ VI</w:t>
      </w:r>
    </w:p>
    <w:p>
      <w:pPr>
        <w:spacing w:after="240"/>
        <w:rPr>
          <w:noProof/>
        </w:rPr>
      </w:pPr>
      <w:r>
        <w:rPr>
          <w:noProof/>
        </w:rPr>
        <w:t>ИНФОРМАЦИОНЕН СЕРТИФИКАТ</w:t>
      </w:r>
      <w:bookmarkEnd w:id="14"/>
    </w:p>
    <w:p>
      <w:pPr>
        <w:pStyle w:val="ManualNumPar1"/>
        <w:rPr>
          <w:noProof/>
        </w:rPr>
      </w:pPr>
      <w:r>
        <w:rPr>
          <w:noProof/>
        </w:rPr>
        <w:t>1.</w:t>
      </w:r>
      <w:r>
        <w:rPr>
          <w:noProof/>
        </w:rPr>
        <w:tab/>
        <w:t>Следва да се използва формулярът на информационния сертификат, представен в настоящото приложение, като той се отпечатва на един или повече от официалните езици, на които е съставено споразумението, при спазване на разпоредбите на националното законодателство на държавата износител. Информационните сертификати се попълват на един от тези езици; ако са написани на ръка, те се попълват с мастило и с главни букви. Те трябва да имат сериен номер, независимо дали напечатан или не, посредством който да могат да бъдат идентифицирани.</w:t>
      </w:r>
    </w:p>
    <w:p>
      <w:pPr>
        <w:pStyle w:val="ManualNumPar1"/>
        <w:rPr>
          <w:noProof/>
        </w:rPr>
      </w:pPr>
      <w:r>
        <w:rPr>
          <w:noProof/>
        </w:rPr>
        <w:t>2.</w:t>
      </w:r>
      <w:r>
        <w:rPr>
          <w:noProof/>
        </w:rPr>
        <w:tab/>
        <w:t>Информационният сертификат е с размери 210 x 297 mm, като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25 g/m</w:t>
      </w:r>
      <w:r>
        <w:rPr>
          <w:noProof/>
          <w:vertAlign w:val="superscript"/>
        </w:rPr>
        <w:t>2</w:t>
      </w:r>
      <w:r>
        <w:rPr>
          <w:noProof/>
        </w:rPr>
        <w:t>.</w:t>
      </w:r>
    </w:p>
    <w:p>
      <w:pPr>
        <w:pStyle w:val="ManualNumPar1"/>
        <w:rPr>
          <w:noProof/>
        </w:rPr>
      </w:pPr>
      <w:r>
        <w:rPr>
          <w:noProof/>
        </w:rPr>
        <w:t>3.</w:t>
      </w:r>
      <w:r>
        <w:rPr>
          <w:noProof/>
        </w:rPr>
        <w:tab/>
        <w:t>Националните административни органи могат да си запазят правото да отпечатват сами тези формуляри или да поверят отпечатването им на одобрени от тях печатници. В последния случай всеки формуляр трябва да включва позоваване на такова одобрение. На всеки формуляр трябва да фигурират името и адресът на печатницата или знак, посредством който печатницата да може да бъде идентифицирана.</w:t>
      </w:r>
    </w:p>
    <w:p>
      <w:pPr>
        <w:rPr>
          <w:noProof/>
        </w:rPr>
        <w:sectPr>
          <w:endnotePr>
            <w:numFmt w:val="decimal"/>
          </w:endnotePr>
          <w:pgSz w:w="11907" w:h="16840" w:code="9"/>
          <w:pgMar w:top="1134" w:right="1134" w:bottom="1134" w:left="1134" w:header="1134" w:footer="1134" w:gutter="0"/>
          <w:cols w:space="720"/>
          <w:docGrid w:linePitch="326"/>
        </w:sect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432"/>
        <w:gridCol w:w="384"/>
        <w:gridCol w:w="384"/>
        <w:gridCol w:w="736"/>
        <w:gridCol w:w="2428"/>
        <w:gridCol w:w="8"/>
        <w:gridCol w:w="804"/>
        <w:gridCol w:w="1584"/>
        <w:gridCol w:w="1243"/>
        <w:gridCol w:w="1117"/>
        <w:gridCol w:w="78"/>
      </w:tblGrid>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lastRenderedPageBreak/>
              <w:t xml:space="preserve">1. </w:t>
            </w:r>
          </w:p>
        </w:tc>
        <w:tc>
          <w:tcPr>
            <w:tcW w:w="2488" w:type="dxa"/>
            <w:gridSpan w:val="5"/>
            <w:tcBorders>
              <w:top w:val="single" w:sz="6" w:space="0" w:color="auto"/>
            </w:tcBorders>
          </w:tcPr>
          <w:p>
            <w:pPr>
              <w:tabs>
                <w:tab w:val="right" w:pos="4461"/>
              </w:tabs>
              <w:rPr>
                <w:noProof/>
                <w:sz w:val="15"/>
                <w:szCs w:val="15"/>
              </w:rPr>
            </w:pPr>
            <w:r>
              <w:rPr>
                <w:noProof/>
                <w:sz w:val="15"/>
                <w:szCs w:val="15"/>
              </w:rPr>
              <w:t>Доставчик(1)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6"/>
            <w:tcBorders>
              <w:top w:val="single" w:sz="6" w:space="0" w:color="auto"/>
              <w:left w:val="single" w:sz="6" w:space="0" w:color="auto"/>
              <w:right w:val="single" w:sz="6" w:space="0" w:color="auto"/>
            </w:tcBorders>
          </w:tcPr>
          <w:p>
            <w:pPr>
              <w:tabs>
                <w:tab w:val="right" w:pos="4461"/>
              </w:tabs>
              <w:jc w:val="center"/>
              <w:rPr>
                <w:noProof/>
                <w:sz w:val="27"/>
              </w:rPr>
            </w:pPr>
            <w:r>
              <w:rPr>
                <w:noProof/>
                <w:sz w:val="27"/>
              </w:rPr>
              <w:t>ИНФОРМАЦИОНЕН СЕРТИФИКАТ</w:t>
            </w:r>
          </w:p>
        </w:tc>
      </w:tr>
      <w:tr>
        <w:tc>
          <w:tcPr>
            <w:tcW w:w="351" w:type="dxa"/>
            <w:tcBorders>
              <w:left w:val="single" w:sz="6" w:space="0" w:color="auto"/>
            </w:tcBorders>
          </w:tcPr>
          <w:p>
            <w:pPr>
              <w:tabs>
                <w:tab w:val="right" w:pos="4461"/>
              </w:tabs>
              <w:rPr>
                <w:noProof/>
                <w:sz w:val="15"/>
                <w:szCs w:val="15"/>
              </w:rPr>
            </w:pPr>
          </w:p>
        </w:tc>
        <w:tc>
          <w:tcPr>
            <w:tcW w:w="2488" w:type="dxa"/>
            <w:gridSpan w:val="5"/>
          </w:tcPr>
          <w:p>
            <w:pPr>
              <w:tabs>
                <w:tab w:val="right" w:pos="4461"/>
              </w:tabs>
              <w:rPr>
                <w:noProof/>
                <w:sz w:val="15"/>
                <w:szCs w:val="15"/>
              </w:rPr>
            </w:pPr>
          </w:p>
        </w:tc>
        <w:tc>
          <w:tcPr>
            <w:tcW w:w="2428" w:type="dxa"/>
            <w:tcBorders>
              <w:right w:val="single" w:sz="6" w:space="0" w:color="auto"/>
            </w:tcBorders>
          </w:tcPr>
          <w:p>
            <w:pPr>
              <w:tabs>
                <w:tab w:val="right" w:pos="4461"/>
              </w:tabs>
              <w:rPr>
                <w:noProof/>
                <w:sz w:val="27"/>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за улесняване на издаването на</w:t>
            </w:r>
          </w:p>
        </w:tc>
      </w:tr>
      <w:tr>
        <w:tc>
          <w:tcPr>
            <w:tcW w:w="351" w:type="dxa"/>
            <w:tcBorders>
              <w:left w:val="single" w:sz="6" w:space="0" w:color="auto"/>
            </w:tcBorders>
          </w:tcPr>
          <w:p>
            <w:pPr>
              <w:tabs>
                <w:tab w:val="right" w:pos="4461"/>
              </w:tabs>
              <w:rPr>
                <w:noProof/>
                <w:sz w:val="15"/>
                <w:szCs w:val="15"/>
              </w:rPr>
            </w:pPr>
          </w:p>
        </w:tc>
        <w:tc>
          <w:tcPr>
            <w:tcW w:w="2488" w:type="dxa"/>
            <w:gridSpan w:val="5"/>
          </w:tcPr>
          <w:p>
            <w:pPr>
              <w:tabs>
                <w:tab w:val="right" w:pos="4461"/>
              </w:tabs>
              <w:rPr>
                <w:noProof/>
                <w:sz w:val="15"/>
                <w:szCs w:val="15"/>
              </w:rPr>
            </w:pPr>
          </w:p>
        </w:tc>
        <w:tc>
          <w:tcPr>
            <w:tcW w:w="2428" w:type="dxa"/>
            <w:tcBorders>
              <w:right w:val="single" w:sz="6" w:space="0" w:color="auto"/>
            </w:tcBorders>
          </w:tcPr>
          <w:p>
            <w:pPr>
              <w:tabs>
                <w:tab w:val="right" w:pos="4461"/>
              </w:tabs>
              <w:rPr>
                <w:noProof/>
                <w:sz w:val="15"/>
              </w:rPr>
            </w:pPr>
          </w:p>
        </w:tc>
        <w:tc>
          <w:tcPr>
            <w:tcW w:w="4834" w:type="dxa"/>
            <w:gridSpan w:val="6"/>
            <w:tcBorders>
              <w:left w:val="single" w:sz="6" w:space="0" w:color="auto"/>
              <w:right w:val="single" w:sz="6" w:space="0" w:color="auto"/>
            </w:tcBorders>
          </w:tcPr>
          <w:p>
            <w:pPr>
              <w:tabs>
                <w:tab w:val="right" w:pos="4461"/>
              </w:tabs>
              <w:jc w:val="center"/>
              <w:rPr>
                <w:noProof/>
                <w:sz w:val="23"/>
              </w:rPr>
            </w:pPr>
            <w:r>
              <w:rPr>
                <w:noProof/>
                <w:sz w:val="23"/>
              </w:rPr>
              <w:t>СЕРТИФИКАТ ЗА ДВИЖЕНИЕ</w:t>
            </w:r>
          </w:p>
        </w:tc>
      </w:tr>
      <w:tr>
        <w:tc>
          <w:tcPr>
            <w:tcW w:w="351" w:type="dxa"/>
            <w:tcBorders>
              <w:left w:val="single" w:sz="6" w:space="0" w:color="auto"/>
              <w:bottom w:val="single" w:sz="6" w:space="0" w:color="auto"/>
            </w:tcBorders>
          </w:tcPr>
          <w:p>
            <w:pPr>
              <w:tabs>
                <w:tab w:val="right" w:pos="4461"/>
              </w:tabs>
              <w:rPr>
                <w:noProof/>
                <w:sz w:val="15"/>
                <w:szCs w:val="15"/>
              </w:rPr>
            </w:pPr>
          </w:p>
        </w:tc>
        <w:tc>
          <w:tcPr>
            <w:tcW w:w="2488" w:type="dxa"/>
            <w:gridSpan w:val="5"/>
            <w:tcBorders>
              <w:bottom w:val="single" w:sz="6" w:space="0" w:color="auto"/>
            </w:tcBorders>
          </w:tcPr>
          <w:p>
            <w:pPr>
              <w:tabs>
                <w:tab w:val="right" w:pos="4461"/>
              </w:tabs>
              <w:rPr>
                <w:noProof/>
                <w:sz w:val="15"/>
                <w:szCs w:val="15"/>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за преференциална търговия между</w:t>
            </w:r>
          </w:p>
        </w:tc>
      </w:tr>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t xml:space="preserve">2. </w:t>
            </w:r>
          </w:p>
        </w:tc>
        <w:tc>
          <w:tcPr>
            <w:tcW w:w="2488" w:type="dxa"/>
            <w:gridSpan w:val="5"/>
            <w:tcBorders>
              <w:top w:val="single" w:sz="6" w:space="0" w:color="auto"/>
            </w:tcBorders>
          </w:tcPr>
          <w:p>
            <w:pPr>
              <w:tabs>
                <w:tab w:val="right" w:pos="4461"/>
              </w:tabs>
              <w:rPr>
                <w:rFonts w:ascii="Arial" w:hAnsi="Arial"/>
                <w:noProof/>
                <w:sz w:val="15"/>
                <w:szCs w:val="15"/>
              </w:rPr>
            </w:pPr>
            <w:r>
              <w:rPr>
                <w:noProof/>
                <w:sz w:val="15"/>
                <w:szCs w:val="15"/>
              </w:rPr>
              <w:t>Получател(1)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5"/>
            <w:tcBorders>
              <w:left w:val="single" w:sz="6" w:space="0" w:color="auto"/>
            </w:tcBorders>
          </w:tcPr>
          <w:p>
            <w:pPr>
              <w:jc w:val="center"/>
              <w:rPr>
                <w:noProof/>
                <w:sz w:val="23"/>
              </w:rPr>
            </w:pPr>
            <w:r>
              <w:rPr>
                <w:noProof/>
                <w:sz w:val="23"/>
              </w:rPr>
              <w:t>ЕВРОПЕЙСКИЯ</w:t>
            </w:r>
          </w:p>
          <w:p>
            <w:pPr>
              <w:jc w:val="center"/>
              <w:rPr>
                <w:noProof/>
                <w:sz w:val="23"/>
              </w:rPr>
            </w:pPr>
            <w:r>
              <w:rPr>
                <w:noProof/>
                <w:sz w:val="23"/>
              </w:rPr>
              <w:t>СЪЮЗ</w:t>
            </w:r>
          </w:p>
          <w:p>
            <w:pPr>
              <w:jc w:val="center"/>
              <w:rPr>
                <w:noProof/>
                <w:sz w:val="23"/>
              </w:rPr>
            </w:pPr>
            <w:r>
              <w:rPr>
                <w:noProof/>
                <w:sz w:val="23"/>
              </w:rPr>
              <w:t>и</w:t>
            </w:r>
          </w:p>
          <w:p>
            <w:pPr>
              <w:jc w:val="center"/>
              <w:rPr>
                <w:noProof/>
              </w:rPr>
            </w:pPr>
            <w:r>
              <w:rPr>
                <w:noProof/>
                <w:sz w:val="23"/>
              </w:rPr>
              <w:t>ДЪРЖАВА ПАРТНЬОР ОТ ИАО</w:t>
            </w:r>
          </w:p>
          <w:p>
            <w:pPr>
              <w:tabs>
                <w:tab w:val="right" w:pos="4461"/>
              </w:tabs>
              <w:jc w:val="center"/>
              <w:rPr>
                <w:noProof/>
                <w:sz w:val="23"/>
              </w:rPr>
            </w:pP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szCs w:val="15"/>
              </w:rPr>
            </w:pPr>
            <w:r>
              <w:rPr>
                <w:noProof/>
                <w:sz w:val="15"/>
                <w:szCs w:val="15"/>
              </w:rPr>
              <w:t xml:space="preserve">3. </w:t>
            </w:r>
          </w:p>
        </w:tc>
        <w:tc>
          <w:tcPr>
            <w:tcW w:w="2488" w:type="dxa"/>
            <w:gridSpan w:val="5"/>
            <w:tcBorders>
              <w:top w:val="single" w:sz="6" w:space="0" w:color="auto"/>
              <w:bottom w:val="single" w:sz="6" w:space="0" w:color="auto"/>
            </w:tcBorders>
          </w:tcPr>
          <w:p>
            <w:pPr>
              <w:tabs>
                <w:tab w:val="right" w:pos="4461"/>
              </w:tabs>
              <w:rPr>
                <w:rFonts w:ascii="Arial" w:hAnsi="Arial"/>
                <w:noProof/>
                <w:sz w:val="15"/>
                <w:szCs w:val="15"/>
              </w:rPr>
            </w:pPr>
            <w:r>
              <w:rPr>
                <w:noProof/>
                <w:sz w:val="15"/>
                <w:szCs w:val="15"/>
              </w:rPr>
              <w:t>Преработвател(1)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15"/>
                <w:szCs w:val="15"/>
              </w:rPr>
            </w:pPr>
          </w:p>
        </w:tc>
        <w:tc>
          <w:tcPr>
            <w:tcW w:w="4834" w:type="dxa"/>
            <w:gridSpan w:val="6"/>
            <w:tcBorders>
              <w:top w:val="single" w:sz="6" w:space="0" w:color="auto"/>
              <w:left w:val="single" w:sz="6" w:space="0" w:color="auto"/>
              <w:bottom w:val="single" w:sz="6" w:space="0" w:color="auto"/>
              <w:right w:val="single" w:sz="6" w:space="0" w:color="auto"/>
            </w:tcBorders>
          </w:tcPr>
          <w:p>
            <w:pPr>
              <w:tabs>
                <w:tab w:val="right" w:pos="4461"/>
              </w:tabs>
              <w:rPr>
                <w:noProof/>
                <w:sz w:val="15"/>
                <w:szCs w:val="15"/>
              </w:rPr>
            </w:pPr>
            <w:r>
              <w:rPr>
                <w:noProof/>
                <w:sz w:val="15"/>
                <w:szCs w:val="15"/>
              </w:rPr>
              <w:t>4. Държава, в която е извършена обработката или преработката</w:t>
            </w:r>
          </w:p>
          <w:p>
            <w:pPr>
              <w:tabs>
                <w:tab w:val="right" w:pos="4461"/>
              </w:tabs>
              <w:rPr>
                <w:noProof/>
                <w:sz w:val="15"/>
                <w:szCs w:val="15"/>
              </w:rPr>
            </w:pPr>
          </w:p>
          <w:p>
            <w:pPr>
              <w:tabs>
                <w:tab w:val="right" w:pos="4461"/>
              </w:tabs>
              <w:rPr>
                <w:noProof/>
                <w:sz w:val="15"/>
                <w:szCs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szCs w:val="15"/>
              </w:rPr>
            </w:pPr>
            <w:r>
              <w:rPr>
                <w:noProof/>
                <w:sz w:val="15"/>
                <w:szCs w:val="15"/>
              </w:rPr>
              <w:t xml:space="preserve">6. </w:t>
            </w:r>
          </w:p>
        </w:tc>
        <w:tc>
          <w:tcPr>
            <w:tcW w:w="4916" w:type="dxa"/>
            <w:gridSpan w:val="6"/>
            <w:tcBorders>
              <w:top w:val="single" w:sz="6" w:space="0" w:color="auto"/>
              <w:bottom w:val="single" w:sz="6" w:space="0" w:color="auto"/>
              <w:right w:val="single" w:sz="6" w:space="0" w:color="auto"/>
            </w:tcBorders>
          </w:tcPr>
          <w:p>
            <w:pPr>
              <w:tabs>
                <w:tab w:val="right" w:pos="4461"/>
              </w:tabs>
              <w:rPr>
                <w:rFonts w:ascii="Arial" w:hAnsi="Arial"/>
                <w:noProof/>
                <w:sz w:val="15"/>
                <w:szCs w:val="15"/>
              </w:rPr>
            </w:pPr>
            <w:r>
              <w:rPr>
                <w:noProof/>
                <w:sz w:val="15"/>
                <w:szCs w:val="15"/>
              </w:rPr>
              <w:t>Митническо учреждение, оформящо вноса(1)</w:t>
            </w:r>
          </w:p>
          <w:p>
            <w:pPr>
              <w:tabs>
                <w:tab w:val="right" w:pos="4461"/>
              </w:tabs>
              <w:rPr>
                <w:rFonts w:ascii="Arial" w:hAnsi="Arial"/>
                <w:noProof/>
                <w:sz w:val="15"/>
                <w:szCs w:val="15"/>
              </w:rPr>
            </w:pPr>
          </w:p>
          <w:p>
            <w:pPr>
              <w:tabs>
                <w:tab w:val="right" w:pos="4461"/>
              </w:tabs>
              <w:rPr>
                <w:rFonts w:ascii="Arial" w:hAnsi="Arial"/>
                <w:noProof/>
                <w:sz w:val="15"/>
                <w:szCs w:val="15"/>
              </w:rPr>
            </w:pPr>
          </w:p>
        </w:tc>
        <w:tc>
          <w:tcPr>
            <w:tcW w:w="4834" w:type="dxa"/>
            <w:gridSpan w:val="6"/>
            <w:tcBorders>
              <w:top w:val="single" w:sz="6" w:space="0" w:color="auto"/>
              <w:left w:val="single" w:sz="6" w:space="0" w:color="auto"/>
              <w:right w:val="single" w:sz="6" w:space="0" w:color="auto"/>
            </w:tcBorders>
          </w:tcPr>
          <w:p>
            <w:pPr>
              <w:tabs>
                <w:tab w:val="right" w:pos="4461"/>
              </w:tabs>
              <w:rPr>
                <w:noProof/>
                <w:sz w:val="15"/>
                <w:szCs w:val="15"/>
              </w:rPr>
            </w:pPr>
            <w:r>
              <w:rPr>
                <w:noProof/>
                <w:sz w:val="15"/>
                <w:szCs w:val="15"/>
              </w:rPr>
              <w:t>5. Поле за служебна информация</w:t>
            </w:r>
          </w:p>
        </w:tc>
      </w:tr>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t xml:space="preserve">7. </w:t>
            </w:r>
          </w:p>
        </w:tc>
        <w:tc>
          <w:tcPr>
            <w:tcW w:w="2488" w:type="dxa"/>
            <w:gridSpan w:val="5"/>
            <w:tcBorders>
              <w:top w:val="single" w:sz="6" w:space="0" w:color="auto"/>
            </w:tcBorders>
          </w:tcPr>
          <w:p>
            <w:pPr>
              <w:tabs>
                <w:tab w:val="right" w:pos="4461"/>
              </w:tabs>
              <w:rPr>
                <w:rFonts w:ascii="Arial" w:hAnsi="Arial"/>
                <w:noProof/>
                <w:sz w:val="15"/>
                <w:szCs w:val="15"/>
              </w:rPr>
            </w:pPr>
            <w:r>
              <w:rPr>
                <w:noProof/>
                <w:sz w:val="15"/>
                <w:szCs w:val="15"/>
              </w:rPr>
              <w:t>Документ за внос(2)</w:t>
            </w:r>
          </w:p>
        </w:tc>
        <w:tc>
          <w:tcPr>
            <w:tcW w:w="2428" w:type="dxa"/>
            <w:tcBorders>
              <w:top w:val="single" w:sz="6" w:space="0" w:color="auto"/>
              <w:right w:val="single" w:sz="6" w:space="0" w:color="auto"/>
            </w:tcBorders>
          </w:tcPr>
          <w:p>
            <w:pPr>
              <w:tabs>
                <w:tab w:val="right" w:pos="4461"/>
              </w:tabs>
              <w:rPr>
                <w:rFonts w:ascii="Arial" w:hAnsi="Arial"/>
                <w:noProof/>
                <w:sz w:val="15"/>
                <w:szCs w:val="15"/>
              </w:rPr>
            </w:pPr>
          </w:p>
        </w:tc>
        <w:tc>
          <w:tcPr>
            <w:tcW w:w="4834" w:type="dxa"/>
            <w:gridSpan w:val="6"/>
            <w:tcBorders>
              <w:left w:val="single" w:sz="6" w:space="0" w:color="auto"/>
              <w:right w:val="single" w:sz="6" w:space="0" w:color="auto"/>
            </w:tcBorders>
          </w:tcPr>
          <w:p>
            <w:pPr>
              <w:tabs>
                <w:tab w:val="right" w:pos="4461"/>
              </w:tabs>
              <w:rPr>
                <w:rFonts w:ascii="Arial" w:hAnsi="Arial"/>
                <w:noProof/>
                <w:sz w:val="15"/>
                <w:szCs w:val="15"/>
              </w:rPr>
            </w:pPr>
          </w:p>
        </w:tc>
      </w:tr>
      <w:tr>
        <w:tc>
          <w:tcPr>
            <w:tcW w:w="351" w:type="dxa"/>
            <w:tcBorders>
              <w:left w:val="single" w:sz="6" w:space="0" w:color="auto"/>
            </w:tcBorders>
          </w:tcPr>
          <w:p>
            <w:pPr>
              <w:tabs>
                <w:tab w:val="right" w:pos="4461"/>
              </w:tabs>
              <w:rPr>
                <w:rFonts w:ascii="Arial" w:hAnsi="Arial"/>
                <w:noProof/>
                <w:sz w:val="15"/>
                <w:szCs w:val="15"/>
              </w:rPr>
            </w:pPr>
          </w:p>
        </w:tc>
        <w:tc>
          <w:tcPr>
            <w:tcW w:w="2488" w:type="dxa"/>
            <w:gridSpan w:val="5"/>
          </w:tcPr>
          <w:p>
            <w:pPr>
              <w:tabs>
                <w:tab w:val="right" w:pos="4461"/>
              </w:tabs>
              <w:rPr>
                <w:noProof/>
                <w:sz w:val="15"/>
                <w:szCs w:val="15"/>
              </w:rPr>
            </w:pPr>
            <w:r>
              <w:rPr>
                <w:noProof/>
                <w:sz w:val="15"/>
                <w:szCs w:val="15"/>
              </w:rPr>
              <w:t>Формуляр: ...........................................</w:t>
            </w:r>
          </w:p>
        </w:tc>
        <w:tc>
          <w:tcPr>
            <w:tcW w:w="2428" w:type="dxa"/>
            <w:tcBorders>
              <w:right w:val="single" w:sz="6" w:space="0" w:color="auto"/>
            </w:tcBorders>
          </w:tcPr>
          <w:p>
            <w:pPr>
              <w:tabs>
                <w:tab w:val="right" w:pos="4461"/>
              </w:tabs>
              <w:rPr>
                <w:noProof/>
                <w:sz w:val="15"/>
                <w:szCs w:val="15"/>
              </w:rPr>
            </w:pPr>
            <w:r>
              <w:rPr>
                <w:noProof/>
                <w:sz w:val="15"/>
                <w:szCs w:val="15"/>
              </w:rPr>
              <w:t>№: .................... ..............................</w:t>
            </w:r>
          </w:p>
        </w:tc>
        <w:tc>
          <w:tcPr>
            <w:tcW w:w="4834" w:type="dxa"/>
            <w:gridSpan w:val="6"/>
            <w:tcBorders>
              <w:left w:val="single" w:sz="6" w:space="0" w:color="auto"/>
              <w:right w:val="single" w:sz="6" w:space="0" w:color="auto"/>
            </w:tcBorders>
          </w:tcPr>
          <w:p>
            <w:pPr>
              <w:tabs>
                <w:tab w:val="right" w:pos="4461"/>
              </w:tabs>
              <w:rPr>
                <w:noProof/>
                <w:sz w:val="15"/>
                <w:szCs w:val="15"/>
              </w:rPr>
            </w:pPr>
          </w:p>
        </w:tc>
      </w:tr>
      <w:tr>
        <w:trPr>
          <w:cantSplit/>
          <w:trHeight w:val="249"/>
        </w:trPr>
        <w:tc>
          <w:tcPr>
            <w:tcW w:w="5267" w:type="dxa"/>
            <w:gridSpan w:val="7"/>
            <w:tcBorders>
              <w:left w:val="single" w:sz="6" w:space="0" w:color="auto"/>
              <w:right w:val="single" w:sz="6" w:space="0" w:color="auto"/>
            </w:tcBorders>
          </w:tcPr>
          <w:p>
            <w:pPr>
              <w:tabs>
                <w:tab w:val="right" w:pos="4461"/>
              </w:tabs>
              <w:rPr>
                <w:noProof/>
                <w:sz w:val="15"/>
                <w:szCs w:val="15"/>
              </w:rPr>
            </w:pPr>
            <w:r>
              <w:rPr>
                <w:noProof/>
                <w:sz w:val="15"/>
                <w:szCs w:val="15"/>
              </w:rPr>
              <w:t>Серия: ………………………….…………………………………………</w:t>
            </w:r>
          </w:p>
        </w:tc>
        <w:tc>
          <w:tcPr>
            <w:tcW w:w="4834" w:type="dxa"/>
            <w:gridSpan w:val="6"/>
            <w:tcBorders>
              <w:left w:val="single" w:sz="6" w:space="0" w:color="auto"/>
              <w:right w:val="single" w:sz="6" w:space="0" w:color="auto"/>
            </w:tcBorders>
          </w:tcPr>
          <w:p>
            <w:pPr>
              <w:tabs>
                <w:tab w:val="right" w:pos="4461"/>
              </w:tabs>
              <w:rPr>
                <w:noProof/>
                <w:sz w:val="15"/>
                <w:szCs w:val="15"/>
              </w:rPr>
            </w:pPr>
          </w:p>
        </w:tc>
      </w:tr>
      <w:tr>
        <w:trPr>
          <w:cantSplit/>
          <w:trHeight w:val="192"/>
        </w:trPr>
        <w:tc>
          <w:tcPr>
            <w:tcW w:w="351" w:type="dxa"/>
            <w:vMerge w:val="restart"/>
            <w:tcBorders>
              <w:left w:val="single" w:sz="6" w:space="0" w:color="auto"/>
            </w:tcBorders>
          </w:tcPr>
          <w:p>
            <w:pPr>
              <w:tabs>
                <w:tab w:val="right" w:pos="4461"/>
              </w:tabs>
              <w:rPr>
                <w:noProof/>
                <w:sz w:val="15"/>
                <w:szCs w:val="15"/>
              </w:rPr>
            </w:pPr>
          </w:p>
        </w:tc>
        <w:tc>
          <w:tcPr>
            <w:tcW w:w="552" w:type="dxa"/>
            <w:tcBorders>
              <w:right w:val="single" w:sz="4" w:space="0" w:color="auto"/>
            </w:tcBorders>
          </w:tcPr>
          <w:p>
            <w:pPr>
              <w:tabs>
                <w:tab w:val="right" w:pos="4461"/>
              </w:tabs>
              <w:rPr>
                <w:noProof/>
                <w:sz w:val="15"/>
                <w:szCs w:val="15"/>
              </w:rPr>
            </w:pPr>
            <w:r>
              <w:rPr>
                <w:noProof/>
                <w:sz w:val="15"/>
                <w:szCs w:val="15"/>
              </w:rPr>
              <w:t>Дата:</w:t>
            </w:r>
          </w:p>
        </w:tc>
        <w:tc>
          <w:tcPr>
            <w:tcW w:w="432" w:type="dxa"/>
            <w:tcBorders>
              <w:top w:val="single" w:sz="4" w:space="0" w:color="auto"/>
              <w:left w:val="single" w:sz="4" w:space="0" w:color="auto"/>
              <w:bottom w:val="single" w:sz="4" w:space="0" w:color="auto"/>
            </w:tcBorders>
          </w:tcPr>
          <w:p>
            <w:pPr>
              <w:tabs>
                <w:tab w:val="right" w:pos="4461"/>
              </w:tabs>
              <w:rPr>
                <w:noProof/>
                <w:sz w:val="15"/>
                <w:szCs w:val="15"/>
              </w:rPr>
            </w:pPr>
          </w:p>
        </w:tc>
        <w:tc>
          <w:tcPr>
            <w:tcW w:w="384" w:type="dxa"/>
            <w:tcBorders>
              <w:top w:val="single" w:sz="4" w:space="0" w:color="auto"/>
              <w:left w:val="single" w:sz="4" w:space="0" w:color="auto"/>
              <w:bottom w:val="single" w:sz="4" w:space="0" w:color="auto"/>
            </w:tcBorders>
          </w:tcPr>
          <w:p>
            <w:pPr>
              <w:tabs>
                <w:tab w:val="right" w:pos="4461"/>
              </w:tabs>
              <w:rPr>
                <w:noProof/>
                <w:sz w:val="15"/>
                <w:szCs w:val="15"/>
              </w:rPr>
            </w:pPr>
          </w:p>
        </w:tc>
        <w:tc>
          <w:tcPr>
            <w:tcW w:w="384" w:type="dxa"/>
            <w:tcBorders>
              <w:top w:val="single" w:sz="4" w:space="0" w:color="auto"/>
              <w:left w:val="single" w:sz="4" w:space="0" w:color="auto"/>
              <w:bottom w:val="single" w:sz="4" w:space="0" w:color="auto"/>
            </w:tcBorders>
          </w:tcPr>
          <w:p>
            <w:pPr>
              <w:tabs>
                <w:tab w:val="right" w:pos="4461"/>
              </w:tabs>
              <w:rPr>
                <w:noProof/>
                <w:sz w:val="15"/>
                <w:szCs w:val="15"/>
              </w:rPr>
            </w:pPr>
          </w:p>
        </w:tc>
        <w:tc>
          <w:tcPr>
            <w:tcW w:w="736" w:type="dxa"/>
            <w:tcBorders>
              <w:left w:val="single" w:sz="4" w:space="0" w:color="auto"/>
            </w:tcBorders>
          </w:tcPr>
          <w:p>
            <w:pPr>
              <w:tabs>
                <w:tab w:val="right" w:pos="4461"/>
              </w:tabs>
              <w:rPr>
                <w:noProof/>
                <w:sz w:val="15"/>
                <w:szCs w:val="15"/>
              </w:rPr>
            </w:pPr>
          </w:p>
        </w:tc>
        <w:tc>
          <w:tcPr>
            <w:tcW w:w="2436" w:type="dxa"/>
            <w:gridSpan w:val="2"/>
            <w:vMerge w:val="restart"/>
            <w:tcBorders>
              <w:right w:val="single" w:sz="6" w:space="0" w:color="auto"/>
            </w:tcBorders>
          </w:tcPr>
          <w:p>
            <w:pPr>
              <w:tabs>
                <w:tab w:val="right" w:pos="4461"/>
              </w:tabs>
              <w:rPr>
                <w:b/>
                <w:noProof/>
                <w:sz w:val="15"/>
                <w:szCs w:val="15"/>
              </w:rPr>
            </w:pPr>
          </w:p>
        </w:tc>
        <w:tc>
          <w:tcPr>
            <w:tcW w:w="4826" w:type="dxa"/>
            <w:gridSpan w:val="5"/>
            <w:vMerge w:val="restart"/>
            <w:tcBorders>
              <w:right w:val="single" w:sz="6" w:space="0" w:color="auto"/>
            </w:tcBorders>
          </w:tcPr>
          <w:p>
            <w:pPr>
              <w:tabs>
                <w:tab w:val="right" w:pos="4461"/>
              </w:tabs>
              <w:rPr>
                <w:b/>
                <w:noProof/>
                <w:sz w:val="15"/>
                <w:szCs w:val="15"/>
              </w:rPr>
            </w:pPr>
          </w:p>
        </w:tc>
      </w:tr>
      <w:tr>
        <w:trPr>
          <w:cantSplit/>
          <w:trHeight w:val="120"/>
        </w:trPr>
        <w:tc>
          <w:tcPr>
            <w:tcW w:w="351" w:type="dxa"/>
            <w:vMerge/>
            <w:tcBorders>
              <w:left w:val="single" w:sz="6" w:space="0" w:color="auto"/>
            </w:tcBorders>
          </w:tcPr>
          <w:p>
            <w:pPr>
              <w:tabs>
                <w:tab w:val="right" w:pos="4461"/>
              </w:tabs>
              <w:rPr>
                <w:noProof/>
                <w:sz w:val="15"/>
                <w:szCs w:val="15"/>
              </w:rPr>
            </w:pPr>
          </w:p>
        </w:tc>
        <w:tc>
          <w:tcPr>
            <w:tcW w:w="2488" w:type="dxa"/>
            <w:gridSpan w:val="5"/>
            <w:tcBorders>
              <w:bottom w:val="single" w:sz="6" w:space="0" w:color="auto"/>
            </w:tcBorders>
          </w:tcPr>
          <w:p>
            <w:pPr>
              <w:tabs>
                <w:tab w:val="right" w:pos="4461"/>
              </w:tabs>
              <w:rPr>
                <w:noProof/>
                <w:sz w:val="15"/>
                <w:szCs w:val="15"/>
              </w:rPr>
            </w:pPr>
          </w:p>
        </w:tc>
        <w:tc>
          <w:tcPr>
            <w:tcW w:w="2436" w:type="dxa"/>
            <w:gridSpan w:val="2"/>
            <w:vMerge/>
            <w:tcBorders>
              <w:right w:val="single" w:sz="6" w:space="0" w:color="auto"/>
            </w:tcBorders>
          </w:tcPr>
          <w:p>
            <w:pPr>
              <w:tabs>
                <w:tab w:val="right" w:pos="4461"/>
              </w:tabs>
              <w:rPr>
                <w:b/>
                <w:noProof/>
                <w:sz w:val="15"/>
                <w:szCs w:val="15"/>
              </w:rPr>
            </w:pPr>
          </w:p>
        </w:tc>
        <w:tc>
          <w:tcPr>
            <w:tcW w:w="4826" w:type="dxa"/>
            <w:gridSpan w:val="5"/>
            <w:vMerge/>
            <w:tcBorders>
              <w:right w:val="single" w:sz="6" w:space="0" w:color="auto"/>
            </w:tcBorders>
          </w:tcPr>
          <w:p>
            <w:pPr>
              <w:tabs>
                <w:tab w:val="right" w:pos="4461"/>
              </w:tabs>
              <w:rPr>
                <w:b/>
                <w:noProof/>
                <w:sz w:val="15"/>
                <w:szCs w:val="15"/>
              </w:rPr>
            </w:pPr>
          </w:p>
        </w:tc>
      </w:tr>
      <w:tr>
        <w:tc>
          <w:tcPr>
            <w:tcW w:w="351" w:type="dxa"/>
            <w:tcBorders>
              <w:top w:val="single" w:sz="6" w:space="0" w:color="auto"/>
              <w:left w:val="single" w:sz="6" w:space="0" w:color="auto"/>
              <w:bottom w:val="single" w:sz="6" w:space="0" w:color="auto"/>
            </w:tcBorders>
          </w:tcPr>
          <w:p>
            <w:pPr>
              <w:tabs>
                <w:tab w:val="right" w:pos="4461"/>
              </w:tabs>
              <w:rPr>
                <w:noProof/>
                <w:sz w:val="15"/>
                <w:szCs w:val="15"/>
              </w:rPr>
            </w:pPr>
          </w:p>
        </w:tc>
        <w:tc>
          <w:tcPr>
            <w:tcW w:w="2488" w:type="dxa"/>
            <w:gridSpan w:val="5"/>
            <w:tcBorders>
              <w:bottom w:val="single" w:sz="6" w:space="0" w:color="auto"/>
            </w:tcBorders>
          </w:tcPr>
          <w:p>
            <w:pPr>
              <w:tabs>
                <w:tab w:val="right" w:pos="4461"/>
              </w:tabs>
              <w:rPr>
                <w:noProof/>
                <w:sz w:val="15"/>
                <w:szCs w:val="15"/>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szCs w:val="15"/>
              </w:rPr>
            </w:pPr>
            <w:r>
              <w:rPr>
                <w:b/>
                <w:noProof/>
                <w:sz w:val="15"/>
                <w:szCs w:val="15"/>
              </w:rPr>
              <w:t>СТОКИ, ИЗПРАТЕНИ КЪМ ДЪРЖАВА ПО МЕСТОНАЗНАЧЕНИЕ</w:t>
            </w:r>
          </w:p>
        </w:tc>
      </w:tr>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t>8.</w:t>
            </w:r>
          </w:p>
        </w:tc>
        <w:tc>
          <w:tcPr>
            <w:tcW w:w="2488" w:type="dxa"/>
            <w:gridSpan w:val="5"/>
            <w:tcBorders>
              <w:top w:val="single" w:sz="6" w:space="0" w:color="auto"/>
              <w:right w:val="single" w:sz="6" w:space="0" w:color="auto"/>
            </w:tcBorders>
          </w:tcPr>
          <w:p>
            <w:pPr>
              <w:tabs>
                <w:tab w:val="right" w:pos="4461"/>
              </w:tabs>
              <w:rPr>
                <w:noProof/>
                <w:sz w:val="15"/>
                <w:szCs w:val="15"/>
              </w:rPr>
            </w:pPr>
            <w:r>
              <w:rPr>
                <w:noProof/>
                <w:sz w:val="15"/>
                <w:szCs w:val="15"/>
              </w:rPr>
              <w:t>Маркировки, номера, количество</w:t>
            </w:r>
          </w:p>
        </w:tc>
        <w:tc>
          <w:tcPr>
            <w:tcW w:w="4824" w:type="dxa"/>
            <w:gridSpan w:val="4"/>
            <w:tcBorders>
              <w:top w:val="single" w:sz="6" w:space="0" w:color="auto"/>
              <w:left w:val="single" w:sz="6" w:space="0" w:color="auto"/>
              <w:right w:val="single" w:sz="6" w:space="0" w:color="auto"/>
            </w:tcBorders>
          </w:tcPr>
          <w:p>
            <w:pPr>
              <w:tabs>
                <w:tab w:val="right" w:pos="4461"/>
              </w:tabs>
              <w:jc w:val="center"/>
              <w:rPr>
                <w:noProof/>
                <w:sz w:val="15"/>
                <w:szCs w:val="15"/>
              </w:rPr>
            </w:pPr>
            <w:r>
              <w:rPr>
                <w:noProof/>
                <w:sz w:val="15"/>
                <w:szCs w:val="15"/>
              </w:rPr>
              <w:t>9. Хармонизирана система за описание и кодиране на стоките</w:t>
            </w:r>
          </w:p>
        </w:tc>
        <w:tc>
          <w:tcPr>
            <w:tcW w:w="2438" w:type="dxa"/>
            <w:gridSpan w:val="3"/>
            <w:tcBorders>
              <w:top w:val="single" w:sz="6" w:space="0" w:color="auto"/>
              <w:left w:val="single" w:sz="6" w:space="0" w:color="auto"/>
              <w:right w:val="single" w:sz="6" w:space="0" w:color="auto"/>
            </w:tcBorders>
          </w:tcPr>
          <w:p>
            <w:pPr>
              <w:tabs>
                <w:tab w:val="right" w:pos="4461"/>
              </w:tabs>
              <w:rPr>
                <w:rFonts w:ascii="Arial" w:hAnsi="Arial"/>
                <w:noProof/>
                <w:sz w:val="15"/>
                <w:szCs w:val="15"/>
              </w:rPr>
            </w:pPr>
            <w:r>
              <w:rPr>
                <w:noProof/>
                <w:sz w:val="15"/>
                <w:szCs w:val="15"/>
              </w:rPr>
              <w:t>10. Количество(1)</w:t>
            </w:r>
          </w:p>
        </w:tc>
      </w:tr>
      <w:tr>
        <w:tc>
          <w:tcPr>
            <w:tcW w:w="351" w:type="dxa"/>
            <w:tcBorders>
              <w:left w:val="single" w:sz="6" w:space="0" w:color="auto"/>
            </w:tcBorders>
          </w:tcPr>
          <w:p>
            <w:pPr>
              <w:tabs>
                <w:tab w:val="right" w:pos="4461"/>
              </w:tabs>
              <w:rPr>
                <w:rFonts w:ascii="Arial" w:hAnsi="Arial"/>
                <w:noProof/>
                <w:sz w:val="15"/>
                <w:szCs w:val="15"/>
              </w:rPr>
            </w:pPr>
          </w:p>
        </w:tc>
        <w:tc>
          <w:tcPr>
            <w:tcW w:w="2488" w:type="dxa"/>
            <w:gridSpan w:val="5"/>
            <w:tcBorders>
              <w:right w:val="single" w:sz="6" w:space="0" w:color="auto"/>
            </w:tcBorders>
          </w:tcPr>
          <w:p>
            <w:pPr>
              <w:tabs>
                <w:tab w:val="right" w:pos="4461"/>
              </w:tabs>
              <w:rPr>
                <w:noProof/>
                <w:sz w:val="15"/>
                <w:szCs w:val="15"/>
              </w:rPr>
            </w:pPr>
            <w:r>
              <w:rPr>
                <w:noProof/>
                <w:sz w:val="15"/>
                <w:szCs w:val="15"/>
              </w:rPr>
              <w:t>и вид на опаковките</w:t>
            </w:r>
          </w:p>
        </w:tc>
        <w:tc>
          <w:tcPr>
            <w:tcW w:w="4824" w:type="dxa"/>
            <w:gridSpan w:val="4"/>
            <w:tcBorders>
              <w:left w:val="single" w:sz="6" w:space="0" w:color="auto"/>
              <w:right w:val="single" w:sz="6" w:space="0" w:color="auto"/>
            </w:tcBorders>
          </w:tcPr>
          <w:p>
            <w:pPr>
              <w:tabs>
                <w:tab w:val="right" w:pos="4461"/>
              </w:tabs>
              <w:jc w:val="center"/>
              <w:rPr>
                <w:noProof/>
                <w:sz w:val="15"/>
                <w:szCs w:val="15"/>
              </w:rPr>
            </w:pPr>
            <w:r>
              <w:rPr>
                <w:noProof/>
                <w:sz w:val="15"/>
                <w:szCs w:val="15"/>
              </w:rPr>
              <w:t>номер на позиция/подпозиция (код по ХС)</w:t>
            </w:r>
          </w:p>
        </w:tc>
        <w:tc>
          <w:tcPr>
            <w:tcW w:w="2438" w:type="dxa"/>
            <w:gridSpan w:val="3"/>
            <w:tcBorders>
              <w:left w:val="single" w:sz="6" w:space="0" w:color="auto"/>
              <w:bottom w:val="single" w:sz="6" w:space="0" w:color="auto"/>
              <w:right w:val="single" w:sz="6" w:space="0" w:color="auto"/>
            </w:tcBorders>
          </w:tcPr>
          <w:p>
            <w:pPr>
              <w:tabs>
                <w:tab w:val="right" w:pos="4461"/>
              </w:tabs>
              <w:rPr>
                <w:noProof/>
                <w:sz w:val="15"/>
                <w:szCs w:val="15"/>
              </w:rPr>
            </w:pPr>
          </w:p>
          <w:p>
            <w:pPr>
              <w:tabs>
                <w:tab w:val="right" w:pos="4461"/>
              </w:tabs>
              <w:rPr>
                <w:noProof/>
                <w:sz w:val="15"/>
                <w:szCs w:val="15"/>
              </w:rPr>
            </w:pPr>
          </w:p>
        </w:tc>
      </w:tr>
      <w:tr>
        <w:tc>
          <w:tcPr>
            <w:tcW w:w="351" w:type="dxa"/>
            <w:tcBorders>
              <w:left w:val="single" w:sz="6" w:space="0" w:color="auto"/>
              <w:bottom w:val="single" w:sz="6" w:space="0" w:color="auto"/>
            </w:tcBorders>
          </w:tcPr>
          <w:p>
            <w:pPr>
              <w:tabs>
                <w:tab w:val="right" w:pos="4461"/>
              </w:tabs>
              <w:rPr>
                <w:noProof/>
                <w:sz w:val="15"/>
                <w:szCs w:val="15"/>
              </w:rPr>
            </w:pPr>
          </w:p>
        </w:tc>
        <w:tc>
          <w:tcPr>
            <w:tcW w:w="2488" w:type="dxa"/>
            <w:gridSpan w:val="5"/>
            <w:tcBorders>
              <w:bottom w:val="single" w:sz="6" w:space="0" w:color="auto"/>
              <w:right w:val="single" w:sz="6" w:space="0" w:color="auto"/>
            </w:tcBorders>
          </w:tcPr>
          <w:p>
            <w:pPr>
              <w:tabs>
                <w:tab w:val="right" w:pos="4461"/>
              </w:tabs>
              <w:rPr>
                <w:noProof/>
                <w:sz w:val="15"/>
                <w:szCs w:val="15"/>
              </w:rPr>
            </w:pPr>
          </w:p>
        </w:tc>
        <w:tc>
          <w:tcPr>
            <w:tcW w:w="4824" w:type="dxa"/>
            <w:gridSpan w:val="4"/>
            <w:tcBorders>
              <w:left w:val="single" w:sz="6" w:space="0" w:color="auto"/>
              <w:bottom w:val="single" w:sz="6" w:space="0" w:color="auto"/>
              <w:right w:val="single" w:sz="6" w:space="0" w:color="auto"/>
            </w:tcBorders>
          </w:tcPr>
          <w:p>
            <w:pPr>
              <w:tabs>
                <w:tab w:val="right" w:pos="4461"/>
              </w:tabs>
              <w:rPr>
                <w:noProof/>
                <w:sz w:val="15"/>
                <w:szCs w:val="15"/>
              </w:rPr>
            </w:pPr>
          </w:p>
        </w:tc>
        <w:tc>
          <w:tcPr>
            <w:tcW w:w="2438" w:type="dxa"/>
            <w:gridSpan w:val="3"/>
            <w:tcBorders>
              <w:top w:val="single" w:sz="6" w:space="0" w:color="auto"/>
              <w:left w:val="single" w:sz="6" w:space="0" w:color="auto"/>
              <w:bottom w:val="single" w:sz="6" w:space="0" w:color="auto"/>
              <w:right w:val="single" w:sz="6" w:space="0" w:color="auto"/>
            </w:tcBorders>
          </w:tcPr>
          <w:p>
            <w:pPr>
              <w:tabs>
                <w:tab w:val="right" w:pos="4461"/>
              </w:tabs>
              <w:rPr>
                <w:rFonts w:ascii="Arial" w:hAnsi="Arial"/>
                <w:noProof/>
                <w:sz w:val="15"/>
                <w:szCs w:val="15"/>
              </w:rPr>
            </w:pPr>
            <w:r>
              <w:rPr>
                <w:noProof/>
                <w:sz w:val="15"/>
                <w:szCs w:val="15"/>
              </w:rPr>
              <w:t>11. Стойност(4)</w:t>
            </w:r>
          </w:p>
        </w:tc>
      </w:tr>
      <w:tr>
        <w:tc>
          <w:tcPr>
            <w:tcW w:w="351" w:type="dxa"/>
            <w:tcBorders>
              <w:top w:val="single" w:sz="6" w:space="0" w:color="auto"/>
              <w:left w:val="single" w:sz="6" w:space="0" w:color="auto"/>
              <w:bottom w:val="single" w:sz="6" w:space="0" w:color="auto"/>
            </w:tcBorders>
          </w:tcPr>
          <w:p>
            <w:pPr>
              <w:tabs>
                <w:tab w:val="right" w:pos="4461"/>
              </w:tabs>
              <w:rPr>
                <w:rFonts w:ascii="Arial" w:hAnsi="Arial"/>
                <w:noProof/>
                <w:sz w:val="15"/>
                <w:szCs w:val="15"/>
              </w:rPr>
            </w:pPr>
          </w:p>
        </w:tc>
        <w:tc>
          <w:tcPr>
            <w:tcW w:w="2488" w:type="dxa"/>
            <w:gridSpan w:val="5"/>
            <w:tcBorders>
              <w:top w:val="single" w:sz="6" w:space="0" w:color="auto"/>
              <w:bottom w:val="single" w:sz="6" w:space="0" w:color="auto"/>
            </w:tcBorders>
          </w:tcPr>
          <w:p>
            <w:pPr>
              <w:tabs>
                <w:tab w:val="right" w:pos="4461"/>
              </w:tabs>
              <w:rPr>
                <w:rFonts w:ascii="Arial" w:hAnsi="Arial"/>
                <w:noProof/>
                <w:sz w:val="15"/>
                <w:szCs w:val="15"/>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szCs w:val="15"/>
              </w:rPr>
            </w:pPr>
            <w:r>
              <w:rPr>
                <w:b/>
                <w:noProof/>
                <w:sz w:val="15"/>
                <w:szCs w:val="15"/>
              </w:rPr>
              <w:t>ИЗПОЛЗВАНИ ВНЕСЕНИ СТОКИ</w:t>
            </w:r>
          </w:p>
        </w:tc>
      </w:tr>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t>12.</w:t>
            </w:r>
          </w:p>
        </w:tc>
        <w:tc>
          <w:tcPr>
            <w:tcW w:w="5728" w:type="dxa"/>
            <w:gridSpan w:val="8"/>
            <w:tcBorders>
              <w:top w:val="single" w:sz="6" w:space="0" w:color="auto"/>
              <w:right w:val="single" w:sz="6" w:space="0" w:color="auto"/>
            </w:tcBorders>
          </w:tcPr>
          <w:p>
            <w:pPr>
              <w:tabs>
                <w:tab w:val="right" w:pos="4461"/>
              </w:tabs>
              <w:rPr>
                <w:noProof/>
                <w:sz w:val="15"/>
                <w:szCs w:val="15"/>
              </w:rPr>
            </w:pPr>
            <w:r>
              <w:rPr>
                <w:noProof/>
                <w:sz w:val="15"/>
                <w:szCs w:val="15"/>
              </w:rPr>
              <w:t>Хармонизирана система за описание и кодиране на стоките</w:t>
            </w:r>
          </w:p>
        </w:tc>
        <w:tc>
          <w:tcPr>
            <w:tcW w:w="1584" w:type="dxa"/>
            <w:tcBorders>
              <w:top w:val="single" w:sz="6" w:space="0" w:color="auto"/>
              <w:left w:val="single" w:sz="6" w:space="0" w:color="auto"/>
              <w:right w:val="single" w:sz="6" w:space="0" w:color="auto"/>
            </w:tcBorders>
          </w:tcPr>
          <w:p>
            <w:pPr>
              <w:tabs>
                <w:tab w:val="right" w:pos="4461"/>
              </w:tabs>
              <w:rPr>
                <w:noProof/>
                <w:sz w:val="15"/>
                <w:szCs w:val="15"/>
              </w:rPr>
            </w:pPr>
            <w:r>
              <w:rPr>
                <w:noProof/>
                <w:sz w:val="15"/>
                <w:szCs w:val="15"/>
              </w:rPr>
              <w:t>13. Държава на</w:t>
            </w:r>
          </w:p>
        </w:tc>
        <w:tc>
          <w:tcPr>
            <w:tcW w:w="1243" w:type="dxa"/>
            <w:tcBorders>
              <w:top w:val="single" w:sz="6" w:space="0" w:color="auto"/>
              <w:left w:val="single" w:sz="6" w:space="0" w:color="auto"/>
              <w:right w:val="single" w:sz="6" w:space="0" w:color="auto"/>
            </w:tcBorders>
          </w:tcPr>
          <w:p>
            <w:pPr>
              <w:tabs>
                <w:tab w:val="right" w:pos="4461"/>
              </w:tabs>
              <w:rPr>
                <w:rFonts w:ascii="Arial" w:hAnsi="Arial"/>
                <w:noProof/>
                <w:sz w:val="15"/>
                <w:szCs w:val="15"/>
              </w:rPr>
            </w:pPr>
            <w:r>
              <w:rPr>
                <w:noProof/>
                <w:sz w:val="15"/>
                <w:szCs w:val="15"/>
              </w:rPr>
              <w:t>14. Количество(3)</w:t>
            </w:r>
          </w:p>
        </w:tc>
        <w:tc>
          <w:tcPr>
            <w:tcW w:w="1195" w:type="dxa"/>
            <w:gridSpan w:val="2"/>
            <w:tcBorders>
              <w:top w:val="single" w:sz="6" w:space="0" w:color="auto"/>
              <w:left w:val="single" w:sz="6" w:space="0" w:color="auto"/>
              <w:right w:val="single" w:sz="6" w:space="0" w:color="auto"/>
            </w:tcBorders>
          </w:tcPr>
          <w:p>
            <w:pPr>
              <w:tabs>
                <w:tab w:val="right" w:pos="4461"/>
              </w:tabs>
              <w:rPr>
                <w:rFonts w:ascii="Arial" w:hAnsi="Arial"/>
                <w:noProof/>
                <w:sz w:val="15"/>
                <w:szCs w:val="15"/>
              </w:rPr>
            </w:pPr>
            <w:r>
              <w:rPr>
                <w:noProof/>
                <w:sz w:val="15"/>
                <w:szCs w:val="15"/>
              </w:rPr>
              <w:t>15. Стойност(2)(5)</w:t>
            </w:r>
          </w:p>
        </w:tc>
      </w:tr>
      <w:tr>
        <w:tc>
          <w:tcPr>
            <w:tcW w:w="351" w:type="dxa"/>
            <w:tcBorders>
              <w:left w:val="single" w:sz="6" w:space="0" w:color="auto"/>
              <w:bottom w:val="single" w:sz="6" w:space="0" w:color="auto"/>
            </w:tcBorders>
          </w:tcPr>
          <w:p>
            <w:pPr>
              <w:tabs>
                <w:tab w:val="right" w:pos="4461"/>
              </w:tabs>
              <w:rPr>
                <w:rFonts w:ascii="Arial" w:hAnsi="Arial"/>
                <w:noProof/>
                <w:sz w:val="15"/>
                <w:szCs w:val="15"/>
              </w:rPr>
            </w:pPr>
          </w:p>
        </w:tc>
        <w:tc>
          <w:tcPr>
            <w:tcW w:w="5728" w:type="dxa"/>
            <w:gridSpan w:val="8"/>
            <w:tcBorders>
              <w:bottom w:val="single" w:sz="6" w:space="0" w:color="auto"/>
              <w:right w:val="single" w:sz="6" w:space="0" w:color="auto"/>
            </w:tcBorders>
          </w:tcPr>
          <w:p>
            <w:pPr>
              <w:tabs>
                <w:tab w:val="right" w:pos="4461"/>
              </w:tabs>
              <w:rPr>
                <w:noProof/>
                <w:sz w:val="15"/>
                <w:szCs w:val="15"/>
              </w:rPr>
            </w:pPr>
            <w:r>
              <w:rPr>
                <w:noProof/>
                <w:sz w:val="15"/>
                <w:szCs w:val="15"/>
              </w:rPr>
              <w:t>номер на позиция/подпозиция (код по ХС)</w:t>
            </w:r>
          </w:p>
        </w:tc>
        <w:tc>
          <w:tcPr>
            <w:tcW w:w="1584" w:type="dxa"/>
            <w:tcBorders>
              <w:left w:val="single" w:sz="6" w:space="0" w:color="auto"/>
              <w:bottom w:val="single" w:sz="6" w:space="0" w:color="auto"/>
              <w:right w:val="single" w:sz="6" w:space="0" w:color="auto"/>
            </w:tcBorders>
          </w:tcPr>
          <w:p>
            <w:pPr>
              <w:tabs>
                <w:tab w:val="right" w:pos="4461"/>
              </w:tabs>
              <w:rPr>
                <w:noProof/>
                <w:sz w:val="15"/>
                <w:szCs w:val="15"/>
              </w:rPr>
            </w:pPr>
            <w:r>
              <w:rPr>
                <w:noProof/>
                <w:sz w:val="15"/>
                <w:szCs w:val="15"/>
              </w:rPr>
              <w:t>произход</w:t>
            </w:r>
          </w:p>
        </w:tc>
        <w:tc>
          <w:tcPr>
            <w:tcW w:w="1243" w:type="dxa"/>
            <w:tcBorders>
              <w:left w:val="single" w:sz="6" w:space="0" w:color="auto"/>
              <w:bottom w:val="single" w:sz="6" w:space="0" w:color="auto"/>
              <w:right w:val="single" w:sz="6" w:space="0" w:color="auto"/>
            </w:tcBorders>
          </w:tcPr>
          <w:p>
            <w:pPr>
              <w:tabs>
                <w:tab w:val="right" w:pos="4461"/>
              </w:tabs>
              <w:rPr>
                <w:noProof/>
                <w:sz w:val="15"/>
                <w:szCs w:val="15"/>
              </w:rPr>
            </w:pPr>
          </w:p>
        </w:tc>
        <w:tc>
          <w:tcPr>
            <w:tcW w:w="1195" w:type="dxa"/>
            <w:gridSpan w:val="2"/>
            <w:tcBorders>
              <w:left w:val="single" w:sz="6" w:space="0" w:color="auto"/>
              <w:bottom w:val="single" w:sz="6" w:space="0" w:color="auto"/>
              <w:right w:val="single" w:sz="6" w:space="0" w:color="auto"/>
            </w:tcBorders>
          </w:tcPr>
          <w:p>
            <w:pPr>
              <w:tabs>
                <w:tab w:val="right" w:pos="4461"/>
              </w:tabs>
              <w:rPr>
                <w:noProof/>
                <w:sz w:val="15"/>
                <w:szCs w:val="15"/>
              </w:rPr>
            </w:pPr>
          </w:p>
        </w:tc>
      </w:tr>
    </w:tbl>
    <w:p>
      <w:pPr>
        <w:spacing w:before="0" w:after="200" w:line="276" w:lineRule="auto"/>
        <w:jc w:val="left"/>
        <w:rPr>
          <w:noProof/>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72"/>
        <w:gridCol w:w="412"/>
        <w:gridCol w:w="396"/>
        <w:gridCol w:w="372"/>
        <w:gridCol w:w="736"/>
        <w:gridCol w:w="2428"/>
        <w:gridCol w:w="1692"/>
        <w:gridCol w:w="456"/>
        <w:gridCol w:w="456"/>
        <w:gridCol w:w="468"/>
        <w:gridCol w:w="1762"/>
      </w:tblGrid>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lastRenderedPageBreak/>
              <w:t xml:space="preserve">16. </w:t>
            </w:r>
          </w:p>
        </w:tc>
        <w:tc>
          <w:tcPr>
            <w:tcW w:w="9750" w:type="dxa"/>
            <w:gridSpan w:val="11"/>
            <w:tcBorders>
              <w:top w:val="single" w:sz="6" w:space="0" w:color="auto"/>
              <w:bottom w:val="single" w:sz="6" w:space="0" w:color="auto"/>
              <w:right w:val="single" w:sz="6" w:space="0" w:color="auto"/>
            </w:tcBorders>
          </w:tcPr>
          <w:p>
            <w:pPr>
              <w:tabs>
                <w:tab w:val="right" w:pos="4461"/>
              </w:tabs>
              <w:rPr>
                <w:noProof/>
                <w:sz w:val="15"/>
              </w:rPr>
            </w:pPr>
            <w:r>
              <w:rPr>
                <w:noProof/>
                <w:sz w:val="15"/>
              </w:rPr>
              <w:t>Естество на извършената обработка или преработка</w:t>
            </w: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2488" w:type="dxa"/>
            <w:gridSpan w:val="5"/>
            <w:tcBorders>
              <w:top w:val="single" w:sz="6" w:space="0" w:color="auto"/>
              <w:bottom w:val="single" w:sz="6" w:space="0" w:color="auto"/>
            </w:tcBorders>
          </w:tcPr>
          <w:p>
            <w:pPr>
              <w:tabs>
                <w:tab w:val="right" w:pos="4461"/>
              </w:tabs>
              <w:rPr>
                <w:noProof/>
                <w:sz w:val="15"/>
              </w:rPr>
            </w:pPr>
            <w:r>
              <w:rPr>
                <w:noProof/>
                <w:sz w:val="15"/>
              </w:rPr>
              <w:t>Забележки</w:t>
            </w:r>
          </w:p>
          <w:p>
            <w:pPr>
              <w:tabs>
                <w:tab w:val="right" w:pos="4461"/>
              </w:tabs>
              <w:rPr>
                <w:noProof/>
                <w:sz w:val="15"/>
              </w:rPr>
            </w:pPr>
          </w:p>
        </w:tc>
        <w:tc>
          <w:tcPr>
            <w:tcW w:w="7262" w:type="dxa"/>
            <w:gridSpan w:val="6"/>
            <w:tcBorders>
              <w:top w:val="single" w:sz="6" w:space="0" w:color="auto"/>
              <w:bottom w:val="single" w:sz="6" w:space="0" w:color="auto"/>
              <w:right w:val="single" w:sz="6" w:space="0" w:color="auto"/>
            </w:tcBorders>
          </w:tcPr>
          <w:p>
            <w:pPr>
              <w:tabs>
                <w:tab w:val="right" w:pos="4461"/>
              </w:tabs>
              <w:rPr>
                <w:noProof/>
                <w:sz w:val="15"/>
              </w:rPr>
            </w:pPr>
          </w:p>
        </w:tc>
      </w:tr>
      <w:tr>
        <w:tc>
          <w:tcPr>
            <w:tcW w:w="5267" w:type="dxa"/>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МИТНИЧЕСКА ЗАВЕРКА</w:t>
            </w:r>
          </w:p>
        </w:tc>
        <w:tc>
          <w:tcPr>
            <w:tcW w:w="4834" w:type="dxa"/>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ДЕКЛАРАЦИЯ ОТ ДОСТАВЧИКА</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Декларацията заверена:</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Аз, долуподписаният, декларирам, че информацията,</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съдържаща се в настоящия сертификат, е точна.</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Документ: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Формуляр: ................................... №: ……...</w:t>
            </w:r>
          </w:p>
        </w:tc>
        <w:tc>
          <w:tcPr>
            <w:tcW w:w="2428" w:type="dxa"/>
          </w:tcPr>
          <w:p>
            <w:pPr>
              <w:tabs>
                <w:tab w:val="right" w:pos="4461"/>
              </w:tabs>
              <w:rPr>
                <w:noProof/>
                <w:sz w:val="15"/>
              </w:rPr>
            </w:pPr>
          </w:p>
        </w:tc>
        <w:tc>
          <w:tcPr>
            <w:tcW w:w="1692" w:type="dxa"/>
            <w:tcBorders>
              <w:left w:val="single" w:sz="4" w:space="0" w:color="auto"/>
            </w:tcBorders>
          </w:tcPr>
          <w:p>
            <w:pPr>
              <w:tabs>
                <w:tab w:val="right" w:pos="4461"/>
              </w:tabs>
              <w:rPr>
                <w:noProof/>
                <w:sz w:val="15"/>
              </w:rPr>
            </w:pPr>
            <w:r>
              <w:rPr>
                <w:noProof/>
                <w:sz w:val="15"/>
              </w:rPr>
              <w:t>--------------------------------</w:t>
            </w: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68" w:type="dxa"/>
            <w:tcBorders>
              <w:top w:val="single" w:sz="4" w:space="0" w:color="auto"/>
              <w:left w:val="single" w:sz="4" w:space="0" w:color="auto"/>
              <w:bottom w:val="single" w:sz="4" w:space="0" w:color="auto"/>
            </w:tcBorders>
          </w:tcPr>
          <w:p>
            <w:pPr>
              <w:tabs>
                <w:tab w:val="right" w:pos="4461"/>
              </w:tabs>
              <w:rPr>
                <w:noProof/>
                <w:sz w:val="15"/>
              </w:rPr>
            </w:pPr>
          </w:p>
        </w:tc>
        <w:tc>
          <w:tcPr>
            <w:tcW w:w="1762" w:type="dxa"/>
            <w:tcBorders>
              <w:left w:val="single" w:sz="4" w:space="0" w:color="auto"/>
              <w:right w:val="single" w:sz="4"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Митническо учреждение: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Място: ……………………………. Дата: ……………………………………</w:t>
            </w:r>
          </w:p>
        </w:tc>
      </w:tr>
      <w:tr>
        <w:tc>
          <w:tcPr>
            <w:tcW w:w="351" w:type="dxa"/>
            <w:tcBorders>
              <w:left w:val="single" w:sz="6" w:space="0" w:color="auto"/>
            </w:tcBorders>
          </w:tcPr>
          <w:p>
            <w:pPr>
              <w:tabs>
                <w:tab w:val="right" w:pos="4461"/>
              </w:tabs>
              <w:rPr>
                <w:noProof/>
                <w:sz w:val="15"/>
              </w:rPr>
            </w:pPr>
          </w:p>
        </w:tc>
        <w:tc>
          <w:tcPr>
            <w:tcW w:w="572" w:type="dxa"/>
            <w:tcBorders>
              <w:right w:val="single" w:sz="4" w:space="0" w:color="auto"/>
            </w:tcBorders>
          </w:tcPr>
          <w:p>
            <w:pPr>
              <w:tabs>
                <w:tab w:val="right" w:pos="4461"/>
              </w:tabs>
              <w:rPr>
                <w:noProof/>
                <w:sz w:val="15"/>
              </w:rPr>
            </w:pPr>
            <w:r>
              <w:rPr>
                <w:noProof/>
                <w:sz w:val="15"/>
              </w:rPr>
              <w:t>Дата:</w:t>
            </w:r>
          </w:p>
        </w:tc>
        <w:tc>
          <w:tcPr>
            <w:tcW w:w="412" w:type="dxa"/>
            <w:tcBorders>
              <w:top w:val="single" w:sz="4" w:space="0" w:color="auto"/>
              <w:left w:val="single" w:sz="4" w:space="0" w:color="auto"/>
              <w:bottom w:val="single" w:sz="4" w:space="0" w:color="auto"/>
            </w:tcBorders>
          </w:tcPr>
          <w:p>
            <w:pPr>
              <w:tabs>
                <w:tab w:val="right" w:pos="4461"/>
              </w:tabs>
              <w:rPr>
                <w:noProof/>
                <w:sz w:val="15"/>
              </w:rPr>
            </w:pPr>
          </w:p>
        </w:tc>
        <w:tc>
          <w:tcPr>
            <w:tcW w:w="396" w:type="dxa"/>
            <w:tcBorders>
              <w:top w:val="single" w:sz="4" w:space="0" w:color="auto"/>
              <w:left w:val="single" w:sz="4" w:space="0" w:color="auto"/>
              <w:bottom w:val="single" w:sz="4" w:space="0" w:color="auto"/>
            </w:tcBorders>
          </w:tcPr>
          <w:p>
            <w:pPr>
              <w:tabs>
                <w:tab w:val="right" w:pos="4461"/>
              </w:tabs>
              <w:rPr>
                <w:noProof/>
                <w:sz w:val="15"/>
              </w:rPr>
            </w:pPr>
          </w:p>
        </w:tc>
        <w:tc>
          <w:tcPr>
            <w:tcW w:w="372"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jc w:val="center"/>
              <w:rPr>
                <w:noProof/>
                <w:sz w:val="15"/>
              </w:rPr>
            </w:pPr>
            <w:r>
              <w:rPr>
                <w:noProof/>
                <w:sz w:val="15"/>
              </w:rPr>
              <w:t>Печат</w:t>
            </w: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tcBorders>
          </w:tcPr>
          <w:p>
            <w:pPr>
              <w:tabs>
                <w:tab w:val="right" w:pos="4461"/>
              </w:tabs>
              <w:rPr>
                <w:noProof/>
                <w:sz w:val="15"/>
              </w:rPr>
            </w:pPr>
            <w:r>
              <w:rPr>
                <w:noProof/>
                <w:sz w:val="15"/>
              </w:rPr>
              <w:t>---------------------------------------.</w:t>
            </w:r>
          </w:p>
          <w:p>
            <w:pPr>
              <w:tabs>
                <w:tab w:val="right" w:pos="4461"/>
              </w:tabs>
              <w:jc w:val="center"/>
              <w:rPr>
                <w:noProof/>
                <w:sz w:val="15"/>
              </w:rPr>
            </w:pPr>
            <w:r>
              <w:rPr>
                <w:noProof/>
                <w:sz w:val="15"/>
              </w:rPr>
              <w:t>(Подпис)</w:t>
            </w:r>
          </w:p>
        </w:tc>
        <w:tc>
          <w:tcPr>
            <w:tcW w:w="2428" w:type="dxa"/>
            <w:tcBorders>
              <w:bottom w:val="single" w:sz="6" w:space="0" w:color="auto"/>
              <w:right w:val="single" w:sz="6" w:space="0" w:color="auto"/>
            </w:tcBorders>
          </w:tcPr>
          <w:p>
            <w:pPr>
              <w:tabs>
                <w:tab w:val="right" w:pos="4461"/>
              </w:tabs>
              <w:jc w:val="right"/>
              <w:rPr>
                <w:noProof/>
                <w:sz w:val="15"/>
              </w:rPr>
            </w:pPr>
            <w:r>
              <w:rPr>
                <w:noProof/>
                <w:sz w:val="15"/>
              </w:rPr>
              <w:t>.</w:t>
            </w:r>
          </w:p>
        </w:tc>
        <w:tc>
          <w:tcPr>
            <w:tcW w:w="4834" w:type="dxa"/>
            <w:gridSpan w:val="5"/>
            <w:tcBorders>
              <w:left w:val="single" w:sz="6" w:space="0" w:color="auto"/>
              <w:bottom w:val="single" w:sz="6" w:space="0" w:color="auto"/>
              <w:right w:val="single" w:sz="6" w:space="0" w:color="auto"/>
            </w:tcBorders>
          </w:tcPr>
          <w:p>
            <w:pPr>
              <w:tabs>
                <w:tab w:val="right" w:pos="4461"/>
              </w:tabs>
              <w:rPr>
                <w:noProof/>
                <w:sz w:val="15"/>
              </w:rPr>
            </w:pPr>
            <w:r>
              <w:rPr>
                <w:noProof/>
                <w:sz w:val="15"/>
              </w:rPr>
              <w:t>................ ..................... ........................................... ....................</w:t>
            </w:r>
          </w:p>
          <w:p>
            <w:pPr>
              <w:tabs>
                <w:tab w:val="right" w:pos="4461"/>
              </w:tabs>
              <w:jc w:val="center"/>
              <w:rPr>
                <w:noProof/>
                <w:sz w:val="15"/>
              </w:rPr>
            </w:pPr>
            <w:r>
              <w:rPr>
                <w:noProof/>
                <w:sz w:val="15"/>
              </w:rPr>
              <w:t>(Подпис)</w:t>
            </w:r>
          </w:p>
        </w:tc>
      </w:tr>
    </w:tbl>
    <w:p>
      <w:pPr>
        <w:rPr>
          <w:noProof/>
          <w:sz w:val="16"/>
        </w:rPr>
      </w:pPr>
      <w:r>
        <w:rPr>
          <w:noProof/>
          <w:sz w:val="16"/>
        </w:rPr>
        <w:t>(1)(2)(3)(4)(5) Вж. бележките под линия на гърба на сертификата.</w:t>
      </w:r>
    </w:p>
    <w:p>
      <w:pPr>
        <w:spacing w:before="0" w:after="200" w:line="276" w:lineRule="auto"/>
        <w:jc w:val="left"/>
        <w:rPr>
          <w:noProof/>
          <w:sz w:val="16"/>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noProof/>
              </w:rPr>
              <w:lastRenderedPageBreak/>
              <w:br w:type="page"/>
            </w:r>
            <w:r>
              <w:rPr>
                <w:b/>
                <w:noProof/>
                <w:sz w:val="15"/>
              </w:rPr>
              <w:t>ИСКАНЕ ЗА ПРОВЕРКА</w:t>
            </w:r>
          </w:p>
        </w:tc>
        <w:tc>
          <w:tcPr>
            <w:tcW w:w="5103" w:type="dxa"/>
            <w:tcBorders>
              <w:bottom w:val="nil"/>
            </w:tcBorders>
          </w:tcPr>
          <w:p>
            <w:pPr>
              <w:tabs>
                <w:tab w:val="left" w:pos="5056"/>
                <w:tab w:val="right" w:pos="10012"/>
              </w:tabs>
              <w:rPr>
                <w:b/>
                <w:noProof/>
                <w:sz w:val="15"/>
              </w:rPr>
            </w:pPr>
            <w:r>
              <w:rPr>
                <w:b/>
                <w:noProof/>
                <w:sz w:val="15"/>
              </w:rPr>
              <w:t>РЕЗУЛТАТ ОТ ПРОВЕРКАТА</w:t>
            </w:r>
          </w:p>
        </w:tc>
      </w:tr>
      <w:tr>
        <w:tc>
          <w:tcPr>
            <w:tcW w:w="4786" w:type="dxa"/>
            <w:tcBorders>
              <w:top w:val="nil"/>
              <w:bottom w:val="nil"/>
            </w:tcBorders>
          </w:tcPr>
          <w:p>
            <w:pPr>
              <w:tabs>
                <w:tab w:val="left" w:pos="5056"/>
                <w:tab w:val="right" w:pos="10012"/>
              </w:tabs>
              <w:rPr>
                <w:noProof/>
                <w:sz w:val="15"/>
              </w:rPr>
            </w:pPr>
            <w:r>
              <w:rPr>
                <w:noProof/>
                <w:sz w:val="15"/>
              </w:rPr>
              <w:t>Долуподписаният митнически служител отправя искане за проверка на истинността</w:t>
            </w:r>
          </w:p>
          <w:p>
            <w:pPr>
              <w:tabs>
                <w:tab w:val="left" w:pos="5056"/>
                <w:tab w:val="right" w:pos="10012"/>
              </w:tabs>
              <w:rPr>
                <w:b/>
                <w:noProof/>
                <w:sz w:val="15"/>
              </w:rPr>
            </w:pPr>
            <w:r>
              <w:rPr>
                <w:noProof/>
                <w:sz w:val="15"/>
              </w:rPr>
              <w:t>и точността на настоящия информационен сертификат.</w:t>
            </w:r>
          </w:p>
        </w:tc>
        <w:tc>
          <w:tcPr>
            <w:tcW w:w="5103" w:type="dxa"/>
            <w:tcBorders>
              <w:top w:val="nil"/>
              <w:bottom w:val="nil"/>
            </w:tcBorders>
          </w:tcPr>
          <w:p>
            <w:pPr>
              <w:tabs>
                <w:tab w:val="left" w:pos="5056"/>
                <w:tab w:val="right" w:pos="10012"/>
              </w:tabs>
              <w:rPr>
                <w:noProof/>
                <w:sz w:val="15"/>
              </w:rPr>
            </w:pPr>
            <w:r>
              <w:rPr>
                <w:noProof/>
                <w:sz w:val="15"/>
              </w:rPr>
              <w:t>Проверката, извършена от долуподписания митнически служител, показа, че</w:t>
            </w:r>
          </w:p>
          <w:p>
            <w:pPr>
              <w:tabs>
                <w:tab w:val="left" w:pos="5056"/>
                <w:tab w:val="right" w:pos="10012"/>
              </w:tabs>
              <w:rPr>
                <w:b/>
                <w:noProof/>
                <w:sz w:val="15"/>
              </w:rPr>
            </w:pPr>
            <w:r>
              <w:rPr>
                <w:noProof/>
                <w:sz w:val="15"/>
              </w:rPr>
              <w:t>настоящият информационен сертификат:</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а) е издаден от посоченото митническо учреждение и че информацията, която се съдържа в него, е точна(*)</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б) не отговаря на изискванията за истинност и точност (вж. добавените бележки)(*)</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(Място и дата)</w:t>
            </w:r>
          </w:p>
        </w:tc>
        <w:tc>
          <w:tcPr>
            <w:tcW w:w="5103" w:type="dxa"/>
            <w:tcBorders>
              <w:top w:val="nil"/>
              <w:bottom w:val="nil"/>
            </w:tcBorders>
          </w:tcPr>
          <w:p>
            <w:pPr>
              <w:tabs>
                <w:tab w:val="left" w:pos="5056"/>
                <w:tab w:val="right" w:pos="10012"/>
              </w:tabs>
              <w:jc w:val="center"/>
              <w:rPr>
                <w:b/>
                <w:noProof/>
                <w:sz w:val="15"/>
              </w:rPr>
            </w:pPr>
            <w:r>
              <w:rPr>
                <w:b/>
                <w:noProof/>
                <w:sz w:val="15"/>
              </w:rPr>
              <w:t>(Място и дата)</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noProof/>
                <w:sz w:val="15"/>
              </w:rPr>
            </w:pPr>
            <w:r>
              <w:rPr>
                <w:noProof/>
                <w:sz w:val="15"/>
                <w:szCs w:val="15"/>
              </w:rPr>
              <w:t>Служител</w:t>
            </w:r>
            <w:r>
              <w:rPr>
                <w:noProof/>
                <w:sz w:val="15"/>
                <w:szCs w:val="15"/>
              </w:rPr>
              <w:br/>
            </w:r>
            <w:r>
              <w:rPr>
                <w:noProof/>
                <w:sz w:val="15"/>
              </w:rPr>
              <w:t>Печат</w:t>
            </w:r>
          </w:p>
        </w:tc>
        <w:tc>
          <w:tcPr>
            <w:tcW w:w="5103" w:type="dxa"/>
            <w:tcBorders>
              <w:top w:val="nil"/>
              <w:bottom w:val="nil"/>
            </w:tcBorders>
          </w:tcPr>
          <w:p>
            <w:pPr>
              <w:tabs>
                <w:tab w:val="left" w:pos="5056"/>
                <w:tab w:val="right" w:pos="10012"/>
              </w:tabs>
              <w:rPr>
                <w:noProof/>
                <w:sz w:val="15"/>
              </w:rPr>
            </w:pPr>
            <w:r>
              <w:rPr>
                <w:noProof/>
                <w:sz w:val="15"/>
                <w:szCs w:val="15"/>
              </w:rPr>
              <w:t>Служител</w:t>
            </w:r>
            <w:r>
              <w:rPr>
                <w:noProof/>
                <w:sz w:val="15"/>
                <w:szCs w:val="15"/>
              </w:rPr>
              <w:br/>
            </w:r>
            <w:r>
              <w:rPr>
                <w:noProof/>
                <w:sz w:val="15"/>
              </w:rPr>
              <w:t>Печат</w:t>
            </w: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 xml:space="preserve"> --------------------------------------------------------------------------</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(Подпис на служителя)</w:t>
            </w:r>
          </w:p>
        </w:tc>
        <w:tc>
          <w:tcPr>
            <w:tcW w:w="5103" w:type="dxa"/>
            <w:tcBorders>
              <w:top w:val="nil"/>
              <w:bottom w:val="nil"/>
            </w:tcBorders>
          </w:tcPr>
          <w:p>
            <w:pPr>
              <w:tabs>
                <w:tab w:val="left" w:pos="5056"/>
                <w:tab w:val="right" w:pos="10012"/>
              </w:tabs>
              <w:rPr>
                <w:b/>
                <w:noProof/>
                <w:sz w:val="15"/>
              </w:rPr>
            </w:pPr>
            <w:r>
              <w:rPr>
                <w:b/>
                <w:noProof/>
                <w:sz w:val="15"/>
              </w:rPr>
              <w:t>(Подпис на служителя)</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szCs w:val="15"/>
              </w:rPr>
            </w:pPr>
            <w:r>
              <w:rPr>
                <w:rStyle w:val="FootnoteReference"/>
                <w:noProof/>
                <w:sz w:val="15"/>
                <w:szCs w:val="15"/>
              </w:rPr>
              <w:t>(*)</w:t>
            </w:r>
            <w:r>
              <w:rPr>
                <w:noProof/>
                <w:sz w:val="15"/>
                <w:szCs w:val="15"/>
              </w:rPr>
              <w:t xml:space="preserve"> Ненужното се зачерква.</w:t>
            </w:r>
          </w:p>
        </w:tc>
      </w:tr>
    </w:tbl>
    <w:p>
      <w:pPr>
        <w:tabs>
          <w:tab w:val="left" w:pos="5056"/>
          <w:tab w:val="right" w:pos="10012"/>
        </w:tabs>
        <w:spacing w:before="360"/>
        <w:rPr>
          <w:noProof/>
        </w:rPr>
      </w:pPr>
      <w:r>
        <w:rPr>
          <w:noProof/>
        </w:rPr>
        <w:t>ПРЕПРАТКИ</w:t>
      </w:r>
    </w:p>
    <w:p>
      <w:pPr>
        <w:pStyle w:val="Point0"/>
        <w:spacing w:before="0" w:after="0"/>
        <w:rPr>
          <w:noProof/>
          <w:sz w:val="20"/>
          <w:szCs w:val="20"/>
        </w:rPr>
      </w:pPr>
      <w:r>
        <w:rPr>
          <w:noProof/>
          <w:sz w:val="20"/>
        </w:rPr>
        <w:t>(1)</w:t>
      </w:r>
      <w:r>
        <w:rPr>
          <w:noProof/>
        </w:rPr>
        <w:tab/>
      </w:r>
      <w:r>
        <w:rPr>
          <w:noProof/>
          <w:sz w:val="20"/>
        </w:rPr>
        <w:t>Име на физическото лице или на предприятието и пълен адрес.</w:t>
      </w:r>
    </w:p>
    <w:p>
      <w:pPr>
        <w:pStyle w:val="Point0"/>
        <w:spacing w:before="0" w:after="0"/>
        <w:rPr>
          <w:noProof/>
          <w:sz w:val="20"/>
          <w:szCs w:val="20"/>
        </w:rPr>
      </w:pPr>
      <w:r>
        <w:rPr>
          <w:noProof/>
          <w:sz w:val="20"/>
        </w:rPr>
        <w:t>(2)</w:t>
      </w:r>
      <w:r>
        <w:rPr>
          <w:noProof/>
        </w:rPr>
        <w:tab/>
      </w:r>
      <w:r>
        <w:rPr>
          <w:noProof/>
          <w:sz w:val="20"/>
        </w:rPr>
        <w:t>Незадължителна информация.</w:t>
      </w:r>
    </w:p>
    <w:p>
      <w:pPr>
        <w:pStyle w:val="Point0"/>
        <w:spacing w:before="0" w:after="0"/>
        <w:rPr>
          <w:noProof/>
          <w:sz w:val="20"/>
          <w:szCs w:val="20"/>
        </w:rPr>
      </w:pPr>
      <w:r>
        <w:rPr>
          <w:noProof/>
          <w:sz w:val="20"/>
        </w:rPr>
        <w:t>(3)</w:t>
      </w:r>
      <w:r>
        <w:rPr>
          <w:noProof/>
        </w:rPr>
        <w:tab/>
      </w:r>
      <w:r>
        <w:rPr>
          <w:noProof/>
          <w:sz w:val="20"/>
        </w:rPr>
        <w:t>Kg, hl, m</w:t>
      </w:r>
      <w:r>
        <w:rPr>
          <w:noProof/>
          <w:sz w:val="20"/>
          <w:vertAlign w:val="superscript"/>
        </w:rPr>
        <w:t>3</w:t>
      </w:r>
      <w:r>
        <w:rPr>
          <w:noProof/>
          <w:sz w:val="20"/>
        </w:rPr>
        <w:t xml:space="preserve"> или друга мерна единица.</w:t>
      </w:r>
    </w:p>
    <w:p>
      <w:pPr>
        <w:pStyle w:val="Point0"/>
        <w:spacing w:before="0" w:after="0"/>
        <w:rPr>
          <w:noProof/>
          <w:sz w:val="20"/>
          <w:szCs w:val="20"/>
        </w:rPr>
      </w:pPr>
      <w:r>
        <w:rPr>
          <w:noProof/>
          <w:sz w:val="20"/>
        </w:rPr>
        <w:t>(4)</w:t>
      </w:r>
      <w:r>
        <w:rPr>
          <w:noProof/>
        </w:rPr>
        <w:tab/>
      </w:r>
      <w:r>
        <w:rPr>
          <w:noProof/>
          <w:sz w:val="20"/>
        </w:rPr>
        <w:t xml:space="preserve">Счита се, че опаковката представлява едно цяло със стоките, които се съдържат в нея. Настоящата разпоредба обаче не се прилага по отношение на опаковка, която не е обичайна за опакованото в нея </w:t>
      </w:r>
      <w:r>
        <w:rPr>
          <w:noProof/>
          <w:sz w:val="20"/>
        </w:rPr>
        <w:lastRenderedPageBreak/>
        <w:t>изделие и която сама по себе си има устойчива във времето стойност на използване, отделно от функцията ѝ на опаковка.</w:t>
      </w:r>
    </w:p>
    <w:p>
      <w:pPr>
        <w:pStyle w:val="Point0"/>
        <w:spacing w:before="0" w:after="0"/>
        <w:rPr>
          <w:noProof/>
          <w:sz w:val="20"/>
          <w:szCs w:val="20"/>
        </w:rPr>
      </w:pPr>
      <w:r>
        <w:rPr>
          <w:noProof/>
          <w:sz w:val="20"/>
        </w:rPr>
        <w:t>(5)</w:t>
      </w:r>
      <w:r>
        <w:rPr>
          <w:noProof/>
        </w:rPr>
        <w:tab/>
      </w:r>
      <w:r>
        <w:rPr>
          <w:noProof/>
          <w:sz w:val="20"/>
        </w:rPr>
        <w:t>Стойността трябва да бъде посочена в съответствие с разпоредбите за правилата за произход.</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5" w:name="_Toc204060739"/>
      <w:r>
        <w:rPr>
          <w:b/>
          <w:noProof/>
          <w:u w:val="single"/>
        </w:rPr>
        <w:lastRenderedPageBreak/>
        <w:t>ПРИЛОЖЕНИЕ VІІ</w:t>
      </w:r>
      <w:bookmarkStart w:id="16" w:name="_Hlt474847377"/>
      <w:bookmarkEnd w:id="16"/>
    </w:p>
    <w:p>
      <w:pPr>
        <w:spacing w:after="240"/>
        <w:jc w:val="center"/>
        <w:rPr>
          <w:noProof/>
        </w:rPr>
      </w:pPr>
      <w:r>
        <w:rPr>
          <w:noProof/>
        </w:rPr>
        <w:t>ФОРМУЛЯР НА ЗАЯВЛЕНИЕ</w:t>
      </w:r>
      <w:bookmarkStart w:id="17" w:name="_Hlt474847388"/>
      <w:bookmarkEnd w:id="17"/>
      <w:r>
        <w:rPr>
          <w:noProof/>
        </w:rPr>
        <w:t xml:space="preserve"> ЗА ДЕРОГАЦИЯ</w:t>
      </w:r>
      <w:bookmarkEnd w:id="15"/>
    </w:p>
    <w:tbl>
      <w:tblPr>
        <w:tblW w:w="9889" w:type="dxa"/>
        <w:tblLayout w:type="fixed"/>
        <w:tblLook w:val="0000" w:firstRow="0" w:lastRow="0" w:firstColumn="0" w:lastColumn="0" w:noHBand="0" w:noVBand="0"/>
      </w:tblPr>
      <w:tblGrid>
        <w:gridCol w:w="4622"/>
        <w:gridCol w:w="5267"/>
      </w:tblGrid>
      <w:tr>
        <w:trPr>
          <w:trHeight w:hRule="exact" w:val="1003"/>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1. Търговско описание на завършения продукт</w:t>
            </w:r>
          </w:p>
          <w:p>
            <w:pPr>
              <w:rPr>
                <w:noProof/>
                <w:sz w:val="20"/>
              </w:rPr>
            </w:pPr>
            <w:r>
              <w:rPr>
                <w:noProof/>
                <w:sz w:val="20"/>
              </w:rPr>
              <w:t>1.1 Митническо класиране (код по ХС)</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2. Очаквано годишно количество износ към Европейския съюз (тегло, брой, метри или друга единица)</w:t>
            </w:r>
          </w:p>
        </w:tc>
      </w:tr>
      <w:tr>
        <w:trPr>
          <w:trHeight w:hRule="exact" w:val="1101"/>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3. Търговско описание на материалите от трети държави</w:t>
            </w:r>
          </w:p>
          <w:p>
            <w:pPr>
              <w:ind w:firstLine="45"/>
              <w:rPr>
                <w:noProof/>
                <w:sz w:val="20"/>
              </w:rPr>
            </w:pPr>
            <w:r>
              <w:rPr>
                <w:noProof/>
                <w:sz w:val="20"/>
              </w:rPr>
              <w:t>Митническо класиране (код по ХС)</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4. Очаквано годишно количество на използвани материали от трети държави</w:t>
            </w:r>
          </w:p>
        </w:tc>
      </w:tr>
      <w:tr>
        <w:trPr>
          <w:trHeight w:hRule="exact" w:val="54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5. Стойност на материалите от трети държави</w:t>
            </w:r>
          </w:p>
        </w:tc>
        <w:tc>
          <w:tcPr>
            <w:tcW w:w="5267" w:type="dxa"/>
            <w:tcBorders>
              <w:top w:val="single" w:sz="6" w:space="0" w:color="auto"/>
              <w:left w:val="nil"/>
              <w:right w:val="single" w:sz="6" w:space="0" w:color="auto"/>
            </w:tcBorders>
            <w:vAlign w:val="center"/>
          </w:tcPr>
          <w:p>
            <w:pPr>
              <w:rPr>
                <w:noProof/>
                <w:sz w:val="20"/>
              </w:rPr>
            </w:pPr>
            <w:r>
              <w:rPr>
                <w:noProof/>
                <w:sz w:val="20"/>
              </w:rPr>
              <w:t>6. Стойност на завършените продукти</w:t>
            </w:r>
          </w:p>
        </w:tc>
      </w:tr>
      <w:tr>
        <w:trPr>
          <w:trHeight w:hRule="exact" w:val="855"/>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7. Произход на материалите от трети държави</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8. Причини, поради които не може да бъде изпълнено правилото за произход по отношение на завършения продукт</w:t>
            </w:r>
          </w:p>
        </w:tc>
      </w:tr>
      <w:tr>
        <w:trPr>
          <w:trHeight w:hRule="exact" w:val="1101"/>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9. Търговско описание на материалите с произход от държавите или териториите, посочени в членове 4 и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10. Очаквано годишно количество на използвани материали с произход от държавите или териториите, посочени в членове 4 и 5</w:t>
            </w:r>
          </w:p>
        </w:tc>
      </w:tr>
      <w:tr>
        <w:trPr>
          <w:trHeight w:hRule="exact" w:val="1527"/>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11. Стойност на материалите от държавите или териториите, посочени в членове 4 и 5</w:t>
            </w:r>
          </w:p>
        </w:tc>
        <w:tc>
          <w:tcPr>
            <w:tcW w:w="5267" w:type="dxa"/>
            <w:tcBorders>
              <w:top w:val="single" w:sz="6" w:space="0" w:color="auto"/>
              <w:left w:val="nil"/>
              <w:right w:val="single" w:sz="6" w:space="0" w:color="auto"/>
            </w:tcBorders>
            <w:vAlign w:val="center"/>
          </w:tcPr>
          <w:p>
            <w:pPr>
              <w:ind w:firstLine="45"/>
              <w:rPr>
                <w:noProof/>
                <w:sz w:val="20"/>
                <w:szCs w:val="20"/>
              </w:rPr>
            </w:pPr>
            <w:r>
              <w:rPr>
                <w:noProof/>
                <w:sz w:val="20"/>
                <w:szCs w:val="20"/>
              </w:rPr>
              <w:t>12. Обработка или преработка, извършена в държавите или териториите, посочени в членове 4 и 5, върху материали от трети държави, без това да води до придобиване на произход</w:t>
            </w:r>
          </w:p>
        </w:tc>
      </w:tr>
      <w:tr>
        <w:trPr>
          <w:trHeight w:hRule="exact" w:val="979"/>
        </w:trPr>
        <w:tc>
          <w:tcPr>
            <w:tcW w:w="4622" w:type="dxa"/>
            <w:tcBorders>
              <w:left w:val="single" w:sz="6" w:space="0" w:color="auto"/>
              <w:bottom w:val="single" w:sz="6" w:space="0" w:color="auto"/>
              <w:right w:val="single" w:sz="6" w:space="0" w:color="auto"/>
            </w:tcBorders>
            <w:vAlign w:val="center"/>
          </w:tcPr>
          <w:p>
            <w:pPr>
              <w:ind w:firstLine="45"/>
              <w:rPr>
                <w:noProof/>
                <w:sz w:val="20"/>
              </w:rPr>
            </w:pPr>
            <w:r>
              <w:rPr>
                <w:noProof/>
                <w:sz w:val="20"/>
              </w:rPr>
              <w:t>13. Времетраене на исканата дерогация</w:t>
            </w:r>
          </w:p>
          <w:p>
            <w:pPr>
              <w:ind w:firstLine="45"/>
              <w:rPr>
                <w:noProof/>
                <w:sz w:val="20"/>
              </w:rPr>
            </w:pPr>
            <w:r>
              <w:rPr>
                <w:noProof/>
                <w:sz w:val="20"/>
              </w:rPr>
              <w:t>от ............................... до ......................................</w:t>
            </w:r>
          </w:p>
        </w:tc>
        <w:tc>
          <w:tcPr>
            <w:tcW w:w="5267" w:type="dxa"/>
            <w:tcBorders>
              <w:left w:val="nil"/>
              <w:right w:val="single" w:sz="6" w:space="0" w:color="auto"/>
            </w:tcBorders>
            <w:vAlign w:val="center"/>
          </w:tcPr>
          <w:p>
            <w:pPr>
              <w:ind w:firstLine="45"/>
              <w:rPr>
                <w:noProof/>
                <w:sz w:val="20"/>
              </w:rPr>
            </w:pPr>
          </w:p>
        </w:tc>
      </w:tr>
      <w:tr>
        <w:trPr>
          <w:trHeight w:hRule="exact" w:val="850"/>
        </w:trPr>
        <w:tc>
          <w:tcPr>
            <w:tcW w:w="4622" w:type="dxa"/>
            <w:vMerge w:val="restart"/>
            <w:tcBorders>
              <w:top w:val="single" w:sz="6" w:space="0" w:color="auto"/>
              <w:left w:val="single" w:sz="6" w:space="0" w:color="auto"/>
              <w:bottom w:val="single" w:sz="4" w:space="0" w:color="auto"/>
              <w:right w:val="single" w:sz="6" w:space="0" w:color="auto"/>
            </w:tcBorders>
            <w:vAlign w:val="center"/>
          </w:tcPr>
          <w:p>
            <w:pPr>
              <w:ind w:firstLine="45"/>
              <w:rPr>
                <w:noProof/>
                <w:sz w:val="20"/>
              </w:rPr>
            </w:pPr>
            <w:r>
              <w:rPr>
                <w:noProof/>
                <w:sz w:val="20"/>
              </w:rPr>
              <w:t>14. Подробно описание на обработката и преработката, извършена в държавата(ите) партньор(и) от ИАО:</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15. Капиталова структура на съответното(ите) предприятие(я)</w:t>
            </w:r>
          </w:p>
        </w:tc>
      </w:tr>
      <w:tr>
        <w:trPr>
          <w:trHeight w:hRule="exact" w:val="707"/>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16. Стойност на направените/предвидените инвестиции</w:t>
            </w:r>
          </w:p>
        </w:tc>
      </w:tr>
      <w:tr>
        <w:trPr>
          <w:trHeight w:hRule="exact" w:val="716"/>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4" w:space="0" w:color="auto"/>
              <w:right w:val="single" w:sz="6" w:space="0" w:color="auto"/>
            </w:tcBorders>
            <w:vAlign w:val="center"/>
          </w:tcPr>
          <w:p>
            <w:pPr>
              <w:ind w:firstLine="45"/>
              <w:rPr>
                <w:noProof/>
                <w:sz w:val="20"/>
              </w:rPr>
            </w:pPr>
            <w:r>
              <w:rPr>
                <w:noProof/>
                <w:sz w:val="20"/>
              </w:rPr>
              <w:t>17. Нает персонал/персонал, който се очаква да бъде нает</w:t>
            </w:r>
          </w:p>
        </w:tc>
      </w:tr>
      <w:tr>
        <w:trPr>
          <w:trHeight w:hRule="exact" w:val="2476"/>
        </w:trPr>
        <w:tc>
          <w:tcPr>
            <w:tcW w:w="4622" w:type="dxa"/>
            <w:tcBorders>
              <w:top w:val="single" w:sz="4" w:space="0" w:color="auto"/>
              <w:left w:val="single" w:sz="6" w:space="0" w:color="auto"/>
              <w:right w:val="single" w:sz="6" w:space="0" w:color="auto"/>
            </w:tcBorders>
            <w:vAlign w:val="center"/>
          </w:tcPr>
          <w:p>
            <w:pPr>
              <w:pageBreakBefore/>
              <w:ind w:firstLine="45"/>
              <w:rPr>
                <w:noProof/>
                <w:sz w:val="20"/>
              </w:rPr>
            </w:pPr>
            <w:r>
              <w:rPr>
                <w:noProof/>
                <w:sz w:val="20"/>
              </w:rPr>
              <w:lastRenderedPageBreak/>
              <w:t>18. Добавена стойност в резултат на обработката или преработката, извършена в държавата(ите) партньор(и) от ИАО:</w:t>
            </w:r>
          </w:p>
          <w:p>
            <w:pPr>
              <w:ind w:firstLine="45"/>
              <w:rPr>
                <w:noProof/>
                <w:sz w:val="20"/>
              </w:rPr>
            </w:pPr>
            <w:r>
              <w:rPr>
                <w:noProof/>
                <w:sz w:val="20"/>
              </w:rPr>
              <w:t>18.1 Разходи за труд:</w:t>
            </w:r>
          </w:p>
          <w:p>
            <w:pPr>
              <w:ind w:firstLine="45"/>
              <w:rPr>
                <w:noProof/>
                <w:sz w:val="20"/>
              </w:rPr>
            </w:pPr>
            <w:r>
              <w:rPr>
                <w:noProof/>
                <w:sz w:val="20"/>
              </w:rPr>
              <w:t>18.2 Общопроизводствени разходи:</w:t>
            </w:r>
          </w:p>
          <w:p>
            <w:pPr>
              <w:ind w:firstLine="45"/>
              <w:rPr>
                <w:noProof/>
                <w:sz w:val="20"/>
              </w:rPr>
            </w:pPr>
            <w:r>
              <w:rPr>
                <w:noProof/>
                <w:sz w:val="20"/>
              </w:rPr>
              <w:t>18.3 Други:</w:t>
            </w:r>
          </w:p>
          <w:p>
            <w:pPr>
              <w:ind w:firstLine="45"/>
              <w:rPr>
                <w:noProof/>
                <w:sz w:val="20"/>
              </w:rPr>
            </w:pPr>
          </w:p>
        </w:tc>
        <w:tc>
          <w:tcPr>
            <w:tcW w:w="5267" w:type="dxa"/>
            <w:tcBorders>
              <w:top w:val="single" w:sz="4" w:space="0" w:color="auto"/>
              <w:left w:val="nil"/>
              <w:right w:val="single" w:sz="6" w:space="0" w:color="auto"/>
            </w:tcBorders>
            <w:vAlign w:val="center"/>
          </w:tcPr>
          <w:p>
            <w:pPr>
              <w:ind w:firstLine="45"/>
              <w:rPr>
                <w:noProof/>
                <w:sz w:val="20"/>
              </w:rPr>
            </w:pPr>
            <w:r>
              <w:rPr>
                <w:noProof/>
                <w:sz w:val="20"/>
              </w:rPr>
              <w:t>20. Възможни решения за предотвратяване в бъдеще на нуждата от ползване на дерогация</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19. Други възможни източници за доставка на материали</w:t>
            </w: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21. Забележки</w:t>
            </w:r>
          </w:p>
        </w:tc>
      </w:tr>
    </w:tbl>
    <w:p>
      <w:pPr>
        <w:spacing w:before="240"/>
        <w:rPr>
          <w:noProof/>
        </w:rPr>
      </w:pPr>
      <w:r>
        <w:rPr>
          <w:noProof/>
        </w:rPr>
        <w:t>БЕЛЕЖКИ</w:t>
      </w:r>
    </w:p>
    <w:p>
      <w:pPr>
        <w:pStyle w:val="ManualNumPar1"/>
        <w:rPr>
          <w:noProof/>
        </w:rPr>
      </w:pPr>
      <w:r>
        <w:rPr>
          <w:noProof/>
        </w:rPr>
        <w:t>1.</w:t>
      </w:r>
      <w:r>
        <w:rPr>
          <w:noProof/>
        </w:rPr>
        <w:tab/>
        <w:t>Ако клетките във формуляра не са достатъчни, за да поберат цялата необходима информация, към формуляра могат да бъдат прикрепени допълнителни страници. В този случай в съответната клетка се вписва текстът „вж. приложението“.</w:t>
      </w:r>
    </w:p>
    <w:p>
      <w:pPr>
        <w:pStyle w:val="ManualNumPar1"/>
        <w:rPr>
          <w:noProof/>
        </w:rPr>
      </w:pPr>
      <w:r>
        <w:rPr>
          <w:noProof/>
        </w:rPr>
        <w:t>2.</w:t>
      </w:r>
      <w:r>
        <w:rPr>
          <w:noProof/>
        </w:rPr>
        <w:tab/>
        <w:t>При възможност към формуляра трябва да бъдат приложени мостри или друг илюстративен материал (изображения, планове, каталози и т.н.) за крайния продукт и използваните материали.</w:t>
      </w:r>
    </w:p>
    <w:p>
      <w:pPr>
        <w:pStyle w:val="ManualNumPar1"/>
        <w:rPr>
          <w:noProof/>
        </w:rPr>
      </w:pPr>
      <w:r>
        <w:rPr>
          <w:noProof/>
        </w:rPr>
        <w:t>3.</w:t>
      </w:r>
      <w:r>
        <w:rPr>
          <w:noProof/>
        </w:rPr>
        <w:tab/>
        <w:t>За всеки продукт, обхванат от искането, се попълва отделен формуляр.</w:t>
      </w:r>
    </w:p>
    <w:p>
      <w:pPr>
        <w:pStyle w:val="Text1"/>
        <w:rPr>
          <w:noProof/>
        </w:rPr>
      </w:pPr>
      <w:r>
        <w:rPr>
          <w:noProof/>
        </w:rPr>
        <w:t>Клетки 3, 4, 5, 7: „трета държава“ означава всяка държава, която не е посочена в членове 4 и 5.</w:t>
      </w:r>
    </w:p>
    <w:p>
      <w:pPr>
        <w:pStyle w:val="Text1"/>
        <w:rPr>
          <w:noProof/>
        </w:rPr>
      </w:pPr>
      <w:r>
        <w:rPr>
          <w:noProof/>
        </w:rPr>
        <w:t>Клетка 12: Ако материали от трета държава са били обработени или преработени в държавите или на териториите, посочени в членове 4 и 5, без да получат произход, преди те да бъдат преработени допълнително в държавата партньор от ИАО, искаща съответната дерогация, се посочва обработката или преработката, извършена в държавите или на териториите, посочени в членове 4 и 5.</w:t>
      </w:r>
    </w:p>
    <w:p>
      <w:pPr>
        <w:pStyle w:val="Text1"/>
        <w:rPr>
          <w:noProof/>
        </w:rPr>
      </w:pPr>
      <w:r>
        <w:rPr>
          <w:noProof/>
        </w:rPr>
        <w:t>Клетка 13: Датите, които трябва да бъдат посочени, са началната и крайната дата на периода, през който сертификатите EUR 1 могат да бъдат издадени в рамките на дерогацията.</w:t>
      </w:r>
    </w:p>
    <w:p>
      <w:pPr>
        <w:pStyle w:val="Text1"/>
        <w:rPr>
          <w:noProof/>
        </w:rPr>
      </w:pPr>
      <w:r>
        <w:rPr>
          <w:noProof/>
        </w:rPr>
        <w:t>Клетка 18: Посочва се процентът на добавената стойност по отношение на цената на продукта франко завода или паричният еквивалент на добавената стойност за единица продукт.</w:t>
      </w:r>
    </w:p>
    <w:p>
      <w:pPr>
        <w:pStyle w:val="Text1"/>
        <w:rPr>
          <w:noProof/>
        </w:rPr>
      </w:pPr>
      <w:r>
        <w:rPr>
          <w:noProof/>
        </w:rPr>
        <w:t>Клетка 19: Ако съществуват алтернативни източници на снабдяване с материали, се посочва какви са те и, при възможност, причините, свързани с разходите, или други причини, поради които тези източници не са били използвани.</w:t>
      </w:r>
    </w:p>
    <w:p>
      <w:pPr>
        <w:pStyle w:val="Text1"/>
        <w:rPr>
          <w:noProof/>
        </w:rPr>
      </w:pPr>
      <w:r>
        <w:rPr>
          <w:noProof/>
        </w:rPr>
        <w:t>Клетка 20: Посочват се възможни по-нататъшни инвестиции или диверсифициране на доставчиците, което да направи дерогацията необходима само за ограничен период от време.</w:t>
      </w:r>
      <w:bookmarkStart w:id="18" w:name="_Hlt474847468"/>
      <w:bookmarkEnd w:id="18"/>
    </w:p>
    <w:p>
      <w:pPr>
        <w:jc w:val="center"/>
        <w:rPr>
          <w:noProof/>
          <w:u w:val="single"/>
        </w:rPr>
        <w:sectPr>
          <w:endnotePr>
            <w:numFmt w:val="decimal"/>
          </w:endnotePr>
          <w:pgSz w:w="11907" w:h="16840" w:code="9"/>
          <w:pgMar w:top="1134" w:right="1134" w:bottom="1134" w:left="1134" w:header="1134" w:footer="1134" w:gutter="0"/>
          <w:cols w:space="720"/>
          <w:docGrid w:linePitch="326"/>
        </w:sectPr>
      </w:pPr>
    </w:p>
    <w:p>
      <w:pPr>
        <w:spacing w:after="480"/>
        <w:jc w:val="center"/>
        <w:rPr>
          <w:b/>
          <w:noProof/>
          <w:u w:val="single"/>
        </w:rPr>
      </w:pPr>
      <w:bookmarkStart w:id="19" w:name="_Toc204060740"/>
      <w:r>
        <w:rPr>
          <w:b/>
          <w:noProof/>
          <w:u w:val="single"/>
        </w:rPr>
        <w:lastRenderedPageBreak/>
        <w:t>ПРИЛОЖЕНИЕ VIII</w:t>
      </w:r>
    </w:p>
    <w:p>
      <w:pPr>
        <w:spacing w:after="360"/>
        <w:jc w:val="center"/>
        <w:rPr>
          <w:noProof/>
        </w:rPr>
      </w:pPr>
      <w:r>
        <w:rPr>
          <w:noProof/>
        </w:rPr>
        <w:t>ОТВЪДМОРСКИ СТРАНИ И ТЕРИТОРИИ</w:t>
      </w:r>
      <w:bookmarkEnd w:id="19"/>
    </w:p>
    <w:p>
      <w:pPr>
        <w:rPr>
          <w:noProof/>
          <w:u w:val="single"/>
        </w:rPr>
      </w:pPr>
      <w:r>
        <w:rPr>
          <w:noProof/>
        </w:rPr>
        <w:t>По смисъла на настоящия протокол „отвъдморски страни и територии“ са изброените по-долу страни и територии, посочени в приложение II към Договора за функционирането на Европейския съюз:</w:t>
      </w:r>
    </w:p>
    <w:p>
      <w:pPr>
        <w:rPr>
          <w:noProof/>
        </w:rPr>
      </w:pPr>
      <w:r>
        <w:rPr>
          <w:noProof/>
        </w:rPr>
        <w:t>(Настоящият списък не предопределя статута на тези страни и територии, нито бъдещите промени в техния статут.)</w:t>
      </w:r>
    </w:p>
    <w:p>
      <w:pPr>
        <w:pStyle w:val="ManualNumPar1"/>
        <w:rPr>
          <w:noProof/>
        </w:rPr>
      </w:pPr>
      <w:r>
        <w:rPr>
          <w:noProof/>
        </w:rPr>
        <w:t>1.</w:t>
      </w:r>
      <w:r>
        <w:rPr>
          <w:noProof/>
        </w:rPr>
        <w:tab/>
        <w:t>Отвъдморски страни и територии, имащи специални връзки с Кралство Дания:</w:t>
      </w:r>
    </w:p>
    <w:p>
      <w:pPr>
        <w:pStyle w:val="Tiret1"/>
        <w:numPr>
          <w:ilvl w:val="0"/>
          <w:numId w:val="29"/>
        </w:numPr>
        <w:rPr>
          <w:noProof/>
        </w:rPr>
      </w:pPr>
      <w:r>
        <w:rPr>
          <w:noProof/>
        </w:rPr>
        <w:t>Гренландия.</w:t>
      </w:r>
    </w:p>
    <w:p>
      <w:pPr>
        <w:pStyle w:val="ManualNumPar1"/>
        <w:rPr>
          <w:noProof/>
        </w:rPr>
      </w:pPr>
      <w:r>
        <w:rPr>
          <w:noProof/>
        </w:rPr>
        <w:t>2.</w:t>
      </w:r>
      <w:r>
        <w:rPr>
          <w:noProof/>
        </w:rPr>
        <w:tab/>
        <w:t>Отвъдморски страни и територии, имащи специални връзки с Френската република:</w:t>
      </w:r>
    </w:p>
    <w:p>
      <w:pPr>
        <w:pStyle w:val="Tiret1"/>
        <w:numPr>
          <w:ilvl w:val="0"/>
          <w:numId w:val="29"/>
        </w:numPr>
        <w:rPr>
          <w:noProof/>
        </w:rPr>
      </w:pPr>
      <w:r>
        <w:rPr>
          <w:noProof/>
        </w:rPr>
        <w:t>Нова Каледония и зависимите територии,</w:t>
      </w:r>
    </w:p>
    <w:p>
      <w:pPr>
        <w:pStyle w:val="Tiret1"/>
        <w:numPr>
          <w:ilvl w:val="0"/>
          <w:numId w:val="29"/>
        </w:numPr>
        <w:rPr>
          <w:noProof/>
        </w:rPr>
      </w:pPr>
      <w:r>
        <w:rPr>
          <w:noProof/>
        </w:rPr>
        <w:t>Френска Полинезия,</w:t>
      </w:r>
    </w:p>
    <w:p>
      <w:pPr>
        <w:pStyle w:val="Tiret1"/>
        <w:numPr>
          <w:ilvl w:val="0"/>
          <w:numId w:val="29"/>
        </w:numPr>
        <w:rPr>
          <w:noProof/>
        </w:rPr>
      </w:pPr>
      <w:r>
        <w:rPr>
          <w:noProof/>
        </w:rPr>
        <w:t>Френски южни и антарктически територии,</w:t>
      </w:r>
    </w:p>
    <w:p>
      <w:pPr>
        <w:pStyle w:val="Tiret1"/>
        <w:numPr>
          <w:ilvl w:val="0"/>
          <w:numId w:val="29"/>
        </w:numPr>
        <w:rPr>
          <w:noProof/>
        </w:rPr>
      </w:pPr>
      <w:r>
        <w:rPr>
          <w:noProof/>
        </w:rPr>
        <w:t>Уолис и Футуна,</w:t>
      </w:r>
    </w:p>
    <w:p>
      <w:pPr>
        <w:pStyle w:val="Tiret1"/>
        <w:numPr>
          <w:ilvl w:val="0"/>
          <w:numId w:val="29"/>
        </w:numPr>
        <w:rPr>
          <w:noProof/>
        </w:rPr>
      </w:pPr>
      <w:r>
        <w:rPr>
          <w:noProof/>
        </w:rPr>
        <w:t>Сен Бартелеми,</w:t>
      </w:r>
    </w:p>
    <w:p>
      <w:pPr>
        <w:pStyle w:val="Tiret1"/>
        <w:numPr>
          <w:ilvl w:val="0"/>
          <w:numId w:val="29"/>
        </w:numPr>
        <w:rPr>
          <w:noProof/>
        </w:rPr>
      </w:pPr>
      <w:r>
        <w:rPr>
          <w:noProof/>
        </w:rPr>
        <w:t>Сен Пиер и Микелон.</w:t>
      </w:r>
    </w:p>
    <w:p>
      <w:pPr>
        <w:pStyle w:val="ManualNumPar1"/>
        <w:rPr>
          <w:noProof/>
        </w:rPr>
      </w:pPr>
      <w:r>
        <w:rPr>
          <w:noProof/>
        </w:rPr>
        <w:t>4.</w:t>
      </w:r>
      <w:r>
        <w:rPr>
          <w:noProof/>
        </w:rPr>
        <w:tab/>
        <w:t>Отвъдморски страни и територии, имащи специални връзки с Кралство Нидерландия:</w:t>
      </w:r>
    </w:p>
    <w:p>
      <w:pPr>
        <w:pStyle w:val="Tiret1"/>
        <w:numPr>
          <w:ilvl w:val="0"/>
          <w:numId w:val="29"/>
        </w:numPr>
        <w:rPr>
          <w:noProof/>
        </w:rPr>
      </w:pPr>
      <w:r>
        <w:rPr>
          <w:noProof/>
        </w:rPr>
        <w:t>Аруба,</w:t>
      </w:r>
    </w:p>
    <w:p>
      <w:pPr>
        <w:pStyle w:val="Tiret1"/>
        <w:numPr>
          <w:ilvl w:val="0"/>
          <w:numId w:val="29"/>
        </w:numPr>
        <w:rPr>
          <w:noProof/>
        </w:rPr>
      </w:pPr>
      <w:r>
        <w:rPr>
          <w:noProof/>
        </w:rPr>
        <w:t>Бонер,</w:t>
      </w:r>
    </w:p>
    <w:p>
      <w:pPr>
        <w:pStyle w:val="Tiret1"/>
        <w:numPr>
          <w:ilvl w:val="0"/>
          <w:numId w:val="29"/>
        </w:numPr>
        <w:rPr>
          <w:noProof/>
        </w:rPr>
      </w:pPr>
      <w:r>
        <w:rPr>
          <w:noProof/>
        </w:rPr>
        <w:t>Кюрасао,</w:t>
      </w:r>
    </w:p>
    <w:p>
      <w:pPr>
        <w:pStyle w:val="Tiret1"/>
        <w:numPr>
          <w:ilvl w:val="0"/>
          <w:numId w:val="29"/>
        </w:numPr>
        <w:rPr>
          <w:noProof/>
        </w:rPr>
      </w:pPr>
      <w:r>
        <w:rPr>
          <w:noProof/>
        </w:rPr>
        <w:t>Саба,</w:t>
      </w:r>
    </w:p>
    <w:p>
      <w:pPr>
        <w:pStyle w:val="Tiret1"/>
        <w:numPr>
          <w:ilvl w:val="0"/>
          <w:numId w:val="29"/>
        </w:numPr>
        <w:rPr>
          <w:noProof/>
        </w:rPr>
      </w:pPr>
      <w:r>
        <w:rPr>
          <w:noProof/>
        </w:rPr>
        <w:t>Синт Еустациус,</w:t>
      </w:r>
    </w:p>
    <w:p>
      <w:pPr>
        <w:pStyle w:val="Tiret1"/>
        <w:numPr>
          <w:ilvl w:val="0"/>
          <w:numId w:val="29"/>
        </w:numPr>
        <w:rPr>
          <w:noProof/>
        </w:rPr>
      </w:pPr>
      <w:r>
        <w:rPr>
          <w:noProof/>
        </w:rPr>
        <w:t>Синт Мартен.</w:t>
      </w:r>
    </w:p>
    <w:p>
      <w:pPr>
        <w:pStyle w:val="Point0"/>
        <w:rPr>
          <w:noProof/>
        </w:rPr>
      </w:pPr>
      <w:r>
        <w:rPr>
          <w:noProof/>
        </w:rPr>
        <w:t>5.</w:t>
      </w:r>
      <w:r>
        <w:rPr>
          <w:noProof/>
        </w:rPr>
        <w:tab/>
        <w:t>Отвъдморски страни и територии, имащи специални връзки с Обединено кралство Великобритания и Северна Ирландия:</w:t>
      </w:r>
    </w:p>
    <w:p>
      <w:pPr>
        <w:pStyle w:val="Tiret1"/>
        <w:numPr>
          <w:ilvl w:val="0"/>
          <w:numId w:val="29"/>
        </w:numPr>
        <w:rPr>
          <w:noProof/>
        </w:rPr>
      </w:pPr>
      <w:r>
        <w:rPr>
          <w:noProof/>
        </w:rPr>
        <w:t>Ангила,</w:t>
      </w:r>
    </w:p>
    <w:p>
      <w:pPr>
        <w:pStyle w:val="Tiret1"/>
        <w:numPr>
          <w:ilvl w:val="0"/>
          <w:numId w:val="29"/>
        </w:numPr>
        <w:rPr>
          <w:noProof/>
        </w:rPr>
      </w:pPr>
      <w:r>
        <w:rPr>
          <w:noProof/>
        </w:rPr>
        <w:t>Бермуда,</w:t>
      </w:r>
    </w:p>
    <w:p>
      <w:pPr>
        <w:pStyle w:val="Tiret1"/>
        <w:numPr>
          <w:ilvl w:val="0"/>
          <w:numId w:val="29"/>
        </w:numPr>
        <w:rPr>
          <w:noProof/>
        </w:rPr>
      </w:pPr>
      <w:r>
        <w:rPr>
          <w:noProof/>
        </w:rPr>
        <w:t>Кайманови острови,</w:t>
      </w:r>
    </w:p>
    <w:p>
      <w:pPr>
        <w:pStyle w:val="Tiret1"/>
        <w:numPr>
          <w:ilvl w:val="0"/>
          <w:numId w:val="29"/>
        </w:numPr>
        <w:rPr>
          <w:noProof/>
        </w:rPr>
      </w:pPr>
      <w:r>
        <w:rPr>
          <w:noProof/>
        </w:rPr>
        <w:t>Фолкландски острови,</w:t>
      </w:r>
    </w:p>
    <w:p>
      <w:pPr>
        <w:pStyle w:val="Tiret1"/>
        <w:numPr>
          <w:ilvl w:val="0"/>
          <w:numId w:val="29"/>
        </w:numPr>
        <w:rPr>
          <w:noProof/>
        </w:rPr>
      </w:pPr>
      <w:r>
        <w:rPr>
          <w:noProof/>
        </w:rPr>
        <w:t>Южна Джорджия и Южни Сандвичеви острови,</w:t>
      </w:r>
    </w:p>
    <w:p>
      <w:pPr>
        <w:pStyle w:val="Tiret1"/>
        <w:numPr>
          <w:ilvl w:val="0"/>
          <w:numId w:val="29"/>
        </w:numPr>
        <w:rPr>
          <w:noProof/>
        </w:rPr>
      </w:pPr>
      <w:r>
        <w:rPr>
          <w:noProof/>
        </w:rPr>
        <w:t>Монтсерат,</w:t>
      </w:r>
    </w:p>
    <w:p>
      <w:pPr>
        <w:pStyle w:val="Tiret1"/>
        <w:numPr>
          <w:ilvl w:val="0"/>
          <w:numId w:val="29"/>
        </w:numPr>
        <w:rPr>
          <w:noProof/>
        </w:rPr>
      </w:pPr>
      <w:r>
        <w:rPr>
          <w:noProof/>
        </w:rPr>
        <w:lastRenderedPageBreak/>
        <w:t>Питкерн,</w:t>
      </w:r>
    </w:p>
    <w:p>
      <w:pPr>
        <w:pStyle w:val="Tiret1"/>
        <w:numPr>
          <w:ilvl w:val="0"/>
          <w:numId w:val="29"/>
        </w:numPr>
        <w:rPr>
          <w:noProof/>
        </w:rPr>
      </w:pPr>
      <w:r>
        <w:rPr>
          <w:noProof/>
        </w:rPr>
        <w:t>Света Елена и зависимите територии,</w:t>
      </w:r>
    </w:p>
    <w:p>
      <w:pPr>
        <w:pStyle w:val="Tiret1"/>
        <w:numPr>
          <w:ilvl w:val="0"/>
          <w:numId w:val="29"/>
        </w:numPr>
        <w:rPr>
          <w:noProof/>
        </w:rPr>
      </w:pPr>
      <w:r>
        <w:rPr>
          <w:noProof/>
        </w:rPr>
        <w:t>Британска антарктическа територия,</w:t>
      </w:r>
    </w:p>
    <w:p>
      <w:pPr>
        <w:pStyle w:val="Tiret1"/>
        <w:numPr>
          <w:ilvl w:val="0"/>
          <w:numId w:val="29"/>
        </w:numPr>
        <w:rPr>
          <w:noProof/>
        </w:rPr>
      </w:pPr>
      <w:r>
        <w:rPr>
          <w:noProof/>
        </w:rPr>
        <w:t>Британски територии в Индийския океан,</w:t>
      </w:r>
    </w:p>
    <w:p>
      <w:pPr>
        <w:pStyle w:val="Tiret1"/>
        <w:numPr>
          <w:ilvl w:val="0"/>
          <w:numId w:val="29"/>
        </w:numPr>
        <w:rPr>
          <w:noProof/>
        </w:rPr>
      </w:pPr>
      <w:r>
        <w:rPr>
          <w:noProof/>
        </w:rPr>
        <w:t>Острови Търкс и Кайкос,</w:t>
      </w:r>
    </w:p>
    <w:p>
      <w:pPr>
        <w:pStyle w:val="Tiret1"/>
        <w:numPr>
          <w:ilvl w:val="0"/>
          <w:numId w:val="29"/>
        </w:numPr>
        <w:jc w:val="left"/>
        <w:rPr>
          <w:noProof/>
        </w:rPr>
        <w:sectPr>
          <w:endnotePr>
            <w:numFmt w:val="decimal"/>
          </w:endnotePr>
          <w:pgSz w:w="11907" w:h="16840" w:code="9"/>
          <w:pgMar w:top="1134" w:right="1134" w:bottom="1134" w:left="1134" w:header="1134" w:footer="1134" w:gutter="0"/>
          <w:cols w:space="720"/>
          <w:docGrid w:linePitch="326"/>
        </w:sectPr>
      </w:pPr>
      <w:r>
        <w:rPr>
          <w:noProof/>
        </w:rPr>
        <w:t>Британски Вирджински острови.</w:t>
      </w:r>
    </w:p>
    <w:p>
      <w:pPr>
        <w:spacing w:after="360"/>
        <w:jc w:val="center"/>
        <w:rPr>
          <w:b/>
          <w:noProof/>
          <w:u w:val="single"/>
        </w:rPr>
      </w:pPr>
      <w:bookmarkStart w:id="20" w:name="_Toc204060741"/>
      <w:r>
        <w:rPr>
          <w:b/>
          <w:noProof/>
          <w:u w:val="single"/>
        </w:rPr>
        <w:lastRenderedPageBreak/>
        <w:t>ПРИЛОЖЕНИЕ ІХ</w:t>
      </w:r>
    </w:p>
    <w:p>
      <w:pPr>
        <w:spacing w:after="360"/>
        <w:jc w:val="center"/>
        <w:rPr>
          <w:noProof/>
        </w:rPr>
      </w:pPr>
      <w:r>
        <w:rPr>
          <w:noProof/>
        </w:rPr>
        <w:t>ПРОДУКТИ, ПО ОТНОШЕНИЕ НА КОИТО РАЗПОРЕДБИТЕ НА ЧЛЕН 4 ОТНОСНО КУМУЛАЦИЯТА СЕ ПРИЛАГАТ СЛЕД 1 ОКТОМВРИ 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7657"/>
      </w:tblGrid>
      <w:tr>
        <w:tc>
          <w:tcPr>
            <w:tcW w:w="1589" w:type="dxa"/>
            <w:tcMar>
              <w:top w:w="0" w:type="dxa"/>
              <w:left w:w="108" w:type="dxa"/>
              <w:bottom w:w="0" w:type="dxa"/>
              <w:right w:w="108" w:type="dxa"/>
            </w:tcMar>
            <w:hideMark/>
          </w:tcPr>
          <w:p>
            <w:pPr>
              <w:jc w:val="center"/>
              <w:rPr>
                <w:noProof/>
                <w:sz w:val="20"/>
              </w:rPr>
            </w:pPr>
            <w:r>
              <w:rPr>
                <w:b/>
                <w:noProof/>
                <w:sz w:val="20"/>
              </w:rPr>
              <w:t>код по ХС/КН</w:t>
            </w:r>
          </w:p>
        </w:tc>
        <w:tc>
          <w:tcPr>
            <w:tcW w:w="7657" w:type="dxa"/>
            <w:tcMar>
              <w:top w:w="0" w:type="dxa"/>
              <w:left w:w="108" w:type="dxa"/>
              <w:bottom w:w="0" w:type="dxa"/>
              <w:right w:w="108" w:type="dxa"/>
            </w:tcMar>
            <w:hideMark/>
          </w:tcPr>
          <w:p>
            <w:pPr>
              <w:jc w:val="center"/>
              <w:rPr>
                <w:noProof/>
                <w:sz w:val="20"/>
              </w:rPr>
            </w:pPr>
            <w:r>
              <w:rPr>
                <w:b/>
                <w:noProof/>
                <w:sz w:val="20"/>
              </w:rPr>
              <w:t>Описание</w:t>
            </w:r>
          </w:p>
        </w:tc>
      </w:tr>
      <w:tr>
        <w:tc>
          <w:tcPr>
            <w:tcW w:w="1589" w:type="dxa"/>
            <w:tcMar>
              <w:top w:w="0" w:type="dxa"/>
              <w:left w:w="108" w:type="dxa"/>
              <w:bottom w:w="0" w:type="dxa"/>
              <w:right w:w="108" w:type="dxa"/>
            </w:tcMar>
            <w:hideMark/>
          </w:tcPr>
          <w:p>
            <w:pPr>
              <w:jc w:val="left"/>
              <w:rPr>
                <w:noProof/>
                <w:sz w:val="20"/>
              </w:rPr>
            </w:pPr>
            <w:r>
              <w:rPr>
                <w:noProof/>
                <w:sz w:val="20"/>
              </w:rPr>
              <w:t xml:space="preserve">1701 </w:t>
            </w:r>
          </w:p>
        </w:tc>
        <w:tc>
          <w:tcPr>
            <w:tcW w:w="7657" w:type="dxa"/>
            <w:tcMar>
              <w:top w:w="0" w:type="dxa"/>
              <w:left w:w="108" w:type="dxa"/>
              <w:bottom w:w="0" w:type="dxa"/>
              <w:right w:w="108" w:type="dxa"/>
            </w:tcMar>
            <w:hideMark/>
          </w:tcPr>
          <w:p>
            <w:pPr>
              <w:jc w:val="left"/>
              <w:rPr>
                <w:noProof/>
                <w:sz w:val="20"/>
              </w:rPr>
            </w:pPr>
            <w:r>
              <w:rPr>
                <w:noProof/>
                <w:sz w:val="20"/>
              </w:rPr>
              <w:t>Захар от захарна тръстика или от цвекло и химически чиста захароза, в твърдо състояние.</w:t>
            </w:r>
          </w:p>
        </w:tc>
      </w:tr>
      <w:tr>
        <w:tc>
          <w:tcPr>
            <w:tcW w:w="1589" w:type="dxa"/>
            <w:tcMar>
              <w:top w:w="0" w:type="dxa"/>
              <w:left w:w="108" w:type="dxa"/>
              <w:bottom w:w="0" w:type="dxa"/>
              <w:right w:w="108" w:type="dxa"/>
            </w:tcMar>
            <w:hideMark/>
          </w:tcPr>
          <w:p>
            <w:pPr>
              <w:jc w:val="left"/>
              <w:rPr>
                <w:noProof/>
                <w:sz w:val="20"/>
              </w:rPr>
            </w:pPr>
            <w:r>
              <w:rPr>
                <w:noProof/>
                <w:sz w:val="20"/>
              </w:rPr>
              <w:t>1702</w:t>
            </w:r>
          </w:p>
        </w:tc>
        <w:tc>
          <w:tcPr>
            <w:tcW w:w="7657" w:type="dxa"/>
            <w:tcMar>
              <w:top w:w="0" w:type="dxa"/>
              <w:left w:w="108" w:type="dxa"/>
              <w:bottom w:w="0" w:type="dxa"/>
              <w:right w:w="108" w:type="dxa"/>
            </w:tcMar>
            <w:hideMark/>
          </w:tcPr>
          <w:p>
            <w:pPr>
              <w:jc w:val="left"/>
              <w:rPr>
                <w:noProof/>
                <w:sz w:val="20"/>
              </w:rPr>
            </w:pPr>
            <w:r>
              <w:rPr>
                <w:noProof/>
                <w:sz w:val="20"/>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r>
      <w:tr>
        <w:tc>
          <w:tcPr>
            <w:tcW w:w="1589" w:type="dxa"/>
            <w:tcMar>
              <w:top w:w="0" w:type="dxa"/>
              <w:left w:w="108" w:type="dxa"/>
              <w:bottom w:w="0" w:type="dxa"/>
              <w:right w:w="108" w:type="dxa"/>
            </w:tcMar>
            <w:hideMark/>
          </w:tcPr>
          <w:p>
            <w:pPr>
              <w:jc w:val="left"/>
              <w:rPr>
                <w:noProof/>
                <w:sz w:val="20"/>
              </w:rPr>
            </w:pPr>
            <w:r>
              <w:rPr>
                <w:noProof/>
                <w:sz w:val="20"/>
              </w:rPr>
              <w:t>ex 1704 90, съответстващ на 1704 90 99</w:t>
            </w:r>
          </w:p>
        </w:tc>
        <w:tc>
          <w:tcPr>
            <w:tcW w:w="7657" w:type="dxa"/>
            <w:tcMar>
              <w:top w:w="0" w:type="dxa"/>
              <w:left w:w="108" w:type="dxa"/>
              <w:bottom w:w="0" w:type="dxa"/>
              <w:right w:w="108" w:type="dxa"/>
            </w:tcMar>
            <w:hideMark/>
          </w:tcPr>
          <w:p>
            <w:pPr>
              <w:jc w:val="left"/>
              <w:rPr>
                <w:noProof/>
                <w:sz w:val="20"/>
              </w:rPr>
            </w:pPr>
            <w:r>
              <w:rPr>
                <w:noProof/>
                <w:sz w:val="20"/>
              </w:rPr>
              <w:t>Захарни изделия без какао (с изключение на дъвка (</w:t>
            </w:r>
            <w:r>
              <w:rPr>
                <w:i/>
                <w:noProof/>
                <w:sz w:val="20"/>
              </w:rPr>
              <w:t>chewing-gum</w:t>
            </w:r>
            <w:r>
              <w:rPr>
                <w:noProof/>
                <w:sz w:val="20"/>
              </w:rPr>
              <w:t>); екстракт от сладник (liquorice), съдържащ тегловно повече от 10 % захароза, но несъдържащ други добавки; бял шоколад; пасти, включително марципан, в директни опаковки, с нетно съдържание 1 kg или повече; пастили за гърло и бонбони против кашлица; дражета и подобни захарни изделия; гумени бонбони, желирани захарни изделия, включително захарни изделия от плодова маса; бонбони от стопена захар; карамели; други, получени чрез пресоване)</w:t>
            </w:r>
          </w:p>
        </w:tc>
      </w:tr>
      <w:tr>
        <w:tc>
          <w:tcPr>
            <w:tcW w:w="1589" w:type="dxa"/>
            <w:tcMar>
              <w:top w:w="0" w:type="dxa"/>
              <w:left w:w="108" w:type="dxa"/>
              <w:bottom w:w="0" w:type="dxa"/>
              <w:right w:w="108" w:type="dxa"/>
            </w:tcMar>
            <w:vAlign w:val="center"/>
            <w:hideMark/>
          </w:tcPr>
          <w:p>
            <w:pPr>
              <w:jc w:val="left"/>
              <w:rPr>
                <w:noProof/>
                <w:sz w:val="20"/>
              </w:rPr>
            </w:pPr>
            <w:r>
              <w:rPr>
                <w:noProof/>
                <w:sz w:val="20"/>
              </w:rPr>
              <w:t>ex 1302.20</w:t>
            </w:r>
          </w:p>
        </w:tc>
        <w:tc>
          <w:tcPr>
            <w:tcW w:w="7657" w:type="dxa"/>
            <w:tcMar>
              <w:top w:w="0" w:type="dxa"/>
              <w:left w:w="108" w:type="dxa"/>
              <w:bottom w:w="0" w:type="dxa"/>
              <w:right w:w="108" w:type="dxa"/>
            </w:tcMar>
            <w:vAlign w:val="center"/>
            <w:hideMark/>
          </w:tcPr>
          <w:p>
            <w:pPr>
              <w:jc w:val="left"/>
              <w:rPr>
                <w:noProof/>
                <w:sz w:val="20"/>
                <w:szCs w:val="20"/>
              </w:rPr>
            </w:pPr>
            <w:r>
              <w:rPr>
                <w:noProof/>
                <w:sz w:val="20"/>
                <w:szCs w:val="20"/>
              </w:rPr>
              <w:t>Пектинови материали, пектинати и пектати, с добавка на захар или други подсладители</w:t>
            </w:r>
          </w:p>
        </w:tc>
      </w:tr>
      <w:tr>
        <w:tc>
          <w:tcPr>
            <w:tcW w:w="1589" w:type="dxa"/>
            <w:tcMar>
              <w:top w:w="0" w:type="dxa"/>
              <w:left w:w="108" w:type="dxa"/>
              <w:bottom w:w="0" w:type="dxa"/>
              <w:right w:w="108" w:type="dxa"/>
            </w:tcMar>
            <w:hideMark/>
          </w:tcPr>
          <w:p>
            <w:pPr>
              <w:jc w:val="left"/>
              <w:rPr>
                <w:noProof/>
                <w:sz w:val="20"/>
              </w:rPr>
            </w:pPr>
            <w:r>
              <w:rPr>
                <w:noProof/>
                <w:sz w:val="20"/>
              </w:rPr>
              <w:t>ex 1806 10, съответстващ на 1806 10 30</w:t>
            </w:r>
          </w:p>
        </w:tc>
        <w:tc>
          <w:tcPr>
            <w:tcW w:w="7657" w:type="dxa"/>
            <w:tcMar>
              <w:top w:w="0" w:type="dxa"/>
              <w:left w:w="108" w:type="dxa"/>
              <w:bottom w:w="0" w:type="dxa"/>
              <w:right w:w="108" w:type="dxa"/>
            </w:tcMar>
            <w:hideMark/>
          </w:tcPr>
          <w:p>
            <w:pPr>
              <w:jc w:val="left"/>
              <w:rPr>
                <w:noProof/>
                <w:sz w:val="20"/>
              </w:rPr>
            </w:pPr>
            <w:r>
              <w:rPr>
                <w:noProof/>
                <w:sz w:val="2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65 % и по-малко от 80 %</w:t>
            </w:r>
          </w:p>
        </w:tc>
      </w:tr>
      <w:tr>
        <w:tc>
          <w:tcPr>
            <w:tcW w:w="1589" w:type="dxa"/>
            <w:tcMar>
              <w:top w:w="0" w:type="dxa"/>
              <w:left w:w="108" w:type="dxa"/>
              <w:bottom w:w="0" w:type="dxa"/>
              <w:right w:w="108" w:type="dxa"/>
            </w:tcMar>
            <w:hideMark/>
          </w:tcPr>
          <w:p>
            <w:pPr>
              <w:jc w:val="left"/>
              <w:rPr>
                <w:noProof/>
                <w:sz w:val="20"/>
              </w:rPr>
            </w:pPr>
            <w:r>
              <w:rPr>
                <w:noProof/>
                <w:sz w:val="20"/>
              </w:rPr>
              <w:t>ex 1806 10, съответстващ на 1806 10 90</w:t>
            </w:r>
          </w:p>
        </w:tc>
        <w:tc>
          <w:tcPr>
            <w:tcW w:w="7657" w:type="dxa"/>
            <w:tcMar>
              <w:top w:w="0" w:type="dxa"/>
              <w:left w:w="108" w:type="dxa"/>
              <w:bottom w:w="0" w:type="dxa"/>
              <w:right w:w="108" w:type="dxa"/>
            </w:tcMar>
            <w:hideMark/>
          </w:tcPr>
          <w:p>
            <w:pPr>
              <w:jc w:val="left"/>
              <w:rPr>
                <w:noProof/>
                <w:sz w:val="20"/>
              </w:rPr>
            </w:pPr>
            <w:r>
              <w:rPr>
                <w:noProof/>
                <w:sz w:val="2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80 %</w:t>
            </w:r>
          </w:p>
        </w:tc>
      </w:tr>
      <w:tr>
        <w:tc>
          <w:tcPr>
            <w:tcW w:w="1589" w:type="dxa"/>
            <w:tcMar>
              <w:top w:w="0" w:type="dxa"/>
              <w:left w:w="108" w:type="dxa"/>
              <w:bottom w:w="0" w:type="dxa"/>
              <w:right w:w="108" w:type="dxa"/>
            </w:tcMar>
            <w:hideMark/>
          </w:tcPr>
          <w:p>
            <w:pPr>
              <w:jc w:val="left"/>
              <w:rPr>
                <w:noProof/>
                <w:sz w:val="20"/>
              </w:rPr>
            </w:pPr>
            <w:r>
              <w:rPr>
                <w:noProof/>
                <w:sz w:val="20"/>
              </w:rPr>
              <w:t>ex 1806 20, съответстващ на 1806 20 95</w:t>
            </w:r>
          </w:p>
        </w:tc>
        <w:tc>
          <w:tcPr>
            <w:tcW w:w="7657" w:type="dxa"/>
            <w:tcMar>
              <w:top w:w="0" w:type="dxa"/>
              <w:left w:w="108" w:type="dxa"/>
              <w:bottom w:w="0" w:type="dxa"/>
              <w:right w:w="108" w:type="dxa"/>
            </w:tcMar>
            <w:hideMark/>
          </w:tcPr>
          <w:p>
            <w:pPr>
              <w:jc w:val="left"/>
              <w:rPr>
                <w:noProof/>
                <w:sz w:val="20"/>
              </w:rPr>
            </w:pPr>
            <w:r>
              <w:rPr>
                <w:noProof/>
                <w:sz w:val="20"/>
              </w:rPr>
              <w:t>Хранителни продукти, съдържащи какао,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 (с изключение на какао на прах, продукти с тегловно съдържание на какаово масло 18 % или повече или с тегловно съдържание общо на какаово масло и млечни мазнини 25 % или повече; продукти, наречени „</w:t>
            </w:r>
            <w:r>
              <w:rPr>
                <w:i/>
                <w:noProof/>
                <w:sz w:val="20"/>
              </w:rPr>
              <w:t>chocolate milk crumb</w:t>
            </w:r>
            <w:r>
              <w:rPr>
                <w:noProof/>
                <w:sz w:val="20"/>
              </w:rPr>
              <w:t>“; шоколадова глазура; шоколад и шоколадови изделия; съдържащи какао захарни изделия и изделия, произведени от заместители на захарта, съдържащи какао; пасти за намазване, съдържащи какао (течен шоколад); препарати за приготвяне на напитки, съдържащи какао)</w:t>
            </w:r>
          </w:p>
        </w:tc>
      </w:tr>
      <w:tr>
        <w:tc>
          <w:tcPr>
            <w:tcW w:w="1589" w:type="dxa"/>
            <w:tcMar>
              <w:top w:w="0" w:type="dxa"/>
              <w:left w:w="108" w:type="dxa"/>
              <w:bottom w:w="0" w:type="dxa"/>
              <w:right w:w="108" w:type="dxa"/>
            </w:tcMar>
            <w:hideMark/>
          </w:tcPr>
          <w:p>
            <w:pPr>
              <w:jc w:val="left"/>
              <w:rPr>
                <w:noProof/>
                <w:sz w:val="20"/>
              </w:rPr>
            </w:pPr>
            <w:r>
              <w:rPr>
                <w:noProof/>
                <w:sz w:val="20"/>
              </w:rPr>
              <w:t>ex 1901 90, съответстващ на 1901 90 99</w:t>
            </w:r>
          </w:p>
        </w:tc>
        <w:tc>
          <w:tcPr>
            <w:tcW w:w="7657" w:type="dxa"/>
            <w:tcMar>
              <w:top w:w="0" w:type="dxa"/>
              <w:left w:w="108" w:type="dxa"/>
              <w:bottom w:w="0" w:type="dxa"/>
              <w:right w:w="108" w:type="dxa"/>
            </w:tcMar>
            <w:hideMark/>
          </w:tcPr>
          <w:p>
            <w:pPr>
              <w:jc w:val="left"/>
              <w:rPr>
                <w:noProof/>
                <w:sz w:val="20"/>
              </w:rPr>
            </w:pPr>
            <w:r>
              <w:rPr>
                <w:noProof/>
                <w:sz w:val="20"/>
              </w:rPr>
              <w:t xml:space="preserve">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 0401 — 0404, несъдържащи какао или съдържащи тегловно по-малко от 5 % какао, изчислено на базата на напълно обезмаслена маса, неупоменати, нито включени другаде (с изключение на хранителни продукти, несъдържащи или съдържащи по-малко от 1,5 % млечни мазнини, несъдържащи или съдържащи по-малко от 5 % </w:t>
            </w:r>
            <w:r>
              <w:rPr>
                <w:noProof/>
                <w:sz w:val="20"/>
              </w:rPr>
              <w:lastRenderedPageBreak/>
              <w:t xml:space="preserve">захароза (включително инвертна захар) или изоглюкоза, несъдържащи или съдържащи по-малко от 5 % глюкоза или скорбяла или нишесте; хранителни продукти на прах, приготвени от продуктите от позиции № 0401 — 0404; детски храни, пригодени за продажба на дребно; смеси и теста за приготвяне на хлебарски, сладкарски или бисквитени продукти от позиция 1905) </w:t>
            </w:r>
          </w:p>
        </w:tc>
      </w:tr>
      <w:tr>
        <w:tc>
          <w:tcPr>
            <w:tcW w:w="1589" w:type="dxa"/>
            <w:tcMar>
              <w:top w:w="0" w:type="dxa"/>
              <w:left w:w="108" w:type="dxa"/>
              <w:bottom w:w="0" w:type="dxa"/>
              <w:right w:w="108" w:type="dxa"/>
            </w:tcMar>
            <w:hideMark/>
          </w:tcPr>
          <w:p>
            <w:pPr>
              <w:jc w:val="left"/>
              <w:rPr>
                <w:noProof/>
                <w:sz w:val="20"/>
              </w:rPr>
            </w:pPr>
            <w:r>
              <w:rPr>
                <w:noProof/>
                <w:sz w:val="20"/>
              </w:rPr>
              <w:lastRenderedPageBreak/>
              <w:t>ex 2101 12, съответстващ на 2101 12 98</w:t>
            </w:r>
          </w:p>
        </w:tc>
        <w:tc>
          <w:tcPr>
            <w:tcW w:w="7657" w:type="dxa"/>
            <w:tcMar>
              <w:top w:w="0" w:type="dxa"/>
              <w:left w:w="108" w:type="dxa"/>
              <w:bottom w:w="0" w:type="dxa"/>
              <w:right w:w="108" w:type="dxa"/>
            </w:tcMar>
            <w:hideMark/>
          </w:tcPr>
          <w:p>
            <w:pPr>
              <w:jc w:val="left"/>
              <w:rPr>
                <w:noProof/>
                <w:sz w:val="20"/>
              </w:rPr>
            </w:pPr>
            <w:r>
              <w:rPr>
                <w:noProof/>
                <w:sz w:val="20"/>
              </w:rPr>
              <w:t>Продукти на базата на кафе (с изключение на екстракти, есенции и концентрати от кафе и препарати, приготвени на базата на тези екстракти, есенции или концентрати)</w:t>
            </w:r>
          </w:p>
        </w:tc>
      </w:tr>
      <w:tr>
        <w:tc>
          <w:tcPr>
            <w:tcW w:w="1589" w:type="dxa"/>
            <w:tcMar>
              <w:top w:w="0" w:type="dxa"/>
              <w:left w:w="108" w:type="dxa"/>
              <w:bottom w:w="0" w:type="dxa"/>
              <w:right w:w="108" w:type="dxa"/>
            </w:tcMar>
            <w:hideMark/>
          </w:tcPr>
          <w:p>
            <w:pPr>
              <w:jc w:val="left"/>
              <w:rPr>
                <w:noProof/>
                <w:sz w:val="20"/>
              </w:rPr>
            </w:pPr>
            <w:r>
              <w:rPr>
                <w:noProof/>
                <w:sz w:val="20"/>
              </w:rPr>
              <w:t>ex 2101 12, съответстващ на 2101 12 98</w:t>
            </w:r>
          </w:p>
        </w:tc>
        <w:tc>
          <w:tcPr>
            <w:tcW w:w="7657" w:type="dxa"/>
            <w:tcMar>
              <w:top w:w="0" w:type="dxa"/>
              <w:left w:w="108" w:type="dxa"/>
              <w:bottom w:w="0" w:type="dxa"/>
              <w:right w:w="108" w:type="dxa"/>
            </w:tcMar>
            <w:hideMark/>
          </w:tcPr>
          <w:p>
            <w:pPr>
              <w:jc w:val="left"/>
              <w:rPr>
                <w:noProof/>
                <w:sz w:val="20"/>
              </w:rPr>
            </w:pPr>
            <w:r>
              <w:rPr>
                <w:noProof/>
                <w:sz w:val="20"/>
              </w:rPr>
              <w:t>Продукти на базата на чай или мате (с изключение на екстракти, есенции и концентрати от чай или мате и препарати, приготвени на базата на тези екстракти, есенции или концентрати)</w:t>
            </w:r>
          </w:p>
        </w:tc>
      </w:tr>
      <w:tr>
        <w:tc>
          <w:tcPr>
            <w:tcW w:w="1589" w:type="dxa"/>
            <w:tcMar>
              <w:top w:w="0" w:type="dxa"/>
              <w:left w:w="108" w:type="dxa"/>
              <w:bottom w:w="0" w:type="dxa"/>
              <w:right w:w="108" w:type="dxa"/>
            </w:tcMar>
            <w:hideMark/>
          </w:tcPr>
          <w:p>
            <w:pPr>
              <w:jc w:val="left"/>
              <w:rPr>
                <w:noProof/>
                <w:sz w:val="20"/>
              </w:rPr>
            </w:pPr>
            <w:r>
              <w:rPr>
                <w:noProof/>
                <w:sz w:val="20"/>
              </w:rPr>
              <w:t>ex 2106 90, съответстващ на 2106 90 59</w:t>
            </w:r>
          </w:p>
        </w:tc>
        <w:tc>
          <w:tcPr>
            <w:tcW w:w="7657" w:type="dxa"/>
            <w:tcMar>
              <w:top w:w="0" w:type="dxa"/>
              <w:left w:w="108" w:type="dxa"/>
              <w:bottom w:w="0" w:type="dxa"/>
              <w:right w:w="108" w:type="dxa"/>
            </w:tcMar>
            <w:hideMark/>
          </w:tcPr>
          <w:p>
            <w:pPr>
              <w:jc w:val="left"/>
              <w:rPr>
                <w:noProof/>
                <w:sz w:val="20"/>
              </w:rPr>
            </w:pPr>
            <w:r>
              <w:rPr>
                <w:noProof/>
                <w:sz w:val="20"/>
              </w:rPr>
              <w:t>Захарни сиропи, ароматизирани или с прибавка на оцветители (с изключение на сиропи от изоглюкоза, лактоза, глюкоза и малтодекстрин)</w:t>
            </w:r>
          </w:p>
        </w:tc>
      </w:tr>
      <w:tr>
        <w:tc>
          <w:tcPr>
            <w:tcW w:w="1589" w:type="dxa"/>
            <w:tcMar>
              <w:top w:w="0" w:type="dxa"/>
              <w:left w:w="108" w:type="dxa"/>
              <w:bottom w:w="0" w:type="dxa"/>
              <w:right w:w="108" w:type="dxa"/>
            </w:tcMar>
            <w:hideMark/>
          </w:tcPr>
          <w:p>
            <w:pPr>
              <w:jc w:val="left"/>
              <w:rPr>
                <w:noProof/>
                <w:sz w:val="20"/>
              </w:rPr>
            </w:pPr>
            <w:r>
              <w:rPr>
                <w:noProof/>
                <w:sz w:val="20"/>
              </w:rPr>
              <w:t>ex 2106 90, съответстващ на 2106 90 98</w:t>
            </w:r>
          </w:p>
        </w:tc>
        <w:tc>
          <w:tcPr>
            <w:tcW w:w="7657" w:type="dxa"/>
            <w:tcMar>
              <w:top w:w="0" w:type="dxa"/>
              <w:left w:w="108" w:type="dxa"/>
              <w:bottom w:w="0" w:type="dxa"/>
              <w:right w:w="108" w:type="dxa"/>
            </w:tcMar>
            <w:hideMark/>
          </w:tcPr>
          <w:p>
            <w:pPr>
              <w:jc w:val="left"/>
              <w:rPr>
                <w:noProof/>
                <w:sz w:val="20"/>
              </w:rPr>
            </w:pPr>
            <w:r>
              <w:rPr>
                <w:noProof/>
                <w:sz w:val="20"/>
              </w:rPr>
              <w:t>Хранителни продукти, неупоменати, нито включени другаде (с изключение на протеинови концентрати и текстурирани протеинови вещества; сложни алкохолни препарати, различни от тези на базата на ароматични вещества от видовете, използвани за производство на напитки; захарни сиропи, ароматизирани или с прибавка на оцветители; препарати, несъдържащи или съдържащи по-малко от 1,5 % млечни мазнини, 5 % захароза или изоглюкоза, 5 % глюкоза или нишесте или скорбяла)</w:t>
            </w:r>
          </w:p>
        </w:tc>
      </w:tr>
      <w:tr>
        <w:tc>
          <w:tcPr>
            <w:tcW w:w="1589" w:type="dxa"/>
            <w:tcMar>
              <w:top w:w="0" w:type="dxa"/>
              <w:left w:w="108" w:type="dxa"/>
              <w:bottom w:w="0" w:type="dxa"/>
              <w:right w:w="108" w:type="dxa"/>
            </w:tcMar>
            <w:hideMark/>
          </w:tcPr>
          <w:p>
            <w:pPr>
              <w:jc w:val="left"/>
              <w:rPr>
                <w:noProof/>
                <w:sz w:val="20"/>
              </w:rPr>
            </w:pPr>
            <w:r>
              <w:rPr>
                <w:noProof/>
                <w:sz w:val="20"/>
              </w:rPr>
              <w:t>ex 3302 10, съответстващ на 3302 10 29</w:t>
            </w:r>
          </w:p>
        </w:tc>
        <w:tc>
          <w:tcPr>
            <w:tcW w:w="7657" w:type="dxa"/>
            <w:tcMar>
              <w:top w:w="0" w:type="dxa"/>
              <w:left w:w="108" w:type="dxa"/>
              <w:bottom w:w="0" w:type="dxa"/>
              <w:right w:w="108" w:type="dxa"/>
            </w:tcMar>
            <w:hideMark/>
          </w:tcPr>
          <w:p>
            <w:pPr>
              <w:jc w:val="left"/>
              <w:rPr>
                <w:noProof/>
                <w:sz w:val="20"/>
              </w:rPr>
            </w:pPr>
            <w:r>
              <w:rPr>
                <w:noProof/>
                <w:color w:val="000000"/>
                <w:sz w:val="20"/>
              </w:rPr>
              <w:t>Препарати на базата на ароматични вещества, от видовете, използвани като суровини за производството на напитки, съдържащи всички ароматични вещества, които характеризират една напитка, с действително алкохолно съдържание по обем, непревишаващо 0,5 % vol (с изключение на препаратите, несъдържащи или съдържащи по-малко от 1,5 % млечни мазнини, 5 % захароза или изоглюкоза, 5 % глюкоза или нишесте или скорбяла)</w:t>
            </w:r>
          </w:p>
        </w:tc>
      </w:tr>
    </w:tbl>
    <w:p>
      <w:pPr>
        <w:jc w:val="center"/>
        <w:rPr>
          <w:noProof/>
          <w:u w:val="single"/>
        </w:rPr>
        <w:sectPr>
          <w:endnotePr>
            <w:numFmt w:val="decimal"/>
          </w:endnotePr>
          <w:pgSz w:w="11907" w:h="16840" w:code="9"/>
          <w:pgMar w:top="1134" w:right="1134" w:bottom="1134" w:left="1134" w:header="1134" w:footer="1134" w:gutter="0"/>
          <w:cols w:space="1829"/>
          <w:docGrid w:linePitch="326"/>
        </w:sectPr>
      </w:pPr>
    </w:p>
    <w:bookmarkEnd w:id="20"/>
    <w:p>
      <w:pPr>
        <w:spacing w:after="360"/>
        <w:jc w:val="center"/>
        <w:rPr>
          <w:b/>
          <w:noProof/>
          <w:u w:val="single"/>
        </w:rPr>
      </w:pPr>
      <w:r>
        <w:rPr>
          <w:b/>
          <w:noProof/>
          <w:u w:val="single"/>
        </w:rPr>
        <w:lastRenderedPageBreak/>
        <w:t>ПРИЛОЖЕНИЕ Х</w:t>
      </w:r>
    </w:p>
    <w:p>
      <w:pPr>
        <w:spacing w:after="360"/>
        <w:jc w:val="center"/>
        <w:rPr>
          <w:b/>
          <w:noProof/>
          <w:spacing w:val="-4"/>
        </w:rPr>
      </w:pPr>
      <w:r>
        <w:rPr>
          <w:b/>
          <w:noProof/>
          <w:spacing w:val="-4"/>
        </w:rPr>
        <w:t>ОБРАЗЕЦ ОТНОСНО АДМИНИСТРАТИВНОТО СЪТРУДНИЧЕСТВО</w:t>
      </w:r>
    </w:p>
    <w:p>
      <w:pPr>
        <w:spacing w:after="360"/>
        <w:jc w:val="center"/>
        <w:rPr>
          <w:b/>
          <w:noProof/>
          <w:spacing w:val="-4"/>
        </w:rPr>
      </w:pPr>
      <w:r>
        <w:rPr>
          <w:b/>
          <w:noProof/>
          <w:spacing w:val="-4"/>
        </w:rPr>
        <w:t>АНГАЖИМЕНТ ОТНОСНО АДМИНИСТРАТИВНОТО СЪТРУДНИЧЕСТВО ВЪВ ВРЪЗКА С РАЗПОРЕДБИТЕ ОТНОСНО КУМУЛАЦИЯТА МЕЖДУ ДЪРЖАВИТЕ ПАРТНЬОРИ ОТ ИАО И ............ (ДЪРЖАВИ ИЛИ РЕГИОНИ, ПРЕДВИДЕНИ В ЧЛЕНОВЕ 4 И 6 ОТ ПРОТОКОЛ 1 КЪМ СИП ИАО — ЕС)</w:t>
      </w:r>
    </w:p>
    <w:p>
      <w:pPr>
        <w:rPr>
          <w:noProof/>
          <w:spacing w:val="-4"/>
        </w:rPr>
      </w:pPr>
      <w:r>
        <w:rPr>
          <w:noProof/>
        </w:rPr>
        <w:t xml:space="preserve">Като имат предвид задължението за оказване на административното сътрудничество, необходимо за гарантирането на правилното прилагане на Протокола относно правилата за произход към СИП ИАО — ЕС, и като желаят да се възползват от кумулацията между страните, както е установено в членове 4 и 6 от протокол 1 към СИП, </w:t>
      </w:r>
    </w:p>
    <w:p>
      <w:pPr>
        <w:rPr>
          <w:noProof/>
          <w:spacing w:val="-4"/>
        </w:rPr>
      </w:pPr>
      <w:r>
        <w:rPr>
          <w:noProof/>
        </w:rPr>
        <w:t>Страните се задължават:</w:t>
      </w:r>
    </w:p>
    <w:p>
      <w:pPr>
        <w:pStyle w:val="Tiret0"/>
        <w:numPr>
          <w:ilvl w:val="0"/>
          <w:numId w:val="31"/>
        </w:numPr>
        <w:rPr>
          <w:noProof/>
        </w:rPr>
      </w:pPr>
      <w:r>
        <w:rPr>
          <w:noProof/>
        </w:rPr>
        <w:t>да спазват и да гарантират спазването на членове 4 и 6 от настоящия протокол</w:t>
      </w:r>
    </w:p>
    <w:p>
      <w:pPr>
        <w:pStyle w:val="Tiret0"/>
        <w:rPr>
          <w:noProof/>
        </w:rPr>
      </w:pPr>
      <w:r>
        <w:rPr>
          <w:noProof/>
        </w:rPr>
        <w:t>да оказват административното сътрудничество, необходимо за гарантиране на правилното прилагане на членове 4 и 6 от настоящия протокол и на неговите разпоредби относно кумулацията, както по отношение на ЕС, така и помежду си</w:t>
      </w:r>
    </w:p>
    <w:p>
      <w:pPr>
        <w:pStyle w:val="Tiret0"/>
        <w:spacing w:after="360"/>
        <w:rPr>
          <w:noProof/>
          <w:spacing w:val="-4"/>
        </w:rPr>
      </w:pPr>
      <w:r>
        <w:rPr>
          <w:noProof/>
        </w:rPr>
        <w:t>да декларират своя ангажимент за гарантиране спазването на правилата за произход, установени в дял IV от Протокола относно правилата за произход, и да оказват, както по отношение на ЕС, така и помежду си, административното сътрудничество, необходимо за гарантиране на правилното прилагане на посочените членове.</w:t>
      </w:r>
    </w:p>
    <w:p>
      <w:pPr>
        <w:rPr>
          <w:noProof/>
          <w:spacing w:val="-4"/>
        </w:rPr>
      </w:pPr>
      <w:r>
        <w:rPr>
          <w:noProof/>
        </w:rPr>
        <w:t>..........................................................................</w:t>
      </w:r>
    </w:p>
    <w:p>
      <w:pPr>
        <w:spacing w:before="360"/>
        <w:outlineLvl w:val="0"/>
        <w:rPr>
          <w:noProof/>
          <w:spacing w:val="-4"/>
        </w:rPr>
      </w:pPr>
      <w:r>
        <w:rPr>
          <w:noProof/>
        </w:rPr>
        <w:t>Дата и подпис на упълномощения представител на правителството на ...</w:t>
      </w:r>
    </w:p>
    <w:p>
      <w:pPr>
        <w:spacing w:before="360"/>
        <w:rPr>
          <w:noProof/>
          <w:spacing w:val="-4"/>
        </w:rPr>
      </w:pPr>
      <w:r>
        <w:rPr>
          <w:noProof/>
        </w:rPr>
        <w:t>...........................................................................</w:t>
      </w:r>
    </w:p>
    <w:p>
      <w:pPr>
        <w:spacing w:before="360"/>
        <w:rPr>
          <w:noProof/>
          <w:spacing w:val="-4"/>
        </w:rPr>
      </w:pPr>
      <w:r>
        <w:rPr>
          <w:noProof/>
        </w:rPr>
        <w:t>Дата и подпис на упълномощения представител на правителството на ...</w:t>
      </w:r>
    </w:p>
    <w:p>
      <w:pPr>
        <w:jc w:val="center"/>
        <w:rPr>
          <w:noProof/>
        </w:rPr>
        <w:sectPr>
          <w:endnotePr>
            <w:numFmt w:val="decimal"/>
          </w:endnotePr>
          <w:pgSz w:w="11907" w:h="16839"/>
          <w:pgMar w:top="1134" w:right="1417" w:bottom="1134" w:left="1417" w:header="709" w:footer="709" w:gutter="0"/>
          <w:cols w:space="720"/>
          <w:docGrid w:linePitch="360"/>
        </w:sectPr>
      </w:pP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bookmarkStart w:id="21" w:name="_Toc401595137"/>
      <w:r>
        <w:rPr>
          <w:b/>
          <w:noProof/>
          <w:position w:val="6"/>
        </w:rPr>
        <w:lastRenderedPageBreak/>
        <w:t>СЪВМЕСТНА ДЕКЛАРАЦИЯ</w:t>
      </w:r>
      <w:bookmarkEnd w:id="21"/>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360"/>
        <w:jc w:val="center"/>
        <w:rPr>
          <w:b/>
          <w:noProof/>
          <w:position w:val="6"/>
        </w:rPr>
      </w:pPr>
      <w:r>
        <w:rPr>
          <w:b/>
          <w:noProof/>
          <w:position w:val="6"/>
        </w:rPr>
        <w:t>относно Княжество Андора</w:t>
      </w:r>
    </w:p>
    <w:p>
      <w:pPr>
        <w:pStyle w:val="ManualNumPar1"/>
        <w:rPr>
          <w:noProof/>
        </w:rPr>
      </w:pPr>
      <w:r>
        <w:rPr>
          <w:noProof/>
        </w:rPr>
        <w:t>1.</w:t>
      </w:r>
      <w:r>
        <w:rPr>
          <w:noProof/>
        </w:rPr>
        <w:tab/>
        <w:t>Продуктите с произход от Княжество Андора, попадащи в обхвата на глави 25 — 97 от Хармонизираната система, се приемат от държавите от ИАО като продукти с произход от Европейския съюз по смисъла на настоящото споразумение.</w:t>
      </w:r>
    </w:p>
    <w:p>
      <w:pPr>
        <w:pStyle w:val="ManualNumPar1"/>
        <w:rPr>
          <w:noProof/>
        </w:rPr>
      </w:pPr>
      <w:r>
        <w:rPr>
          <w:noProof/>
        </w:rPr>
        <w:t>2.</w:t>
      </w:r>
      <w:r>
        <w:rPr>
          <w:noProof/>
        </w:rPr>
        <w:tab/>
        <w:t xml:space="preserve">Протокол 1 се прилага </w:t>
      </w:r>
      <w:r>
        <w:rPr>
          <w:i/>
          <w:noProof/>
        </w:rPr>
        <w:t>mutatis mutandis</w:t>
      </w:r>
      <w:r>
        <w:rPr>
          <w:noProof/>
        </w:rPr>
        <w:t xml:space="preserve"> за целите на определянето дали горепосочените продукти притежават статут на продукти с произход.</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noProof/>
          <w:position w:val="6"/>
        </w:rPr>
      </w:pPr>
      <w:r>
        <w:rPr>
          <w:noProof/>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480"/>
        <w:jc w:val="center"/>
        <w:outlineLvl w:val="0"/>
        <w:rPr>
          <w:b/>
          <w:noProof/>
          <w:position w:val="6"/>
        </w:rPr>
      </w:pPr>
      <w:bookmarkStart w:id="22" w:name="_Toc401595138"/>
      <w:r>
        <w:rPr>
          <w:b/>
          <w:noProof/>
          <w:position w:val="6"/>
        </w:rPr>
        <w:t>СЪВМЕСТНА ДЕКЛАРАЦИЯ</w:t>
      </w:r>
      <w:bookmarkEnd w:id="22"/>
    </w:p>
    <w:p>
      <w:pPr>
        <w:spacing w:after="360"/>
        <w:jc w:val="center"/>
        <w:rPr>
          <w:b/>
          <w:noProof/>
          <w:position w:val="6"/>
        </w:rPr>
      </w:pPr>
      <w:r>
        <w:rPr>
          <w:b/>
          <w:noProof/>
          <w:position w:val="6"/>
        </w:rPr>
        <w:t>относно Република Сан Марино</w:t>
      </w:r>
    </w:p>
    <w:p>
      <w:pPr>
        <w:pStyle w:val="ManualNumPar1"/>
        <w:rPr>
          <w:noProof/>
        </w:rPr>
      </w:pPr>
      <w:r>
        <w:rPr>
          <w:noProof/>
        </w:rPr>
        <w:t>1.</w:t>
      </w:r>
      <w:r>
        <w:rPr>
          <w:noProof/>
        </w:rPr>
        <w:tab/>
        <w:t>Продуктите с произход от Република Сан Марино се приемат от държавите от ИАО като продукти с произход от Европейския съюз по смисъла на настоящото споразумение.</w:t>
      </w:r>
    </w:p>
    <w:p>
      <w:pPr>
        <w:pStyle w:val="ManualNumPar1"/>
        <w:rPr>
          <w:noProof/>
          <w:spacing w:val="-4"/>
        </w:rPr>
      </w:pPr>
      <w:r>
        <w:rPr>
          <w:noProof/>
        </w:rPr>
        <w:t>2.</w:t>
      </w:r>
      <w:r>
        <w:rPr>
          <w:noProof/>
        </w:rPr>
        <w:tab/>
        <w:t xml:space="preserve">Протокол 1 се прилага </w:t>
      </w:r>
      <w:r>
        <w:rPr>
          <w:i/>
          <w:noProof/>
        </w:rPr>
        <w:t>mutatis mutandis</w:t>
      </w:r>
      <w:r>
        <w:rPr>
          <w:noProof/>
        </w:rPr>
        <w:t xml:space="preserve"> за целите на определянето дали горепосочените продукти притежават статут на продукти с произход.</w:t>
      </w:r>
    </w:p>
    <w:p>
      <w:pPr>
        <w:pStyle w:val="Heading1"/>
        <w:numPr>
          <w:ilvl w:val="0"/>
          <w:numId w:val="32"/>
        </w:numPr>
        <w:rPr>
          <w:noProof/>
        </w:rPr>
        <w:sectPr>
          <w:endnotePr>
            <w:numFmt w:val="decimal"/>
          </w:endnotePr>
          <w:pgSz w:w="11907" w:h="16839"/>
          <w:pgMar w:top="1134" w:right="1417" w:bottom="1134" w:left="1417" w:header="709" w:footer="709" w:gutter="0"/>
          <w:cols w:space="720"/>
          <w:docGrid w:linePitch="360"/>
        </w:sectPr>
      </w:pPr>
      <w:bookmarkStart w:id="23" w:name="DQCNUMB_1"/>
      <w:bookmarkStart w:id="24" w:name="_Toc401595139"/>
      <w:bookmarkEnd w:id="23"/>
    </w:p>
    <w:p>
      <w:pPr>
        <w:spacing w:after="480"/>
        <w:jc w:val="center"/>
        <w:rPr>
          <w:b/>
          <w:noProof/>
        </w:rPr>
      </w:pPr>
      <w:r>
        <w:rPr>
          <w:b/>
          <w:noProof/>
        </w:rPr>
        <w:lastRenderedPageBreak/>
        <w:t>ПРОТОКОЛ 2</w:t>
      </w:r>
      <w:bookmarkEnd w:id="24"/>
    </w:p>
    <w:p>
      <w:pPr>
        <w:jc w:val="center"/>
        <w:rPr>
          <w:b/>
          <w:noProof/>
        </w:rPr>
      </w:pPr>
      <w:bookmarkStart w:id="25" w:name="_Toc401595140"/>
      <w:r>
        <w:rPr>
          <w:b/>
          <w:noProof/>
        </w:rPr>
        <w:t>ОТНОСНО АДМИНИСТРАТИВНАТА ВЗАИМОПОМОЩ ПО МИТНИЧЕСКИ ВЪПРОСИ</w:t>
      </w:r>
      <w:bookmarkEnd w:id="25"/>
    </w:p>
    <w:p>
      <w:pPr>
        <w:jc w:val="center"/>
        <w:rPr>
          <w:b/>
          <w:noProof/>
        </w:rPr>
        <w:sectPr>
          <w:endnotePr>
            <w:numFmt w:val="decimal"/>
          </w:endnotePr>
          <w:pgSz w:w="11907" w:h="16839"/>
          <w:pgMar w:top="1134" w:right="1417" w:bottom="1134" w:left="1417" w:header="709" w:footer="709" w:gutter="0"/>
          <w:cols w:space="720"/>
          <w:docGrid w:linePitch="360"/>
        </w:sectPr>
      </w:pPr>
    </w:p>
    <w:p>
      <w:pPr>
        <w:pStyle w:val="Titrearticle"/>
        <w:rPr>
          <w:noProof/>
        </w:rPr>
      </w:pPr>
      <w:r>
        <w:rPr>
          <w:noProof/>
        </w:rPr>
        <w:lastRenderedPageBreak/>
        <w:t>ЧЛЕН 1</w:t>
      </w:r>
    </w:p>
    <w:p>
      <w:pPr>
        <w:autoSpaceDE w:val="0"/>
        <w:autoSpaceDN w:val="0"/>
        <w:adjustRightInd w:val="0"/>
        <w:jc w:val="center"/>
        <w:rPr>
          <w:b/>
          <w:noProof/>
        </w:rPr>
      </w:pPr>
      <w:r>
        <w:rPr>
          <w:b/>
          <w:noProof/>
        </w:rPr>
        <w:t>Определения</w:t>
      </w:r>
    </w:p>
    <w:p>
      <w:pPr>
        <w:autoSpaceDE w:val="0"/>
        <w:autoSpaceDN w:val="0"/>
        <w:adjustRightInd w:val="0"/>
        <w:rPr>
          <w:noProof/>
        </w:rPr>
      </w:pPr>
      <w:r>
        <w:rPr>
          <w:noProof/>
        </w:rPr>
        <w:t>За целите на настоящия протокол:</w:t>
      </w:r>
    </w:p>
    <w:p>
      <w:pPr>
        <w:pStyle w:val="Point0"/>
        <w:rPr>
          <w:noProof/>
        </w:rPr>
      </w:pPr>
      <w:r>
        <w:rPr>
          <w:noProof/>
        </w:rPr>
        <w:t>а)</w:t>
      </w:r>
      <w:r>
        <w:rPr>
          <w:noProof/>
        </w:rPr>
        <w:tab/>
        <w:t>„стоки“ означава всички стоки, попадащи в обхвата на Хармонизираната система, независимо от обхвата на настоящото споразумение;</w:t>
      </w:r>
    </w:p>
    <w:p>
      <w:pPr>
        <w:pStyle w:val="Point0"/>
        <w:rPr>
          <w:noProof/>
        </w:rPr>
      </w:pPr>
      <w:r>
        <w:rPr>
          <w:noProof/>
        </w:rPr>
        <w:t>б)</w:t>
      </w:r>
      <w:r>
        <w:rPr>
          <w:noProof/>
        </w:rPr>
        <w:tab/>
        <w:t>„митническо законодателство“ означава всякакви законови или подзаконови разпоредби, приложими на териториите на една от страните, които регулират вноса, износа, транзита на стоки и тяхното поставяне под всякакъв друг митнически режим или процедура, включително мерки за забрана, ограничение и контрол;</w:t>
      </w:r>
    </w:p>
    <w:p>
      <w:pPr>
        <w:pStyle w:val="Point0"/>
        <w:rPr>
          <w:noProof/>
        </w:rPr>
      </w:pPr>
      <w:r>
        <w:rPr>
          <w:noProof/>
        </w:rPr>
        <w:t>в)</w:t>
      </w:r>
      <w:r>
        <w:rPr>
          <w:noProof/>
        </w:rPr>
        <w:tab/>
        <w:t>„запитващ орган“ означава компетентен административен орган, който е бил определен от една от страните за прилагането на настоящия протокол и който отправя искане за помощ въз основа на настоящия протокол;</w:t>
      </w:r>
    </w:p>
    <w:p>
      <w:pPr>
        <w:pStyle w:val="Point0"/>
        <w:rPr>
          <w:noProof/>
        </w:rPr>
      </w:pPr>
      <w:r>
        <w:rPr>
          <w:noProof/>
        </w:rPr>
        <w:t>г)</w:t>
      </w:r>
      <w:r>
        <w:rPr>
          <w:noProof/>
        </w:rPr>
        <w:tab/>
        <w:t>„запитан орган“ означава компетентен административен орган, който е бил определен от една от страните за прилагането на настоящия протокол и който получава искане за помощ въз основа на настоящия протокол;</w:t>
      </w:r>
    </w:p>
    <w:p>
      <w:pPr>
        <w:pStyle w:val="Point0"/>
        <w:rPr>
          <w:noProof/>
        </w:rPr>
      </w:pPr>
      <w:r>
        <w:rPr>
          <w:noProof/>
        </w:rPr>
        <w:t>д)</w:t>
      </w:r>
      <w:r>
        <w:rPr>
          <w:noProof/>
        </w:rPr>
        <w:tab/>
        <w:t>„лични данни“ означава всяка информация, отнасяща се до физическо лице, чиято самоличност е определена или може да бъде определена;</w:t>
      </w:r>
    </w:p>
    <w:p>
      <w:pPr>
        <w:pStyle w:val="Point0"/>
        <w:rPr>
          <w:noProof/>
        </w:rPr>
      </w:pPr>
      <w:r>
        <w:rPr>
          <w:noProof/>
        </w:rPr>
        <w:t>е)</w:t>
      </w:r>
      <w:r>
        <w:rPr>
          <w:noProof/>
        </w:rPr>
        <w:tab/>
        <w:t>„операция в нарушение на митническото законодателство“ означава всяко нарушение или опит за нарушение на митническото законодателство.</w:t>
      </w:r>
    </w:p>
    <w:p>
      <w:pPr>
        <w:pStyle w:val="Titrearticle"/>
        <w:rPr>
          <w:noProof/>
        </w:rPr>
      </w:pPr>
      <w:r>
        <w:rPr>
          <w:noProof/>
        </w:rPr>
        <w:t>ЧЛЕН 2</w:t>
      </w:r>
    </w:p>
    <w:p>
      <w:pPr>
        <w:jc w:val="center"/>
        <w:rPr>
          <w:b/>
          <w:noProof/>
        </w:rPr>
      </w:pPr>
      <w:r>
        <w:rPr>
          <w:b/>
          <w:noProof/>
        </w:rPr>
        <w:t>Обхват</w:t>
      </w:r>
    </w:p>
    <w:p>
      <w:pPr>
        <w:pStyle w:val="ManualNumPar1"/>
        <w:rPr>
          <w:noProof/>
        </w:rPr>
      </w:pPr>
      <w:r>
        <w:rPr>
          <w:noProof/>
        </w:rPr>
        <w:t>1.</w:t>
      </w:r>
      <w:r>
        <w:rPr>
          <w:noProof/>
        </w:rPr>
        <w:tab/>
        <w:t>Страните си оказват взаимопомощ в областите от своята компетентност по начина и при условията, определени в настоящия протокол, за да гарантират правилното прилагане на митническото законодателство, по-специално чрез предотвратяване, разследване и борба с операциите в нарушение на това законодателство.</w:t>
      </w:r>
    </w:p>
    <w:p>
      <w:pPr>
        <w:pStyle w:val="ManualNumPar1"/>
        <w:rPr>
          <w:noProof/>
        </w:rPr>
      </w:pPr>
      <w:r>
        <w:rPr>
          <w:noProof/>
        </w:rPr>
        <w:t>2.</w:t>
      </w:r>
      <w:r>
        <w:rPr>
          <w:noProof/>
        </w:rPr>
        <w:tab/>
        <w:t>Помощта по митническите въпроси, предвидена в настоящия протокол, се отнася до всеки административен орган на страните, от чиято компетентност е прилагането на настоящия протокол. Тя не засяга правилата, които уреждат взаимопомощта по наказателноправни въпроси. Също така тя не се прилага по отношение на информация, събрана съгласно правомощия, упражнявани по искане на съдебен орган, освен ако съобщаването на тази информация е предварително разрешено от този орган.</w:t>
      </w:r>
    </w:p>
    <w:p>
      <w:pPr>
        <w:pStyle w:val="ManualNumPar1"/>
        <w:rPr>
          <w:noProof/>
        </w:rPr>
      </w:pPr>
      <w:r>
        <w:rPr>
          <w:noProof/>
        </w:rPr>
        <w:t>3.</w:t>
      </w:r>
      <w:r>
        <w:rPr>
          <w:noProof/>
        </w:rPr>
        <w:tab/>
        <w:t>Помощта по въпроси, свързани с възстановяване на мита, данъци или глоби, не влиза в обхвата на настоящия протокол.</w:t>
      </w:r>
    </w:p>
    <w:p>
      <w:pPr>
        <w:pStyle w:val="Titrearticle"/>
        <w:rPr>
          <w:noProof/>
        </w:rPr>
      </w:pPr>
      <w:r>
        <w:rPr>
          <w:noProof/>
        </w:rPr>
        <w:t>ЧЛЕН 3</w:t>
      </w:r>
    </w:p>
    <w:p>
      <w:pPr>
        <w:jc w:val="center"/>
        <w:rPr>
          <w:b/>
          <w:noProof/>
        </w:rPr>
      </w:pPr>
      <w:r>
        <w:rPr>
          <w:b/>
          <w:noProof/>
        </w:rPr>
        <w:t>Помощ при отправено искане</w:t>
      </w:r>
    </w:p>
    <w:p>
      <w:pPr>
        <w:pStyle w:val="ManualNumPar1"/>
        <w:rPr>
          <w:noProof/>
        </w:rPr>
      </w:pPr>
      <w:r>
        <w:rPr>
          <w:noProof/>
        </w:rPr>
        <w:lastRenderedPageBreak/>
        <w:t>1.</w:t>
      </w:r>
      <w:r>
        <w:rPr>
          <w:noProof/>
        </w:rPr>
        <w:tab/>
        <w:t>По искане на запитващия орган запитаният орган му предоставя цялата съответна информация, която може да му позволи да гарантира правилното прилагане на митническото законодателство, включително информация относно установени или планирани дейности, които представляват или могат да представляват операции в нарушение на митническото законодателство.</w:t>
      </w:r>
    </w:p>
    <w:p>
      <w:pPr>
        <w:pStyle w:val="ManualNumPar1"/>
        <w:rPr>
          <w:noProof/>
        </w:rPr>
      </w:pPr>
      <w:r>
        <w:rPr>
          <w:noProof/>
        </w:rPr>
        <w:t>2.</w:t>
      </w:r>
      <w:r>
        <w:rPr>
          <w:noProof/>
        </w:rPr>
        <w:tab/>
        <w:t>По искане на запитващия орган запитаният орган го информира:</w:t>
      </w:r>
    </w:p>
    <w:p>
      <w:pPr>
        <w:pStyle w:val="Point1"/>
        <w:rPr>
          <w:noProof/>
        </w:rPr>
      </w:pPr>
      <w:r>
        <w:rPr>
          <w:noProof/>
        </w:rPr>
        <w:t>а)</w:t>
      </w:r>
      <w:r>
        <w:rPr>
          <w:noProof/>
        </w:rPr>
        <w:tab/>
        <w:t>дали стоките, изнесени от територията на една от страните, са били законно внесени на територията на другата страна, като при необходимост уточнява приложената по отношение на стоките митническа процедура;</w:t>
      </w:r>
    </w:p>
    <w:p>
      <w:pPr>
        <w:pStyle w:val="Point1"/>
        <w:rPr>
          <w:noProof/>
        </w:rPr>
      </w:pPr>
      <w:r>
        <w:rPr>
          <w:noProof/>
        </w:rPr>
        <w:t>б)</w:t>
      </w:r>
      <w:r>
        <w:rPr>
          <w:noProof/>
        </w:rPr>
        <w:tab/>
        <w:t>дали стоките, внесени на територията на една от страните, са били законно изнесени от територията на другата страна, като при необходимост уточнява приложената по отношение на стоките митническа процедура.</w:t>
      </w:r>
    </w:p>
    <w:p>
      <w:pPr>
        <w:pStyle w:val="ManualNumPar1"/>
        <w:rPr>
          <w:noProof/>
        </w:rPr>
      </w:pPr>
      <w:r>
        <w:rPr>
          <w:noProof/>
        </w:rPr>
        <w:t>3.</w:t>
      </w:r>
      <w:r>
        <w:rPr>
          <w:noProof/>
        </w:rPr>
        <w:tab/>
        <w:t>По искане на запитващия орган запитаният орган предприема необходимите мерки, в рамките на законовите или подзаконовите разпоредби, регламентиращи дейността му, за да гарантира упражняването на специален надзор върху:</w:t>
      </w:r>
    </w:p>
    <w:p>
      <w:pPr>
        <w:pStyle w:val="Point1"/>
        <w:rPr>
          <w:noProof/>
        </w:rPr>
      </w:pPr>
      <w:r>
        <w:rPr>
          <w:noProof/>
        </w:rPr>
        <w:t>а)</w:t>
      </w:r>
      <w:r>
        <w:rPr>
          <w:noProof/>
        </w:rPr>
        <w:tab/>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w:t>
      </w:r>
    </w:p>
    <w:p>
      <w:pPr>
        <w:pStyle w:val="Point1"/>
        <w:rPr>
          <w:noProof/>
        </w:rPr>
      </w:pPr>
      <w:r>
        <w:rPr>
          <w:noProof/>
        </w:rPr>
        <w:t>б)</w:t>
      </w:r>
      <w:r>
        <w:rPr>
          <w:noProof/>
        </w:rPr>
        <w:tab/>
        <w:t>места, където са складирани или могат да бъдат складирани стоки по такъв начин, че са налице основателни причини да се счита, че тези стоки са предназначени да бъдат използвани при операции в нарушение на митническото законодателство;</w:t>
      </w:r>
    </w:p>
    <w:p>
      <w:pPr>
        <w:pStyle w:val="Point1"/>
        <w:rPr>
          <w:noProof/>
        </w:rPr>
      </w:pPr>
      <w:r>
        <w:rPr>
          <w:noProof/>
        </w:rPr>
        <w:t>в)</w:t>
      </w:r>
      <w:r>
        <w:rPr>
          <w:noProof/>
        </w:rPr>
        <w:tab/>
        <w:t>стоки, които са транспортирани или могат да бъдат транспортирани по такъв начин, че са налице основателни причини да се счита, че са предназначени да бъдат използвани при операции в нарушение на митническото законодателство; и</w:t>
      </w:r>
    </w:p>
    <w:p>
      <w:pPr>
        <w:pStyle w:val="Point1"/>
        <w:rPr>
          <w:noProof/>
        </w:rPr>
      </w:pPr>
      <w:r>
        <w:rPr>
          <w:noProof/>
        </w:rPr>
        <w:t>г)</w:t>
      </w:r>
      <w:r>
        <w:rPr>
          <w:noProof/>
        </w:rPr>
        <w:tab/>
        <w:t>транспортни средства, които са използвани или могат да бъдат използвани по такъв начин, че са налице основателни причини да се счита, че са предназначени да бъдат използвани при операции в нарушение на митническото законодателство.</w:t>
      </w:r>
    </w:p>
    <w:p>
      <w:pPr>
        <w:pStyle w:val="Titrearticle"/>
        <w:rPr>
          <w:noProof/>
        </w:rPr>
      </w:pPr>
      <w:r>
        <w:rPr>
          <w:noProof/>
        </w:rPr>
        <w:t>ЧЛЕН 4</w:t>
      </w:r>
    </w:p>
    <w:p>
      <w:pPr>
        <w:jc w:val="center"/>
        <w:rPr>
          <w:b/>
          <w:noProof/>
        </w:rPr>
      </w:pPr>
      <w:r>
        <w:rPr>
          <w:b/>
          <w:noProof/>
        </w:rPr>
        <w:t>Помощ без отправено искане</w:t>
      </w:r>
    </w:p>
    <w:p>
      <w:pPr>
        <w:rPr>
          <w:noProof/>
        </w:rPr>
      </w:pPr>
      <w:r>
        <w:rPr>
          <w:noProof/>
        </w:rPr>
        <w:t>Страните си оказват взаимопомощ по своя собствена инициатива и в съответствие със своите законови или подзаконови разпоредби, ако считат това за необходимо за правилното прилагане на митническото законодателство, и по-специално чрез предоставяне на получена информация, която се отнася до:</w:t>
      </w:r>
    </w:p>
    <w:p>
      <w:pPr>
        <w:pStyle w:val="Point0"/>
        <w:rPr>
          <w:noProof/>
        </w:rPr>
      </w:pPr>
      <w:r>
        <w:rPr>
          <w:noProof/>
        </w:rPr>
        <w:t>а)</w:t>
      </w:r>
      <w:r>
        <w:rPr>
          <w:noProof/>
        </w:rPr>
        <w:tab/>
        <w:t>операции, които са или изглежда, че са в нарушение на митническото законодателство, и които могат да бъдат от интерес за другата страна;</w:t>
      </w:r>
    </w:p>
    <w:p>
      <w:pPr>
        <w:pStyle w:val="Point0"/>
        <w:rPr>
          <w:noProof/>
        </w:rPr>
      </w:pPr>
      <w:r>
        <w:rPr>
          <w:noProof/>
        </w:rPr>
        <w:lastRenderedPageBreak/>
        <w:t>б)</w:t>
      </w:r>
      <w:r>
        <w:rPr>
          <w:noProof/>
        </w:rPr>
        <w:tab/>
        <w:t>нови средства или методи, използвани за извършване на операции в нарушение на митническото законодателство;</w:t>
      </w:r>
    </w:p>
    <w:p>
      <w:pPr>
        <w:pStyle w:val="Point0"/>
        <w:rPr>
          <w:noProof/>
        </w:rPr>
      </w:pPr>
      <w:r>
        <w:rPr>
          <w:noProof/>
        </w:rPr>
        <w:t>в)</w:t>
      </w:r>
      <w:r>
        <w:rPr>
          <w:noProof/>
        </w:rPr>
        <w:tab/>
        <w:t>стоки, за които е известно, че са предмет на операции в нарушение на митническото законодателство;</w:t>
      </w:r>
    </w:p>
    <w:p>
      <w:pPr>
        <w:pStyle w:val="Point0"/>
        <w:rPr>
          <w:noProof/>
        </w:rPr>
      </w:pPr>
      <w:r>
        <w:rPr>
          <w:noProof/>
        </w:rPr>
        <w:t>г)</w:t>
      </w:r>
      <w:r>
        <w:rPr>
          <w:noProof/>
        </w:rPr>
        <w:tab/>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 и</w:t>
      </w:r>
    </w:p>
    <w:p>
      <w:pPr>
        <w:pStyle w:val="Point0"/>
        <w:rPr>
          <w:b/>
          <w:noProof/>
        </w:rPr>
      </w:pPr>
      <w:r>
        <w:rPr>
          <w:noProof/>
        </w:rPr>
        <w:t>д)</w:t>
      </w:r>
      <w:r>
        <w:rPr>
          <w:noProof/>
        </w:rPr>
        <w:tab/>
        <w:t>транспортни средства, по отношение на които са налице основателни причини да се счита, че са били използвани, използват се или могат да бъдат използвани при операции в нарушение на митническото законодателство.</w:t>
      </w:r>
    </w:p>
    <w:p>
      <w:pPr>
        <w:pStyle w:val="Titrearticle"/>
        <w:rPr>
          <w:noProof/>
        </w:rPr>
      </w:pPr>
      <w:r>
        <w:rPr>
          <w:noProof/>
        </w:rPr>
        <w:t>ЧЛЕН 5</w:t>
      </w:r>
    </w:p>
    <w:p>
      <w:pPr>
        <w:jc w:val="center"/>
        <w:rPr>
          <w:b/>
          <w:noProof/>
        </w:rPr>
      </w:pPr>
      <w:r>
        <w:rPr>
          <w:b/>
          <w:noProof/>
        </w:rPr>
        <w:t>Предоставяне и уведомяване</w:t>
      </w:r>
    </w:p>
    <w:p>
      <w:pPr>
        <w:pStyle w:val="ManualNumPar1"/>
        <w:rPr>
          <w:noProof/>
        </w:rPr>
      </w:pPr>
      <w:r>
        <w:rPr>
          <w:noProof/>
        </w:rPr>
        <w:t>1.</w:t>
      </w:r>
      <w:r>
        <w:rPr>
          <w:noProof/>
        </w:rPr>
        <w:tab/>
        <w:t>По искане на запитващия орган запитаният орган предприема всички необходими мерки в съответствие с приложимите към него законови или подзаконови разпоредби, с цел:</w:t>
      </w:r>
    </w:p>
    <w:p>
      <w:pPr>
        <w:pStyle w:val="Point1"/>
        <w:rPr>
          <w:noProof/>
        </w:rPr>
      </w:pPr>
      <w:r>
        <w:rPr>
          <w:noProof/>
        </w:rPr>
        <w:t>а)</w:t>
      </w:r>
      <w:r>
        <w:rPr>
          <w:noProof/>
        </w:rPr>
        <w:tab/>
        <w:t>да предостави всякакви документи, които произхождат от запитващия орган и попадат в обхвата на настоящия протокол, на адресат, който има местожителство или е установен на територията на запитания орган, и, когато е целесъобразно;</w:t>
      </w:r>
    </w:p>
    <w:p>
      <w:pPr>
        <w:pStyle w:val="Point1"/>
        <w:rPr>
          <w:noProof/>
        </w:rPr>
      </w:pPr>
      <w:r>
        <w:rPr>
          <w:noProof/>
        </w:rPr>
        <w:t>б)</w:t>
      </w:r>
      <w:r>
        <w:rPr>
          <w:noProof/>
        </w:rPr>
        <w:tab/>
        <w:t>да уведоми за всякакви решения, които произхождат от запитващия орган и попадат в обхвата на настоящия протокол, адресат, който има местожителство или е установен на територията на запитания орган.</w:t>
      </w:r>
    </w:p>
    <w:p>
      <w:pPr>
        <w:pStyle w:val="ManualNumPar1"/>
        <w:rPr>
          <w:noProof/>
        </w:rPr>
      </w:pPr>
      <w:r>
        <w:rPr>
          <w:noProof/>
        </w:rPr>
        <w:t>2.</w:t>
      </w:r>
      <w:r>
        <w:rPr>
          <w:noProof/>
        </w:rPr>
        <w:tab/>
        <w:t>Исканията за предоставяне на документи или за уведомяване за решения се изготвят в писмен вид на официален език на запитания орган или на език, който е приемлив за този орган.</w:t>
      </w:r>
    </w:p>
    <w:p>
      <w:pPr>
        <w:pStyle w:val="Titrearticle"/>
        <w:rPr>
          <w:noProof/>
        </w:rPr>
      </w:pPr>
      <w:r>
        <w:rPr>
          <w:noProof/>
        </w:rPr>
        <w:t>ЧЛЕН 6</w:t>
      </w:r>
    </w:p>
    <w:p>
      <w:pPr>
        <w:jc w:val="center"/>
        <w:rPr>
          <w:b/>
          <w:noProof/>
        </w:rPr>
      </w:pPr>
      <w:r>
        <w:rPr>
          <w:b/>
          <w:noProof/>
        </w:rPr>
        <w:t>Форма и съдържание на исканията за помощ</w:t>
      </w:r>
    </w:p>
    <w:p>
      <w:pPr>
        <w:pStyle w:val="ManualNumPar1"/>
        <w:rPr>
          <w:noProof/>
        </w:rPr>
      </w:pPr>
      <w:r>
        <w:rPr>
          <w:noProof/>
        </w:rPr>
        <w:t>1.</w:t>
      </w:r>
      <w:r>
        <w:rPr>
          <w:noProof/>
        </w:rPr>
        <w:tab/>
        <w:t>Исканията в съответствие с настоящия протокол се отправят в писмен вид. Те се придружават от документите, необходими за удовлетворяване на искането. При неотложна ситуация могат да се приемат искания, отправени устно, но те трябва незабавно да бъдат потвърдени в писмен вид. Исканията могат да се отправят и в електронна форма.</w:t>
      </w:r>
    </w:p>
    <w:p>
      <w:pPr>
        <w:pStyle w:val="ManualNumPar1"/>
        <w:rPr>
          <w:noProof/>
        </w:rPr>
      </w:pPr>
      <w:r>
        <w:rPr>
          <w:noProof/>
        </w:rPr>
        <w:t>2.</w:t>
      </w:r>
      <w:r>
        <w:rPr>
          <w:noProof/>
        </w:rPr>
        <w:tab/>
        <w:t>Исканията, отправени в съответствие с параграф 1, съдържат следната информация:</w:t>
      </w:r>
    </w:p>
    <w:p>
      <w:pPr>
        <w:pStyle w:val="Point1"/>
        <w:rPr>
          <w:noProof/>
        </w:rPr>
      </w:pPr>
      <w:r>
        <w:rPr>
          <w:noProof/>
        </w:rPr>
        <w:t>а)</w:t>
      </w:r>
      <w:r>
        <w:rPr>
          <w:noProof/>
        </w:rPr>
        <w:tab/>
        <w:t>наименование на запитващия орган;</w:t>
      </w:r>
    </w:p>
    <w:p>
      <w:pPr>
        <w:pStyle w:val="Point1"/>
        <w:rPr>
          <w:noProof/>
        </w:rPr>
      </w:pPr>
      <w:r>
        <w:rPr>
          <w:noProof/>
        </w:rPr>
        <w:t>б)</w:t>
      </w:r>
      <w:r>
        <w:rPr>
          <w:noProof/>
        </w:rPr>
        <w:tab/>
        <w:t>исканата мярка;</w:t>
      </w:r>
    </w:p>
    <w:p>
      <w:pPr>
        <w:pStyle w:val="Point1"/>
        <w:rPr>
          <w:noProof/>
        </w:rPr>
      </w:pPr>
      <w:r>
        <w:rPr>
          <w:noProof/>
        </w:rPr>
        <w:t>в)</w:t>
      </w:r>
      <w:r>
        <w:rPr>
          <w:noProof/>
        </w:rPr>
        <w:tab/>
        <w:t>предмета на искането и основанието за отправянето му;</w:t>
      </w:r>
    </w:p>
    <w:p>
      <w:pPr>
        <w:pStyle w:val="Point1"/>
        <w:rPr>
          <w:noProof/>
        </w:rPr>
      </w:pPr>
      <w:r>
        <w:rPr>
          <w:noProof/>
        </w:rPr>
        <w:t>г)</w:t>
      </w:r>
      <w:r>
        <w:rPr>
          <w:noProof/>
        </w:rPr>
        <w:tab/>
        <w:t>законовите или подзаконовите разпоредби и другите свързани правни елементи;</w:t>
      </w:r>
    </w:p>
    <w:p>
      <w:pPr>
        <w:pStyle w:val="Point1"/>
        <w:rPr>
          <w:noProof/>
        </w:rPr>
      </w:pPr>
      <w:r>
        <w:rPr>
          <w:noProof/>
        </w:rPr>
        <w:lastRenderedPageBreak/>
        <w:t>д)</w:t>
      </w:r>
      <w:r>
        <w:rPr>
          <w:noProof/>
        </w:rPr>
        <w:tab/>
        <w:t>възможно най-точни и пълни сведения за физическите или юридическите лица, които са обект на разследванията; и</w:t>
      </w:r>
    </w:p>
    <w:p>
      <w:pPr>
        <w:pStyle w:val="Point1"/>
        <w:rPr>
          <w:noProof/>
        </w:rPr>
      </w:pPr>
      <w:r>
        <w:rPr>
          <w:noProof/>
        </w:rPr>
        <w:t>е)</w:t>
      </w:r>
      <w:r>
        <w:rPr>
          <w:noProof/>
        </w:rPr>
        <w:tab/>
        <w:t>обобщение на съответните факти и на вече проведените разследвания.</w:t>
      </w:r>
    </w:p>
    <w:p>
      <w:pPr>
        <w:pStyle w:val="ManualNumPar1"/>
        <w:rPr>
          <w:noProof/>
        </w:rPr>
      </w:pPr>
      <w:r>
        <w:rPr>
          <w:noProof/>
        </w:rPr>
        <w:t>3.</w:t>
      </w:r>
      <w:r>
        <w:rPr>
          <w:noProof/>
        </w:rPr>
        <w:tab/>
        <w:t>Исканията се отправят на официален език на запитания орган или на език, който е приемлив за този орган. Това изискване не се прилага за документите, които придружават искането по параграф 1.</w:t>
      </w:r>
    </w:p>
    <w:p>
      <w:pPr>
        <w:pStyle w:val="ManualNumPar1"/>
        <w:rPr>
          <w:noProof/>
        </w:rPr>
      </w:pPr>
      <w:r>
        <w:rPr>
          <w:noProof/>
        </w:rPr>
        <w:t>4.</w:t>
      </w:r>
      <w:r>
        <w:rPr>
          <w:noProof/>
        </w:rPr>
        <w:tab/>
        <w:t>Ако дадено искане не отговаря на гореизложените формални условия, може да бъде поискано то да бъде поправено или допълнено, като междувременно могат да бъдат предприети обезпечителни мерки.</w:t>
      </w:r>
    </w:p>
    <w:p>
      <w:pPr>
        <w:pStyle w:val="Titrearticle"/>
        <w:rPr>
          <w:noProof/>
        </w:rPr>
      </w:pPr>
      <w:r>
        <w:rPr>
          <w:noProof/>
        </w:rPr>
        <w:t>ЧЛЕН 7</w:t>
      </w:r>
    </w:p>
    <w:p>
      <w:pPr>
        <w:jc w:val="center"/>
        <w:rPr>
          <w:b/>
          <w:noProof/>
        </w:rPr>
      </w:pPr>
      <w:r>
        <w:rPr>
          <w:b/>
          <w:noProof/>
        </w:rPr>
        <w:t>Изпълнение на исканията</w:t>
      </w:r>
    </w:p>
    <w:p>
      <w:pPr>
        <w:pStyle w:val="ManualNumPar1"/>
        <w:rPr>
          <w:noProof/>
        </w:rPr>
      </w:pPr>
      <w:r>
        <w:rPr>
          <w:noProof/>
        </w:rPr>
        <w:t>1.</w:t>
      </w:r>
      <w:r>
        <w:rPr>
          <w:noProof/>
        </w:rPr>
        <w:tab/>
        <w:t>За да изпълни дадено искане за помощ, запитаният орган пристъпва към действия в рамките на своите правомощия и налични ресурси, както би действал сам или по искане на други органи на своята страна, като предоставя вече притежавана от него информация или провежда или възлага провеждането на подходящите разследвания. Тази разпоредба се прилага също така за всеки друг орган, до когото е било отнесено искането за помощ от запитания орган, когато последният не може да извърши сам необходимите действия.</w:t>
      </w:r>
    </w:p>
    <w:p>
      <w:pPr>
        <w:pStyle w:val="ManualNumPar1"/>
        <w:rPr>
          <w:noProof/>
        </w:rPr>
      </w:pPr>
      <w:r>
        <w:rPr>
          <w:noProof/>
        </w:rPr>
        <w:t>2.</w:t>
      </w:r>
      <w:r>
        <w:rPr>
          <w:noProof/>
        </w:rPr>
        <w:tab/>
        <w:t>Исканията за помощ се изпълняват в съответствие със законовите или подзаконовите разпоредби на запитаната страна.</w:t>
      </w:r>
    </w:p>
    <w:p>
      <w:pPr>
        <w:pStyle w:val="ManualNumPar1"/>
        <w:rPr>
          <w:noProof/>
        </w:rPr>
      </w:pPr>
      <w:r>
        <w:rPr>
          <w:noProof/>
        </w:rPr>
        <w:t>3.</w:t>
      </w:r>
      <w:r>
        <w:rPr>
          <w:noProof/>
        </w:rPr>
        <w:tab/>
        <w:t>Надлежно оправомощени служители на една от страните могат със съгласието на другата засегната страна и при определени от нея условия:</w:t>
      </w:r>
    </w:p>
    <w:p>
      <w:pPr>
        <w:pStyle w:val="Point1"/>
        <w:rPr>
          <w:noProof/>
        </w:rPr>
      </w:pPr>
      <w:r>
        <w:rPr>
          <w:noProof/>
        </w:rPr>
        <w:t>а)</w:t>
      </w:r>
      <w:r>
        <w:rPr>
          <w:noProof/>
        </w:rPr>
        <w:tab/>
        <w:t>да присъстват в помещенията на запитания орган или на всеки друг съответен орган в съответствие с параграф 1, за да събират информация във връзка с дейности, които са или може да представляват операции в нарушение на митническото законодателство, и от която информация запитващият орган се нуждае за целите на настоящия протокол;</w:t>
      </w:r>
    </w:p>
    <w:p>
      <w:pPr>
        <w:pStyle w:val="Point1"/>
        <w:rPr>
          <w:noProof/>
        </w:rPr>
      </w:pPr>
      <w:r>
        <w:rPr>
          <w:noProof/>
        </w:rPr>
        <w:t>б)</w:t>
      </w:r>
      <w:r>
        <w:rPr>
          <w:noProof/>
        </w:rPr>
        <w:tab/>
        <w:t>да присъстват при разследванията, провеждани на територията на последната.</w:t>
      </w:r>
    </w:p>
    <w:p>
      <w:pPr>
        <w:pStyle w:val="Titrearticle"/>
        <w:rPr>
          <w:noProof/>
        </w:rPr>
      </w:pPr>
      <w:r>
        <w:rPr>
          <w:noProof/>
        </w:rPr>
        <w:t>ЧЛЕН 8</w:t>
      </w:r>
    </w:p>
    <w:p>
      <w:pPr>
        <w:jc w:val="center"/>
        <w:rPr>
          <w:b/>
          <w:noProof/>
        </w:rPr>
      </w:pPr>
      <w:r>
        <w:rPr>
          <w:b/>
          <w:noProof/>
        </w:rPr>
        <w:t>Форма на предоставяната информация</w:t>
      </w:r>
    </w:p>
    <w:p>
      <w:pPr>
        <w:pStyle w:val="ManualNumPar1"/>
        <w:rPr>
          <w:noProof/>
        </w:rPr>
      </w:pPr>
      <w:r>
        <w:rPr>
          <w:noProof/>
        </w:rPr>
        <w:t>1.</w:t>
      </w:r>
      <w:r>
        <w:rPr>
          <w:noProof/>
        </w:rPr>
        <w:tab/>
        <w:t>Запитаният орган предоставя на запитващия орган резултатите от разследванията в писмен вид заедно със съответните документи, заверени копия или други материали.</w:t>
      </w:r>
    </w:p>
    <w:p>
      <w:pPr>
        <w:pStyle w:val="ManualNumPar1"/>
        <w:rPr>
          <w:noProof/>
        </w:rPr>
      </w:pPr>
      <w:r>
        <w:rPr>
          <w:noProof/>
        </w:rPr>
        <w:t>2.</w:t>
      </w:r>
      <w:r>
        <w:rPr>
          <w:noProof/>
        </w:rPr>
        <w:tab/>
        <w:t>При поискване посочената в параграф 1 информация може да бъде в електронна форма.</w:t>
      </w:r>
    </w:p>
    <w:p>
      <w:pPr>
        <w:pStyle w:val="ManualNumPar1"/>
        <w:rPr>
          <w:noProof/>
        </w:rPr>
      </w:pPr>
      <w:r>
        <w:rPr>
          <w:noProof/>
        </w:rPr>
        <w:t>3.</w:t>
      </w:r>
      <w:r>
        <w:rPr>
          <w:noProof/>
        </w:rPr>
        <w:tab/>
        <w:t>Оригиналите на документите се изпращат единствено при поискване, в случаите, когато заверените копия са недостатъчни. Тези оригинали се връщат при първа възможност.</w:t>
      </w:r>
    </w:p>
    <w:p>
      <w:pPr>
        <w:pStyle w:val="Titrearticle"/>
        <w:rPr>
          <w:noProof/>
        </w:rPr>
      </w:pPr>
      <w:r>
        <w:rPr>
          <w:noProof/>
        </w:rPr>
        <w:lastRenderedPageBreak/>
        <w:t>ЧЛЕН 9</w:t>
      </w:r>
    </w:p>
    <w:p>
      <w:pPr>
        <w:jc w:val="center"/>
        <w:rPr>
          <w:b/>
          <w:noProof/>
        </w:rPr>
      </w:pPr>
      <w:r>
        <w:rPr>
          <w:b/>
          <w:noProof/>
        </w:rPr>
        <w:t>Изключения от задължението за оказване на помощ</w:t>
      </w:r>
    </w:p>
    <w:p>
      <w:pPr>
        <w:pStyle w:val="ManualNumPar1"/>
        <w:rPr>
          <w:noProof/>
        </w:rPr>
      </w:pPr>
      <w:r>
        <w:rPr>
          <w:noProof/>
        </w:rPr>
        <w:t>1.</w:t>
      </w:r>
      <w:r>
        <w:rPr>
          <w:noProof/>
        </w:rPr>
        <w:tab/>
        <w:t>Оказването на помощ може да бъде отказано или да бъде обвързано с изпълнението на определени условия или изисквания, в случаите когато една от страните е на мнение, че помощта съгласно настоящия протокол:</w:t>
      </w:r>
    </w:p>
    <w:p>
      <w:pPr>
        <w:pStyle w:val="Point1"/>
        <w:rPr>
          <w:noProof/>
        </w:rPr>
      </w:pPr>
      <w:r>
        <w:rPr>
          <w:noProof/>
        </w:rPr>
        <w:t>а)</w:t>
      </w:r>
      <w:r>
        <w:rPr>
          <w:noProof/>
        </w:rPr>
        <w:tab/>
        <w:t>би могла да накърни суверенитета на държава партньор от ИАО или на държава — членка на Европейския съюз, от която е поискано да окаже помощ съгласно настоящия протокол; или</w:t>
      </w:r>
    </w:p>
    <w:p>
      <w:pPr>
        <w:pStyle w:val="Point1"/>
        <w:rPr>
          <w:noProof/>
        </w:rPr>
      </w:pPr>
      <w:r>
        <w:rPr>
          <w:noProof/>
        </w:rPr>
        <w:t>б)</w:t>
      </w:r>
      <w:r>
        <w:rPr>
          <w:noProof/>
        </w:rPr>
        <w:tab/>
        <w:t>би могла да накърни обществения ред, сигурността или други съществени интереси, по-специално в случаите, посочени в член 10, параграф 2; или</w:t>
      </w:r>
    </w:p>
    <w:p>
      <w:pPr>
        <w:pStyle w:val="Point1"/>
        <w:rPr>
          <w:noProof/>
        </w:rPr>
      </w:pPr>
      <w:r>
        <w:rPr>
          <w:noProof/>
        </w:rPr>
        <w:t>в)</w:t>
      </w:r>
      <w:r>
        <w:rPr>
          <w:noProof/>
        </w:rPr>
        <w:tab/>
        <w:t>би нарушила промишлена, търговска или професионална тайна.</w:t>
      </w:r>
    </w:p>
    <w:p>
      <w:pPr>
        <w:pStyle w:val="ManualNumPar1"/>
        <w:rPr>
          <w:noProof/>
        </w:rPr>
      </w:pPr>
      <w:r>
        <w:rPr>
          <w:noProof/>
        </w:rPr>
        <w:t>2.</w:t>
      </w:r>
      <w:r>
        <w:rPr>
          <w:noProof/>
        </w:rPr>
        <w:tab/>
        <w:t>Оказването на помощ може да бъде отложено от запитания орган на основание, че то би попречило на провеждано разследване, наказателно преследване или съдебно производство. В такъв случай запитаният орган се консултира със запитващия орган, за да определи дали помощта може да бъде предоставена в съответствие с реда или условията, които запитаният орган може да изисква.</w:t>
      </w:r>
    </w:p>
    <w:p>
      <w:pPr>
        <w:pStyle w:val="ManualNumPar1"/>
        <w:rPr>
          <w:noProof/>
        </w:rPr>
      </w:pPr>
      <w:r>
        <w:rPr>
          <w:noProof/>
        </w:rPr>
        <w:t>3.</w:t>
      </w:r>
      <w:r>
        <w:rPr>
          <w:noProof/>
        </w:rPr>
        <w:tab/>
        <w:t>Ако запитващият орган изисква помощ, която самият той не би могъл да предостави, ако това се поиска от него, в своето искане той обръща внимание на този факт. В такива случаи се оставя на преценката на запитания орган да вземе решение как да отговори на такова искане.</w:t>
      </w:r>
    </w:p>
    <w:p>
      <w:pPr>
        <w:pStyle w:val="ManualNumPar1"/>
        <w:rPr>
          <w:noProof/>
        </w:rPr>
      </w:pPr>
      <w:r>
        <w:rPr>
          <w:noProof/>
        </w:rPr>
        <w:t>4.</w:t>
      </w:r>
      <w:r>
        <w:rPr>
          <w:noProof/>
        </w:rPr>
        <w:tab/>
        <w:t>В случаите, посочени в параграфи 1 и 2, решението на запитания орган и основанията за него трябва да бъдат съобщени незабавно на запитващия орган.</w:t>
      </w:r>
    </w:p>
    <w:p>
      <w:pPr>
        <w:pStyle w:val="Titrearticle"/>
        <w:rPr>
          <w:noProof/>
        </w:rPr>
      </w:pPr>
      <w:r>
        <w:rPr>
          <w:noProof/>
        </w:rPr>
        <w:t>ЧЛЕН 10</w:t>
      </w:r>
    </w:p>
    <w:p>
      <w:pPr>
        <w:jc w:val="center"/>
        <w:rPr>
          <w:b/>
          <w:noProof/>
        </w:rPr>
      </w:pPr>
      <w:r>
        <w:rPr>
          <w:b/>
          <w:noProof/>
        </w:rPr>
        <w:t>Обмен на информация и поверителност</w:t>
      </w:r>
    </w:p>
    <w:p>
      <w:pPr>
        <w:pStyle w:val="ManualNumPar1"/>
        <w:rPr>
          <w:noProof/>
        </w:rPr>
      </w:pPr>
      <w:r>
        <w:rPr>
          <w:noProof/>
        </w:rPr>
        <w:t>1.</w:t>
      </w:r>
      <w:r>
        <w:rPr>
          <w:noProof/>
        </w:rPr>
        <w:tab/>
        <w:t>Всякаква информация, съобщена под каквато и да било форма в съответствие с настоящия протокол, е поверителна или с ограничен достъп, в зависимост от правилата, приложими във всяка от страните. Тя влиза в обхвата на задължението за опазване на служебна тайна и се ползва от защитата, на която подлежи подобна информация съгласно съответното законодателство на страната, която я е получила, а в случая на ЕС, и съгласно съответните разпоредби, които се прилагат по отношение на органите на Европейския съюз</w:t>
      </w:r>
      <w:r>
        <w:rPr>
          <w:rStyle w:val="FootnoteReference"/>
          <w:noProof/>
        </w:rPr>
        <w:footnoteReference w:id="106"/>
      </w:r>
      <w:r>
        <w:rPr>
          <w:noProof/>
        </w:rPr>
        <w:t xml:space="preserve">. </w:t>
      </w:r>
    </w:p>
    <w:p>
      <w:pPr>
        <w:pStyle w:val="ManualNumPar1"/>
        <w:rPr>
          <w:noProof/>
        </w:rPr>
      </w:pPr>
      <w:r>
        <w:rPr>
          <w:noProof/>
        </w:rPr>
        <w:t>2.</w:t>
      </w:r>
      <w:r>
        <w:rPr>
          <w:noProof/>
        </w:rPr>
        <w:tab/>
        <w:t>Лични данни могат да се обменят само когато страната, която може да ги получи, се съгласи да осигури на тези данни адекватно равнище на защита, най-малкото еквивалентно на това, което е приложимо в този конкретен случай в страната, която може да ги предостави. За тази цел страните си съобщават взаимно информация относно прилаганите от тях правила и законови разпоредби.</w:t>
      </w:r>
    </w:p>
    <w:p>
      <w:pPr>
        <w:pStyle w:val="ManualNumPar1"/>
        <w:rPr>
          <w:noProof/>
        </w:rPr>
      </w:pPr>
      <w:r>
        <w:rPr>
          <w:noProof/>
        </w:rPr>
        <w:lastRenderedPageBreak/>
        <w:t>3.</w:t>
      </w:r>
      <w:r>
        <w:rPr>
          <w:noProof/>
        </w:rPr>
        <w:tab/>
        <w:t>Използването на информация, получена съгласно настоящия протокол, при съдебни производства или административни процедури, образувани по отношение на операции в нарушение на митническото законодателство, се счита за използване за целите на настоящия протокол. Поради това в своите протоколи с представени доказателства, доклади и свидетелски показания, и в рамките на производства и обвинения, повдигнати пред съдилищата, страните могат да използват като доказателство получената информация и проучените документи в съответствие с разпоредбите на настоящия протокол. Компетентният орган, който е предоставил тази информация или е дал достъп до тези документи, бива уведомен за това използване.</w:t>
      </w:r>
    </w:p>
    <w:p>
      <w:pPr>
        <w:pStyle w:val="ManualNumPar1"/>
        <w:rPr>
          <w:noProof/>
        </w:rPr>
      </w:pPr>
      <w:r>
        <w:rPr>
          <w:noProof/>
        </w:rPr>
        <w:t>4.</w:t>
      </w:r>
      <w:r>
        <w:rPr>
          <w:noProof/>
        </w:rPr>
        <w:tab/>
        <w:t>Получената информация се използва единствено за целите на настоящия протокол. Когато една от страните желае да използва тази информация за други цели, тя трябва да получи предварителното писмено съгласие на органа, който я е предоставил. В такъв случай това използване подлежи на всички ограничения, установени от посочения орган.</w:t>
      </w:r>
    </w:p>
    <w:p>
      <w:pPr>
        <w:pStyle w:val="Titrearticle"/>
        <w:rPr>
          <w:noProof/>
        </w:rPr>
      </w:pPr>
      <w:r>
        <w:rPr>
          <w:noProof/>
        </w:rPr>
        <w:t>ЧЛЕН 11</w:t>
      </w:r>
    </w:p>
    <w:p>
      <w:pPr>
        <w:jc w:val="center"/>
        <w:rPr>
          <w:b/>
          <w:noProof/>
        </w:rPr>
      </w:pPr>
      <w:r>
        <w:rPr>
          <w:b/>
          <w:noProof/>
        </w:rPr>
        <w:t>Експерти и свидетели</w:t>
      </w:r>
    </w:p>
    <w:p>
      <w:pPr>
        <w:rPr>
          <w:noProof/>
        </w:rPr>
      </w:pPr>
      <w:r>
        <w:rPr>
          <w:noProof/>
        </w:rPr>
        <w:t>Служител на запитания орган може да бъде упълномощен да се яви, в рамките на ограниченията на предоставените му пълномощия, като експерт или свидетел по съдебни производства или административни процедури по въпросите, обхванати от настоящия протокол, и да представи вещи, документи или техни заверени копия, които могат да се окажат необходими при съответните производства или процедури. В искането за явяване трябва конкретно да бъде посочено пред кой съдебен или административен орган трябва да се яви служителят, по какви въпроси и по силата на каква заемана длъжност или квалификация служителят ще бъде разпитван.</w:t>
      </w:r>
    </w:p>
    <w:p>
      <w:pPr>
        <w:pStyle w:val="Titrearticle"/>
        <w:rPr>
          <w:noProof/>
        </w:rPr>
      </w:pPr>
      <w:r>
        <w:rPr>
          <w:noProof/>
        </w:rPr>
        <w:t>ЧЛЕН 12</w:t>
      </w:r>
    </w:p>
    <w:p>
      <w:pPr>
        <w:jc w:val="center"/>
        <w:rPr>
          <w:b/>
          <w:noProof/>
        </w:rPr>
      </w:pPr>
      <w:r>
        <w:rPr>
          <w:b/>
          <w:noProof/>
        </w:rPr>
        <w:t>Разходи във връзка с помощта</w:t>
      </w:r>
    </w:p>
    <w:p>
      <w:pPr>
        <w:rPr>
          <w:noProof/>
        </w:rPr>
      </w:pPr>
      <w:r>
        <w:rPr>
          <w:noProof/>
        </w:rPr>
        <w:t>Страните се отказват от всякакви взаимни претенции за възстановяване на разходите по прилагането на настоящия протокол, с изключение на разходите за експерти и свидетели, когато е целесъобразно, както и на разходите за устни и писмени преводачи, които не са държавни служители.</w:t>
      </w:r>
    </w:p>
    <w:p>
      <w:pPr>
        <w:pStyle w:val="Titrearticle"/>
        <w:rPr>
          <w:noProof/>
        </w:rPr>
      </w:pPr>
      <w:r>
        <w:rPr>
          <w:noProof/>
        </w:rPr>
        <w:t>ЧЛЕН 13</w:t>
      </w:r>
    </w:p>
    <w:p>
      <w:pPr>
        <w:jc w:val="center"/>
        <w:rPr>
          <w:b/>
          <w:noProof/>
        </w:rPr>
      </w:pPr>
      <w:r>
        <w:rPr>
          <w:b/>
          <w:noProof/>
        </w:rPr>
        <w:t>Прилагане</w:t>
      </w:r>
    </w:p>
    <w:p>
      <w:pPr>
        <w:pStyle w:val="ManualNumPar1"/>
        <w:rPr>
          <w:noProof/>
        </w:rPr>
      </w:pPr>
      <w:r>
        <w:rPr>
          <w:noProof/>
        </w:rPr>
        <w:t>1.</w:t>
      </w:r>
      <w:r>
        <w:rPr>
          <w:noProof/>
        </w:rPr>
        <w:tab/>
        <w:t xml:space="preserve">Прилагането на настоящия протокол се възлага, от една страна, на митническите органи на държавите партньори от ИАО, а от друга страна — на компетентните служби на Европейската комисия и, когато е целесъобразно, на митническите органи на държавите — членки на Европейския съюз. Те вземат решения относно всички практически мерки и разпоредби, необходими за неговото прилагане, като вземат предвид действащите правила, и по-специално тези в областта на защитата на данните. </w:t>
      </w:r>
    </w:p>
    <w:p>
      <w:pPr>
        <w:pStyle w:val="ManualNumPar1"/>
        <w:rPr>
          <w:noProof/>
        </w:rPr>
      </w:pPr>
      <w:r>
        <w:rPr>
          <w:noProof/>
        </w:rPr>
        <w:lastRenderedPageBreak/>
        <w:t>2.</w:t>
      </w:r>
      <w:r>
        <w:rPr>
          <w:noProof/>
        </w:rPr>
        <w:tab/>
        <w:t>Страните провеждат консултации помежду си и впоследствие се информират взаимно относно подробните правила за прилагане, които са приети в съответствие с разпоредбите на настоящия протокол.</w:t>
      </w:r>
    </w:p>
    <w:p>
      <w:pPr>
        <w:pStyle w:val="Titrearticle"/>
        <w:rPr>
          <w:noProof/>
        </w:rPr>
      </w:pPr>
      <w:r>
        <w:rPr>
          <w:noProof/>
        </w:rPr>
        <w:t>ЧЛЕН 14</w:t>
      </w:r>
    </w:p>
    <w:p>
      <w:pPr>
        <w:jc w:val="center"/>
        <w:rPr>
          <w:b/>
          <w:noProof/>
        </w:rPr>
      </w:pPr>
      <w:r>
        <w:rPr>
          <w:b/>
          <w:noProof/>
        </w:rPr>
        <w:t>Изменения</w:t>
      </w:r>
    </w:p>
    <w:p>
      <w:pPr>
        <w:rPr>
          <w:noProof/>
        </w:rPr>
      </w:pPr>
      <w:r>
        <w:rPr>
          <w:noProof/>
        </w:rPr>
        <w:t>Страните могат да препоръчват на компетентните органи изменения, които според тях следва да бъдат направени на настоящия протокол.</w:t>
      </w:r>
    </w:p>
    <w:p>
      <w:pPr>
        <w:pStyle w:val="Titrearticle"/>
        <w:rPr>
          <w:noProof/>
        </w:rPr>
      </w:pPr>
      <w:r>
        <w:rPr>
          <w:noProof/>
        </w:rPr>
        <w:t>ЧЛЕН 15</w:t>
      </w:r>
    </w:p>
    <w:p>
      <w:pPr>
        <w:jc w:val="center"/>
        <w:rPr>
          <w:b/>
          <w:noProof/>
        </w:rPr>
      </w:pPr>
      <w:r>
        <w:rPr>
          <w:b/>
          <w:noProof/>
        </w:rPr>
        <w:t>Заключителни разпоредби</w:t>
      </w:r>
    </w:p>
    <w:p>
      <w:pPr>
        <w:pStyle w:val="ManualNumPar1"/>
        <w:rPr>
          <w:noProof/>
        </w:rPr>
      </w:pPr>
      <w:r>
        <w:rPr>
          <w:noProof/>
        </w:rPr>
        <w:t>1.</w:t>
      </w:r>
      <w:r>
        <w:rPr>
          <w:noProof/>
        </w:rPr>
        <w:tab/>
        <w:t xml:space="preserve">Настоящият протокол допълва, а не влиза в противоречие с прилагането на каквито и да било споразумения за административна взаимопомощ, които са сключени или може да бъдат сключени между страните, и не влиза в противоречие с предоставянето на по-широкообхватна взаимопомощ по силата на такива споразумения. </w:t>
      </w:r>
    </w:p>
    <w:p>
      <w:pPr>
        <w:pStyle w:val="ManualNumPar1"/>
        <w:rPr>
          <w:noProof/>
        </w:rPr>
      </w:pPr>
      <w:r>
        <w:rPr>
          <w:noProof/>
        </w:rPr>
        <w:t>2.</w:t>
      </w:r>
      <w:r>
        <w:rPr>
          <w:noProof/>
        </w:rPr>
        <w:tab/>
        <w:t>Разпоредбите на настоящия протокол не засягат задълженията на страните, произтичащи от други международни споразумения или конвенции.</w:t>
      </w:r>
    </w:p>
    <w:p>
      <w:pPr>
        <w:pStyle w:val="ManualNumPar1"/>
        <w:rPr>
          <w:noProof/>
        </w:rPr>
      </w:pPr>
      <w:r>
        <w:rPr>
          <w:noProof/>
        </w:rPr>
        <w:t>3.</w:t>
      </w:r>
      <w:r>
        <w:rPr>
          <w:noProof/>
        </w:rPr>
        <w:tab/>
        <w:t>Разпоредбите на настоящия протокол не засягат разпоредбите на Европейския съюз, уреждащи съобщаването между компетентните служби на Европейската комисия и митническите органи на държавите — членки на Европейския съюз на каквато и да е информация, получена съгласно настоящия протокол, която би могла да е от интерес за Европейския съюз.</w:t>
      </w:r>
    </w:p>
    <w:p>
      <w:pPr>
        <w:pStyle w:val="ManualNumPar1"/>
        <w:rPr>
          <w:noProof/>
        </w:rPr>
      </w:pPr>
      <w:r>
        <w:rPr>
          <w:noProof/>
        </w:rPr>
        <w:t>4.</w:t>
      </w:r>
      <w:r>
        <w:rPr>
          <w:noProof/>
        </w:rPr>
        <w:tab/>
        <w:t>Разпоредбите на настоящия протокол не засягат разпоредбите на държавите партньори от ИАО, уреждащи съобщаването между компетентните органи на ИАО и митническите органи на държавите партньори от ИАО на каквато и да е информация, получена съгласно настоящия протокол, която би могла да е от интерес за държавите партньори от ИАО.</w:t>
      </w:r>
    </w:p>
    <w:p>
      <w:pPr>
        <w:pStyle w:val="ManualNumPar1"/>
        <w:rPr>
          <w:noProof/>
        </w:rPr>
      </w:pPr>
      <w:r>
        <w:rPr>
          <w:noProof/>
        </w:rPr>
        <w:t>5.</w:t>
      </w:r>
      <w:r>
        <w:rPr>
          <w:noProof/>
        </w:rPr>
        <w:tab/>
        <w:t>Независимо от разпоредбите на параграф 1 разпоредбите на настоящия протокол имат предимство пред разпоредбите на всяко двустранно споразумение за взаимопомощ, което е сключено или може да бъде сключено между отделни държави — членки на Европейския съюз, и която и да е държава партньор от ИАО, в случай че разпоредбите на последната се окажат несъвместими с разпоредбите на настоящия протокол.</w:t>
      </w:r>
    </w:p>
    <w:p>
      <w:pPr>
        <w:pStyle w:val="ManualNumPar1"/>
        <w:rPr>
          <w:noProof/>
        </w:rPr>
      </w:pPr>
      <w:r>
        <w:rPr>
          <w:noProof/>
        </w:rPr>
        <w:t>6.</w:t>
      </w:r>
      <w:r>
        <w:rPr>
          <w:noProof/>
        </w:rPr>
        <w:tab/>
        <w:t>По отношение на въпросите, свързани с приложимостта на настоящия протокол, страните провеждат консултации помежду си за разрешаване на въпроса в рамките на Специалния комитет по митниците и улесняването на търговията.</w:t>
      </w:r>
    </w:p>
    <w:p>
      <w:pPr>
        <w:jc w:val="center"/>
        <w:rPr>
          <w:noProof/>
        </w:rPr>
      </w:pPr>
      <w:r>
        <w:rPr>
          <w:noProof/>
        </w:rPr>
        <w:t>_________________________</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Bold-Identity-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За целите на прилагането на това специфично изключване следва да се прилагат правилата за непреференциален произход, приложими на границата на ЕС.</w:t>
      </w:r>
    </w:p>
  </w:footnote>
  <w:footnote w:id="2">
    <w:p>
      <w:pPr>
        <w:pStyle w:val="FootnoteText"/>
      </w:pPr>
      <w:r>
        <w:rPr>
          <w:rStyle w:val="FootnoteReference"/>
        </w:rPr>
        <w:footnoteRef/>
      </w:r>
      <w:r>
        <w:tab/>
      </w:r>
      <w:r>
        <w:rPr>
          <w:sz w:val="18"/>
        </w:rPr>
        <w:t>Решение 729/2009/ЕО на Съвета от 13 юли 2009 г.</w:t>
      </w:r>
    </w:p>
  </w:footnote>
  <w:footnote w:id="3">
    <w:p>
      <w:pPr>
        <w:pStyle w:val="FootnoteText"/>
      </w:pPr>
      <w:r>
        <w:rPr>
          <w:rStyle w:val="FootnoteReference"/>
        </w:rPr>
        <w:footnoteRef/>
      </w:r>
      <w:r>
        <w:tab/>
      </w:r>
      <w:r>
        <w:rPr>
          <w:sz w:val="18"/>
        </w:rPr>
        <w:t>Решение 729/2009/ЕО на Съвета от 13 юли 2009 г.</w:t>
      </w:r>
    </w:p>
  </w:footnote>
  <w:footnote w:id="4">
    <w:p>
      <w:pPr>
        <w:pStyle w:val="FootnoteText"/>
      </w:pPr>
      <w:r>
        <w:rPr>
          <w:rStyle w:val="FootnoteReference"/>
        </w:rPr>
        <w:footnoteRef/>
      </w:r>
      <w:r>
        <w:tab/>
      </w:r>
      <w:r>
        <w:rPr>
          <w:sz w:val="18"/>
        </w:rPr>
        <w:t>Вж. членове 11 и 12 от Регламент (ЕО) № 732/2008 на Съвета от 22 юли 2008 г. за прилагане на схема от общи тарифни преференции за периода от 1 януари 2009 г. до 31 декември 2011 г., както и последващите изменящи го и свързани с него правни актове.</w:t>
      </w:r>
    </w:p>
  </w:footnote>
  <w:footnote w:id="5">
    <w:p>
      <w:pPr>
        <w:pStyle w:val="FootnoteText"/>
      </w:pPr>
      <w:r>
        <w:rPr>
          <w:rStyle w:val="FootnoteReference"/>
        </w:rPr>
        <w:footnoteRef/>
      </w:r>
      <w:r>
        <w:tab/>
      </w:r>
      <w:r>
        <w:rPr>
          <w:sz w:val="18"/>
        </w:rPr>
        <w:t>Вж. член 6 от Регламент (ЕО) № 732/2008 на Съвета от 22 юли 2008 г. за прилагане на схема от общи тарифни преференции за периода от 1 януари 2009 г. до 31 декември 2011 г., както и последващите изменящи го и свързани с него правни актове; материалите, които се ползват от безмитен режим по силата на специалния насърчителен режим за устойчиво развитие и добро управление, посочен в членове 7 — 10 от същия регламент на Съвета, но не съгласно общия режим, предвиден в член 6 от същия регламент на Съвета, не попадат в обхвата на тази разпоредба.</w:t>
      </w:r>
    </w:p>
  </w:footnote>
  <w:footnote w:id="6">
    <w:p>
      <w:pPr>
        <w:pStyle w:val="FootnoteText"/>
      </w:pPr>
      <w:r>
        <w:rPr>
          <w:rStyle w:val="FootnoteReference"/>
        </w:rPr>
        <w:footnoteRef/>
      </w:r>
      <w:r>
        <w:tab/>
      </w:r>
      <w:r>
        <w:rPr>
          <w:sz w:val="18"/>
        </w:rPr>
        <w:t>За целите на това специфично изключване следва да се прилагат правилата за непреференциален произход, приложими на границата на ЕС.</w:t>
      </w:r>
    </w:p>
  </w:footnote>
  <w:footnote w:id="7">
    <w:p>
      <w:pPr>
        <w:pStyle w:val="FootnoteText"/>
      </w:pPr>
      <w:r>
        <w:rPr>
          <w:rStyle w:val="FootnoteReference"/>
        </w:rPr>
        <w:footnoteRef/>
      </w:r>
      <w:r>
        <w:tab/>
        <w:t>За целите на това специфично изключване следва да се прилагат правилата за непреференциален произход, приложими на границата на ЕС.</w:t>
      </w:r>
    </w:p>
  </w:footnote>
  <w:footnote w:id="8">
    <w:p>
      <w:pPr>
        <w:pStyle w:val="FootnoteText"/>
      </w:pPr>
      <w:r>
        <w:rPr>
          <w:rStyle w:val="FootnoteReference"/>
        </w:rPr>
        <w:footnoteRef/>
      </w:r>
      <w:r>
        <w:tab/>
        <w:t>Европейската комисия ще предостави формуляр, който да се използва от държавите от АКТБ за целите на уведомяването. Във формуляра ще са включени най-малко средните елементи: описание на материалите, използвани за кумулацията, както и техния произход.</w:t>
      </w:r>
    </w:p>
  </w:footnote>
  <w:footnote w:id="9">
    <w:p>
      <w:pPr>
        <w:pStyle w:val="FootnoteText"/>
      </w:pPr>
      <w:r>
        <w:rPr>
          <w:rStyle w:val="FootnoteReference"/>
        </w:rPr>
        <w:footnoteRef/>
      </w:r>
      <w:r>
        <w:tab/>
        <w:t>Изменен с Регламент (EС) № 1063/2010 на Комисията от 18 ноември 2010 г.</w:t>
      </w:r>
    </w:p>
  </w:footnote>
  <w:footnote w:id="10">
    <w:p>
      <w:pPr>
        <w:pStyle w:val="FootnoteText"/>
      </w:pPr>
      <w:r>
        <w:rPr>
          <w:rStyle w:val="FootnoteReference"/>
        </w:rPr>
        <w:footnoteRef/>
      </w:r>
      <w:r>
        <w:tab/>
        <w:t>Този пример е даден единствено с цел разяснение. Той няма юридически обвързваща сила.</w:t>
      </w:r>
    </w:p>
  </w:footnote>
  <w:footnote w:id="11">
    <w:p>
      <w:pPr>
        <w:pStyle w:val="FootnoteText"/>
      </w:pPr>
      <w:r>
        <w:rPr>
          <w:rStyle w:val="FootnoteReference"/>
        </w:rPr>
        <w:footnoteRef/>
      </w:r>
      <w:r>
        <w:tab/>
        <w:t>Вж. допълнителна забележка 5, буква б) към глава 27 от Комбинираната номенклатура.</w:t>
      </w:r>
    </w:p>
  </w:footnote>
  <w:footnote w:id="12">
    <w:p>
      <w:pPr>
        <w:pStyle w:val="FootnoteText"/>
      </w:pPr>
      <w:r>
        <w:rPr>
          <w:rStyle w:val="FootnoteReference"/>
        </w:rPr>
        <w:footnoteRef/>
      </w:r>
      <w:r>
        <w:tab/>
        <w:t>Вж. допълнителна забележка 5, буква б) към глава 27 от Комбинираната номенклатура.</w:t>
      </w:r>
    </w:p>
  </w:footnote>
  <w:footnote w:id="13">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4">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5">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6">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7">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8">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9">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20">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21">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22">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23">
    <w:p>
      <w:pPr>
        <w:pStyle w:val="FootnoteText"/>
      </w:pPr>
      <w:r>
        <w:rPr>
          <w:rStyle w:val="FootnoteReference"/>
        </w:rPr>
        <w:footnoteRef/>
      </w:r>
      <w:r>
        <w:tab/>
        <w:t>За продуктите, които се състоят от материали, класирани, от една страна, в позиции 3901 — 3906 и, от друга страна, в позиции 3907 — 3911, настоящото ограничение се прилага единствено към групата материали, която преобладава тегловно в продукта.</w:t>
      </w:r>
    </w:p>
  </w:footnote>
  <w:footnote w:id="24">
    <w:p>
      <w:pPr>
        <w:pStyle w:val="FootnoteText"/>
      </w:pPr>
      <w:r>
        <w:rPr>
          <w:rStyle w:val="FootnoteReference"/>
        </w:rPr>
        <w:footnoteRef/>
      </w:r>
      <w:r>
        <w:tab/>
        <w:t>За продуктите, които се състоят от материали, класирани, от една страна, в позиции 3901 — 3906 и, от друга страна, в позиции 3907 — 3911, настоящото ограничение се прилага единствено към групата материали, която преобладава тегловно в продукта.</w:t>
      </w:r>
    </w:p>
  </w:footnote>
  <w:footnote w:id="25">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26">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27">
    <w:p>
      <w:pPr>
        <w:pStyle w:val="FootnoteText"/>
      </w:pPr>
      <w:r>
        <w:rPr>
          <w:rStyle w:val="FootnoteReference"/>
        </w:rPr>
        <w:footnoteRef/>
      </w:r>
      <w:r>
        <w:tab/>
        <w:t>За продуктите, които се състоят от материали, класирани, от една страна, в позиции 3901 — 3906 и, от друга страна, в позиции 3907 — 3911, настоящото ограничение се прилага единствено към групата материали, която преобладава тегловно в продукта.</w:t>
      </w:r>
    </w:p>
  </w:footnote>
  <w:footnote w:id="28">
    <w:p>
      <w:pPr>
        <w:pStyle w:val="FootnoteText"/>
      </w:pPr>
      <w:r>
        <w:rPr>
          <w:rStyle w:val="FootnoteReference"/>
        </w:rPr>
        <w:footnoteRef/>
      </w:r>
      <w:r>
        <w:tab/>
        <w:t>За продуктите, които се състоят от материали, класирани, от една страна, в позиции 3901 — 3906 и, от друга страна, в позиции 3907 — 3911, настоящото ограничение се прилага единствено към групата материали, която преобладава тегловно в продукта.</w:t>
      </w:r>
    </w:p>
  </w:footnote>
  <w:footnote w:id="29">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30">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3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3">
    <w:p>
      <w:pPr>
        <w:pStyle w:val="FootnoteText"/>
      </w:pPr>
      <w:r>
        <w:rPr>
          <w:rStyle w:val="FootnoteReference"/>
        </w:rPr>
        <w:footnoteRef/>
      </w:r>
      <w:r>
        <w:tab/>
        <w:t>Вж. уводна бележка 7.</w:t>
      </w:r>
    </w:p>
  </w:footnote>
  <w:footnote w:id="8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5">
    <w:p>
      <w:pPr>
        <w:pStyle w:val="FootnoteText"/>
      </w:pPr>
      <w:r>
        <w:rPr>
          <w:rStyle w:val="FootnoteReference"/>
        </w:rPr>
        <w:footnoteRef/>
      </w:r>
      <w:r>
        <w:tab/>
        <w:t>Вж. уводна бележка 7.</w:t>
      </w:r>
    </w:p>
  </w:footnote>
  <w:footnote w:id="8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7">
    <w:p>
      <w:pPr>
        <w:pStyle w:val="FootnoteText"/>
      </w:pPr>
      <w:r>
        <w:rPr>
          <w:rStyle w:val="FootnoteReference"/>
        </w:rPr>
        <w:footnoteRef/>
      </w:r>
      <w:r>
        <w:tab/>
        <w:t>Вж. уводна бележка 7.</w:t>
      </w:r>
    </w:p>
  </w:footnote>
  <w:footnote w:id="8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8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90">
    <w:p>
      <w:pPr>
        <w:pStyle w:val="FootnoteText"/>
      </w:pPr>
      <w:r>
        <w:rPr>
          <w:rStyle w:val="FootnoteReference"/>
        </w:rPr>
        <w:footnoteRef/>
      </w:r>
      <w:r>
        <w:tab/>
        <w:t>Вж. уводна бележка 7.</w:t>
      </w:r>
    </w:p>
  </w:footnote>
  <w:footnote w:id="9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92">
    <w:p>
      <w:pPr>
        <w:pStyle w:val="FootnoteText"/>
      </w:pPr>
      <w:r>
        <w:rPr>
          <w:rStyle w:val="FootnoteReference"/>
        </w:rPr>
        <w:footnoteRef/>
      </w:r>
      <w:r>
        <w:tab/>
        <w:t>Вж. уводна бележка 7.</w:t>
      </w:r>
    </w:p>
  </w:footnote>
  <w:footnote w:id="93">
    <w:p>
      <w:pPr>
        <w:pStyle w:val="FootnoteText"/>
      </w:pPr>
      <w:r>
        <w:rPr>
          <w:rStyle w:val="FootnoteReference"/>
        </w:rPr>
        <w:footnoteRef/>
      </w:r>
      <w:r>
        <w:tab/>
        <w:t>Вж. уводна бележка 7.</w:t>
      </w:r>
    </w:p>
  </w:footnote>
  <w:footnote w:id="94">
    <w:p>
      <w:pPr>
        <w:pStyle w:val="FootnoteText"/>
      </w:pPr>
      <w:r>
        <w:rPr>
          <w:rStyle w:val="FootnoteReference"/>
        </w:rPr>
        <w:footnoteRef/>
      </w:r>
      <w:r>
        <w:tab/>
        <w:t>Вж. уводна бележка 6.</w:t>
      </w:r>
    </w:p>
  </w:footnote>
  <w:footnote w:id="95">
    <w:p>
      <w:pPr>
        <w:pStyle w:val="FootnoteText"/>
      </w:pPr>
      <w:r>
        <w:rPr>
          <w:rStyle w:val="FootnoteReference"/>
        </w:rPr>
        <w:footnoteRef/>
      </w:r>
      <w:r>
        <w:tab/>
        <w:t>Вж. уводна бележка 7.</w:t>
      </w:r>
    </w:p>
  </w:footnote>
  <w:footnote w:id="96">
    <w:p>
      <w:pPr>
        <w:pStyle w:val="FootnoteText"/>
      </w:pPr>
      <w:r>
        <w:rPr>
          <w:rStyle w:val="FootnoteReference"/>
        </w:rPr>
        <w:footnoteRef/>
      </w:r>
      <w:r>
        <w:tab/>
        <w:t>Вж. уводна бележка 7.</w:t>
      </w:r>
    </w:p>
  </w:footnote>
  <w:footnote w:id="97">
    <w:p>
      <w:pPr>
        <w:pStyle w:val="FootnoteText"/>
      </w:pPr>
      <w:r>
        <w:rPr>
          <w:rStyle w:val="FootnoteReference"/>
        </w:rPr>
        <w:footnoteRef/>
      </w:r>
      <w:r>
        <w:tab/>
        <w:t>Вж. уводна бележка 7.</w:t>
      </w:r>
    </w:p>
  </w:footnote>
  <w:footnote w:id="98">
    <w:p>
      <w:pPr>
        <w:pStyle w:val="FootnoteText"/>
      </w:pPr>
      <w:r>
        <w:rPr>
          <w:rStyle w:val="FootnoteReference"/>
        </w:rPr>
        <w:footnoteRef/>
      </w:r>
      <w:r>
        <w:tab/>
        <w:t>Относно трикотажните или плетените артикули, които не са еластични или гумирани,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7.</w:t>
      </w:r>
    </w:p>
  </w:footnote>
  <w:footnote w:id="9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10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10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102">
    <w:p>
      <w:pPr>
        <w:pStyle w:val="FootnoteText"/>
      </w:pPr>
      <w:r>
        <w:rPr>
          <w:rStyle w:val="FootnoteReference"/>
        </w:rPr>
        <w:footnoteRef/>
      </w:r>
      <w:r>
        <w:tab/>
        <w:t>Вж. уводна бележка 7.</w:t>
      </w:r>
    </w:p>
  </w:footnote>
  <w:footnote w:id="10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104">
    <w:p>
      <w:pPr>
        <w:pStyle w:val="FootnoteText"/>
      </w:pPr>
      <w:r>
        <w:rPr>
          <w:rStyle w:val="FootnoteReference"/>
        </w:rPr>
        <w:footnoteRef/>
      </w:r>
      <w:r>
        <w:tab/>
        <w:t>Вж. уводна бележка 7.</w:t>
      </w:r>
    </w:p>
  </w:footnote>
  <w:footnote w:id="105">
    <w:p>
      <w:pPr>
        <w:pStyle w:val="FootnoteText"/>
      </w:pPr>
      <w:r>
        <w:rPr>
          <w:rStyle w:val="FootnoteReference"/>
        </w:rPr>
        <w:footnoteRef/>
      </w:r>
      <w:r>
        <w:tab/>
        <w:t>SEMII — Semiconductor Equipment and Materials Institute Incorporated.</w:t>
      </w:r>
    </w:p>
  </w:footnote>
  <w:footnote w:id="106">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B2D669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12"/>
    <w:lvlOverride w:ilvl="0">
      <w:startOverride w:val="1"/>
    </w:lvlOverride>
  </w:num>
  <w:num w:numId="31">
    <w:abstractNumId w:val="29"/>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0"/>
  </w:num>
  <w:num w:numId="35">
    <w:abstractNumId w:val="33"/>
  </w:num>
  <w:num w:numId="36">
    <w:abstractNumId w:val="12"/>
  </w:num>
  <w:num w:numId="37">
    <w:abstractNumId w:val="21"/>
  </w:num>
  <w:num w:numId="38">
    <w:abstractNumId w:val="9"/>
  </w:num>
  <w:num w:numId="39">
    <w:abstractNumId w:val="32"/>
  </w:num>
  <w:num w:numId="40">
    <w:abstractNumId w:val="7"/>
  </w:num>
  <w:num w:numId="41">
    <w:abstractNumId w:val="23"/>
  </w:num>
  <w:num w:numId="42">
    <w:abstractNumId w:val="27"/>
  </w:num>
  <w:num w:numId="43">
    <w:abstractNumId w:val="28"/>
  </w:num>
  <w:num w:numId="44">
    <w:abstractNumId w:val="11"/>
  </w:num>
  <w:num w:numId="45">
    <w:abstractNumId w:val="25"/>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45:01"/>
    <w:docVar w:name="DQCNUMB_1" w:val="548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5"/>
    <w:docVar w:name="LW_ANNEX_NBR_LAST" w:val="5"/>
    <w:docVar w:name="LW_CONFIDENCE" w:val=" "/>
    <w:docVar w:name="LW_CONST_RESTREINT_UE" w:val="RESTREINT UE"/>
    <w:docVar w:name="LW_CORRIGENDUM" w:val="&lt;UNUSED&gt;"/>
    <w:docVar w:name="LW_COVERPAGE_GUID" w:val="5DD4ACF23D42444DBDE5C8A63B8CA897"/>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F2A2-7F5E-424A-883C-E04752AA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258</Pages>
  <Words>47330</Words>
  <Characters>270733</Characters>
  <Application>Microsoft Office Word</Application>
  <DocSecurity>0</DocSecurity>
  <Lines>19338</Lines>
  <Paragraphs>3614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2016-01-28T12:39:00Z</dcterms:created>
  <dcterms:modified xsi:type="dcterms:W3CDTF">2016-02-11T10:45:00Z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