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65016123FC94B7CA7102535911825BD"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16 септември 2015 г. Швеция подаде заявление EGF/2015/009 SE/Volvo Trucks за предоставяне на финансово участие от ЕФПГ във връзка с извършени съкращения</w:t>
      </w:r>
      <w:r>
        <w:rPr>
          <w:rStyle w:val="FootnoteReference"/>
          <w:noProof/>
        </w:rPr>
        <w:footnoteReference w:id="2"/>
      </w:r>
      <w:r>
        <w:rPr>
          <w:noProof/>
        </w:rPr>
        <w:t xml:space="preserve"> във Volvo Group Truck Operation EMEA и четирима доставчици и производители надолу по веригата в Швеция.</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shd w:val="clear" w:color="auto" w:fill="auto"/>
          </w:tcPr>
          <w:p>
            <w:pPr>
              <w:spacing w:before="60" w:after="60"/>
              <w:ind w:rightChars="192" w:right="461"/>
              <w:jc w:val="left"/>
              <w:rPr>
                <w:rFonts w:eastAsia="Calibri"/>
                <w:noProof/>
              </w:rPr>
            </w:pPr>
            <w:r>
              <w:rPr>
                <w:noProof/>
              </w:rPr>
              <w:t>EGF/2015/009 SE/Volvo Trucks</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shd w:val="clear" w:color="auto" w:fill="auto"/>
          </w:tcPr>
          <w:p>
            <w:pPr>
              <w:spacing w:before="60" w:after="60"/>
              <w:ind w:rightChars="192" w:right="461"/>
              <w:jc w:val="left"/>
              <w:rPr>
                <w:rFonts w:eastAsia="Calibri"/>
                <w:noProof/>
              </w:rPr>
            </w:pPr>
            <w:r>
              <w:rPr>
                <w:noProof/>
              </w:rPr>
              <w:t>Швеция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3"/>
            </w:r>
            <w:r>
              <w:rPr>
                <w:noProof/>
              </w:rPr>
              <w:t>)</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rPr>
              <w:t xml:space="preserve">SE33 (Upper Norrland) </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16 септември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16 септември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30 септември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11 ноември 2015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 февруари 2016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Volvo Group Truck Operation EMEA</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(на равнище разделения по NACE Rev. 2)</w:t>
            </w:r>
            <w:r>
              <w:rPr>
                <w:rStyle w:val="FootnoteReference"/>
                <w:noProof/>
              </w:rPr>
              <w:footnoteReference w:id="4"/>
            </w:r>
          </w:p>
        </w:tc>
        <w:tc>
          <w:tcPr>
            <w:tcW w:w="4379" w:type="dxa"/>
            <w:shd w:val="clear" w:color="auto" w:fill="auto"/>
          </w:tcPr>
          <w:p>
            <w:pPr>
              <w:spacing w:before="60" w:after="60"/>
              <w:ind w:rightChars="192" w:right="461"/>
              <w:jc w:val="left"/>
              <w:rPr>
                <w:noProof/>
                <w:szCs w:val="24"/>
              </w:rPr>
            </w:pPr>
            <w:r>
              <w:rPr>
                <w:noProof/>
              </w:rPr>
              <w:t>Разделение 29 („Производство на автомобили, ремаркета и полуремаркета“)</w:t>
            </w:r>
          </w:p>
        </w:tc>
      </w:tr>
      <w:tr>
        <w:tc>
          <w:tcPr>
            <w:tcW w:w="4908" w:type="dxa"/>
            <w:shd w:val="clear" w:color="auto" w:fill="auto"/>
          </w:tcPr>
          <w:p>
            <w:pPr>
              <w:spacing w:before="60" w:after="60"/>
              <w:jc w:val="left"/>
              <w:rPr>
                <w:rFonts w:eastAsia="Calibri"/>
                <w:noProof/>
              </w:rPr>
            </w:pPr>
            <w:r>
              <w:rPr>
                <w:noProof/>
              </w:rPr>
              <w:br w:type="page"/>
              <w:t>Брой дъщерни предприятия, доставчици и производители надолу по веригата</w:t>
            </w:r>
          </w:p>
        </w:tc>
        <w:tc>
          <w:tcPr>
            <w:tcW w:w="4379" w:type="dxa"/>
            <w:shd w:val="clear" w:color="auto" w:fill="auto"/>
          </w:tcPr>
          <w:p>
            <w:pPr>
              <w:spacing w:before="60" w:after="60"/>
              <w:ind w:rightChars="192" w:right="461"/>
              <w:jc w:val="left"/>
              <w:rPr>
                <w:rFonts w:eastAsia="Calibri"/>
                <w:noProof/>
              </w:rPr>
            </w:pPr>
            <w:r>
              <w:rPr>
                <w:noProof/>
              </w:rPr>
              <w:t>4</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(четири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24 февруари 2015 г. — 24 юни 2015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през референтния период (а)</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647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преди и след референтния период (б)</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 (a + б)</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647</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отговарящите на критериите бенефициери</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647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2 869 938</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119 580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2 989 518</w:t>
            </w: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1 793 710</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Шведските органи подадоха заявление EGF/2015/009 SE/Volvo Trucks на 16 септември 2015 г. в срок от 12 седмици от датата, на която са изпълнени критериите за намеса, определени в член 4 от Регламента за ЕФПГ. В двуседмичен срок от датата на подаването му — на 16 септември 2015 г. Комисията потвърди, че е получила заявлението, и на 30 септември поиска допълнителна информация от Швеция.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3 февруари 2016 г.</w:t>
      </w:r>
    </w:p>
    <w:p>
      <w:pPr>
        <w:pStyle w:val="ManualNumPar1"/>
        <w:rPr>
          <w:noProof/>
        </w:rPr>
      </w:pPr>
      <w:r>
        <w:t>5.</w:t>
      </w:r>
      <w:r>
        <w:tab/>
      </w:r>
      <w:r>
        <w:rPr>
          <w:noProof/>
        </w:rPr>
        <w:t xml:space="preserve">По изключение Комисията не бе в състояние да спази този краен срок. В съответствие с член 8, параграф 4 от Регламент (ЕС) № 1309/2013 обяснението за това е, че е имало изключителен недостиг на експерти за периода, през който Комисията е изготвяла своето предложение.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6.</w:t>
      </w:r>
      <w:r>
        <w:tab/>
      </w:r>
      <w:r>
        <w:rPr>
          <w:noProof/>
        </w:rPr>
        <w:t>Заявлението се отнася до 470 работници, съкратени във Volvo Trucks, и 177 работници, съкратени при 4 доставчици и производители надолу по веригата. Основното предприятие осъществява дейност в икономическия отрасъл от разделение 29 по NACE Revision 2 („Производство на автомобили, ремаркета и полуремаркета“). Съкращенията, направени от основното предприятие, са основно в региона на ниво 2 по NUTS SE33 (Upper Norrland).</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240"/>
        <w:gridCol w:w="240"/>
        <w:gridCol w:w="360"/>
        <w:gridCol w:w="2940"/>
        <w:gridCol w:w="600"/>
        <w:gridCol w:w="600"/>
      </w:tblGrid>
      <w:tr>
        <w:trPr>
          <w:trHeight w:val="284"/>
          <w:tblHeader/>
        </w:trPr>
        <w:tc>
          <w:tcPr>
            <w:tcW w:w="8340" w:type="dxa"/>
            <w:gridSpan w:val="7"/>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по време на референтния период</w:t>
            </w:r>
          </w:p>
        </w:tc>
      </w:tr>
      <w:tr>
        <w:tc>
          <w:tcPr>
            <w:tcW w:w="3600" w:type="dxa"/>
            <w:gridSpan w:val="2"/>
            <w:tcBorders>
              <w:bottom w:val="nil"/>
              <w:right w:val="nil"/>
            </w:tcBorders>
            <w:shd w:val="clear" w:color="auto" w:fill="auto"/>
            <w:vAlign w:val="center"/>
          </w:tcPr>
          <w:p>
            <w:pPr>
              <w:spacing w:before="0" w:after="0"/>
              <w:ind w:right="252"/>
              <w:jc w:val="left"/>
              <w:rPr>
                <w:noProof/>
                <w:sz w:val="20"/>
              </w:rPr>
            </w:pPr>
            <w:r>
              <w:rPr>
                <w:noProof/>
                <w:sz w:val="20"/>
              </w:rPr>
              <w:t>Volvo Group Truck Operation EMEA</w:t>
            </w:r>
          </w:p>
        </w:tc>
        <w:tc>
          <w:tcPr>
            <w:tcW w:w="60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470</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Caverion</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6</w:t>
            </w:r>
          </w:p>
        </w:tc>
      </w:tr>
      <w:tr>
        <w:trPr>
          <w:trHeight w:val="138"/>
        </w:trPr>
        <w:tc>
          <w:tcPr>
            <w:tcW w:w="3600" w:type="dxa"/>
            <w:gridSpan w:val="2"/>
            <w:tcBorders>
              <w:top w:val="nil"/>
              <w:bottom w:val="nil"/>
              <w:right w:val="nil"/>
            </w:tcBorders>
            <w:shd w:val="clear" w:color="auto" w:fill="auto"/>
            <w:vAlign w:val="center"/>
          </w:tcPr>
          <w:p>
            <w:pPr>
              <w:spacing w:before="0" w:after="0"/>
              <w:jc w:val="left"/>
              <w:rPr>
                <w:noProof/>
                <w:sz w:val="20"/>
              </w:rPr>
            </w:pPr>
            <w:r>
              <w:rPr>
                <w:noProof/>
                <w:sz w:val="20"/>
              </w:rPr>
              <w:t>IL Logistics AB</w:t>
            </w:r>
          </w:p>
        </w:tc>
        <w:tc>
          <w:tcPr>
            <w:tcW w:w="60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24</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Isringhausen</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57</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Lernia</w:t>
            </w:r>
          </w:p>
        </w:tc>
        <w:tc>
          <w:tcPr>
            <w:tcW w:w="840" w:type="dxa"/>
            <w:gridSpan w:val="3"/>
            <w:tcBorders>
              <w:top w:val="nil"/>
              <w:left w:val="nil"/>
              <w:bottom w:val="nil"/>
            </w:tcBorders>
            <w:shd w:val="clear" w:color="auto" w:fill="auto"/>
            <w:vAlign w:val="center"/>
          </w:tcPr>
          <w:p>
            <w:pPr>
              <w:spacing w:before="0" w:after="0"/>
              <w:ind w:left="-828"/>
              <w:jc w:val="right"/>
              <w:rPr>
                <w:noProof/>
                <w:sz w:val="20"/>
              </w:rPr>
            </w:pPr>
            <w:r>
              <w:rPr>
                <w:noProof/>
                <w:sz w:val="20"/>
              </w:rPr>
              <w:t>90</w:t>
            </w:r>
          </w:p>
        </w:tc>
        <w:tc>
          <w:tcPr>
            <w:tcW w:w="3540" w:type="dxa"/>
            <w:gridSpan w:val="2"/>
            <w:tcBorders>
              <w:top w:val="nil"/>
              <w:bottom w:val="nil"/>
              <w:right w:val="nil"/>
            </w:tcBorders>
            <w:shd w:val="clear" w:color="auto" w:fill="auto"/>
            <w:vAlign w:val="center"/>
          </w:tcPr>
          <w:p>
            <w:pPr>
              <w:spacing w:before="0" w:after="0"/>
              <w:jc w:val="left"/>
              <w:rPr>
                <w:noProof/>
                <w:sz w:val="20"/>
              </w:rPr>
            </w:pPr>
          </w:p>
        </w:tc>
        <w:tc>
          <w:tcPr>
            <w:tcW w:w="600" w:type="dxa"/>
            <w:tcBorders>
              <w:top w:val="nil"/>
              <w:left w:val="nil"/>
              <w:bottom w:val="nil"/>
            </w:tcBorders>
            <w:shd w:val="clear" w:color="auto" w:fill="auto"/>
            <w:vAlign w:val="center"/>
          </w:tcPr>
          <w:p>
            <w:pPr>
              <w:spacing w:before="0" w:after="0"/>
              <w:ind w:left="-828"/>
              <w:jc w:val="right"/>
              <w:rPr>
                <w:noProof/>
                <w:sz w:val="20"/>
              </w:rPr>
            </w:pPr>
          </w:p>
        </w:tc>
      </w:tr>
      <w:tr>
        <w:trPr>
          <w:trHeight w:val="60"/>
        </w:trPr>
        <w:tc>
          <w:tcPr>
            <w:tcW w:w="3360" w:type="dxa"/>
            <w:tcBorders>
              <w:top w:val="nil"/>
              <w:bottom w:val="single" w:sz="4" w:space="0" w:color="auto"/>
              <w:right w:val="nil"/>
            </w:tcBorders>
            <w:shd w:val="clear" w:color="auto" w:fill="auto"/>
            <w:vAlign w:val="center"/>
          </w:tcPr>
          <w:p>
            <w:pPr>
              <w:spacing w:before="0" w:after="0"/>
              <w:jc w:val="left"/>
              <w:rPr>
                <w:noProof/>
                <w:sz w:val="20"/>
              </w:rPr>
            </w:pPr>
          </w:p>
        </w:tc>
        <w:tc>
          <w:tcPr>
            <w:tcW w:w="840" w:type="dxa"/>
            <w:gridSpan w:val="3"/>
            <w:tcBorders>
              <w:top w:val="nil"/>
              <w:left w:val="nil"/>
              <w:bottom w:val="single" w:sz="4" w:space="0" w:color="auto"/>
            </w:tcBorders>
            <w:shd w:val="clear" w:color="auto" w:fill="auto"/>
            <w:vAlign w:val="center"/>
          </w:tcPr>
          <w:p>
            <w:pPr>
              <w:spacing w:before="0" w:after="0"/>
              <w:ind w:left="-828"/>
              <w:jc w:val="right"/>
              <w:rPr>
                <w:noProof/>
                <w:sz w:val="20"/>
              </w:rPr>
            </w:pP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0"/>
              </w:rPr>
            </w:pPr>
          </w:p>
        </w:tc>
        <w:tc>
          <w:tcPr>
            <w:tcW w:w="600" w:type="dxa"/>
            <w:tcBorders>
              <w:top w:val="nil"/>
              <w:left w:val="nil"/>
              <w:bottom w:val="single" w:sz="4" w:space="0" w:color="auto"/>
            </w:tcBorders>
            <w:shd w:val="clear" w:color="auto" w:fill="auto"/>
            <w:vAlign w:val="center"/>
          </w:tcPr>
          <w:p>
            <w:pPr>
              <w:spacing w:before="0" w:after="0"/>
              <w:ind w:left="-828"/>
              <w:jc w:val="right"/>
              <w:rPr>
                <w:noProof/>
                <w:sz w:val="20"/>
              </w:rPr>
            </w:pPr>
          </w:p>
        </w:tc>
      </w:tr>
      <w:tr>
        <w:trPr>
          <w:trHeight w:val="284"/>
        </w:trPr>
        <w:tc>
          <w:tcPr>
            <w:tcW w:w="3840" w:type="dxa"/>
            <w:gridSpan w:val="3"/>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Общо предприятия:</w:t>
            </w:r>
            <w:r>
              <w:rPr>
                <w:b/>
                <w:noProof/>
                <w:sz w:val="22"/>
              </w:rPr>
              <w:t xml:space="preserve"> </w:t>
            </w:r>
            <w:r>
              <w:rPr>
                <w:b/>
                <w:noProof/>
              </w:rPr>
              <w:t>5</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Общо съкратени лица:</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647</w:t>
            </w:r>
          </w:p>
        </w:tc>
      </w:tr>
      <w:tr>
        <w:trPr>
          <w:trHeight w:val="284"/>
        </w:trPr>
        <w:tc>
          <w:tcPr>
            <w:tcW w:w="7140" w:type="dxa"/>
            <w:gridSpan w:val="5"/>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Общо самостоятелно заети лица, чиято дейност е прекратена:</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5"/>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Общо отговарящи на критериите работници и самостоятелно заети лица: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647</w:t>
            </w:r>
          </w:p>
        </w:tc>
      </w:tr>
    </w:tbl>
    <w:p>
      <w:pPr>
        <w:pStyle w:val="ManualHeading3"/>
        <w:rPr>
          <w:noProof/>
        </w:rPr>
      </w:pPr>
      <w:r>
        <w:rPr>
          <w:noProof/>
        </w:rPr>
        <w:t>Критерии за намеса</w:t>
      </w:r>
    </w:p>
    <w:p>
      <w:pPr>
        <w:pStyle w:val="ManualNumPar1"/>
        <w:rPr>
          <w:noProof/>
        </w:rPr>
      </w:pPr>
      <w:r>
        <w:t>7.</w:t>
      </w:r>
      <w:r>
        <w:tab/>
      </w:r>
      <w:r>
        <w:rPr>
          <w:noProof/>
        </w:rPr>
        <w:t>Швеция подаде заявлението в съответствие с критериите за намеса, посочени в член 4, параграф 1, буква а), съгласно които е необходимо за референтен период от четири месеца в дадено предприятие в държава членка да са били съкратени най-малко 500 работници, включително при неговите доставчици и производители надолу по веригата и/или самостоятелно заети лица, които са прекратили своята дейност.</w:t>
      </w:r>
    </w:p>
    <w:p>
      <w:pPr>
        <w:pStyle w:val="ManualNumPar1"/>
        <w:rPr>
          <w:noProof/>
        </w:rPr>
      </w:pPr>
      <w:bookmarkStart w:id="1" w:name="_Ref372189348"/>
      <w:r>
        <w:t>8.</w:t>
      </w:r>
      <w:r>
        <w:tab/>
      </w:r>
      <w:r>
        <w:rPr>
          <w:noProof/>
        </w:rPr>
        <w:t xml:space="preserve">Четиримесечният референтен период за заявлението започва на 24 февруари 2015 г. и приключва на </w:t>
      </w:r>
      <w:bookmarkEnd w:id="1"/>
      <w:r>
        <w:rPr>
          <w:noProof/>
        </w:rPr>
        <w:t>24 юни 2015 г.</w:t>
      </w:r>
    </w:p>
    <w:p>
      <w:pPr>
        <w:pStyle w:val="ManualNumPar1"/>
        <w:rPr>
          <w:noProof/>
        </w:rPr>
      </w:pPr>
      <w:r>
        <w:t>9.</w:t>
      </w:r>
      <w:r>
        <w:tab/>
      </w:r>
      <w:r>
        <w:rPr>
          <w:noProof/>
        </w:rPr>
        <w:t>Съкращенията по време на референтния период са, както следва:</w:t>
      </w:r>
    </w:p>
    <w:p>
      <w:pPr>
        <w:pStyle w:val="Tiret1"/>
        <w:numPr>
          <w:ilvl w:val="0"/>
          <w:numId w:val="13"/>
        </w:numPr>
        <w:rPr>
          <w:noProof/>
        </w:rPr>
      </w:pPr>
      <w:r>
        <w:rPr>
          <w:noProof/>
        </w:rPr>
        <w:t>470 работници, съкратени във Volvo Trucks, и</w:t>
      </w:r>
    </w:p>
    <w:p>
      <w:pPr>
        <w:pStyle w:val="Tiret1"/>
        <w:numPr>
          <w:ilvl w:val="0"/>
          <w:numId w:val="13"/>
        </w:numPr>
        <w:rPr>
          <w:noProof/>
        </w:rPr>
      </w:pPr>
      <w:r>
        <w:rPr>
          <w:noProof/>
        </w:rPr>
        <w:t>177 работници, съкратени при 4 доставчици и производители надолу по веригата.</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10.</w:t>
      </w:r>
      <w:r>
        <w:tab/>
      </w:r>
      <w:r>
        <w:rPr>
          <w:noProof/>
        </w:rPr>
        <w:t>Съкращенията по време на референтния период са изчислени, както следва:</w:t>
      </w:r>
    </w:p>
    <w:p>
      <w:pPr>
        <w:pStyle w:val="Tiret1"/>
        <w:numPr>
          <w:ilvl w:val="0"/>
          <w:numId w:val="1"/>
        </w:numPr>
        <w:rPr>
          <w:noProof/>
        </w:rPr>
      </w:pPr>
      <w:r>
        <w:rPr>
          <w:noProof/>
        </w:rPr>
        <w:t>647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11.</w:t>
      </w:r>
      <w:r>
        <w:tab/>
      </w:r>
      <w:r>
        <w:rPr>
          <w:noProof/>
        </w:rPr>
        <w:t>Общият брой на отговарящите на критериите бенефициери е 647.</w:t>
      </w:r>
    </w:p>
    <w:p>
      <w:pPr>
        <w:pStyle w:val="ManualHeading3"/>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12.</w:t>
      </w:r>
      <w:r>
        <w:tab/>
      </w:r>
      <w:r>
        <w:rPr>
          <w:noProof/>
        </w:rPr>
        <w:t xml:space="preserve">С цел да се установи връзката между съкращенията и големите структурни промени в моделите на световната търговия, произтичащи от глобализацията, Швеция заяви, че производството на търговски превозни средства представлява относително малък сектор в рамките на добре развитата автомобилна промишленост и в него вече не доминират европейски и северноамерикански производители. Докато производителите, установени на пазарите на „тройката“ (Северна Америка с изключение на Мексико, Европа и Япония), са безспорни лидери в областта на технологиите, нововъзникващите азиатски производители на тежкотоварни превозни средства в Китай и Индия са получили достъп до нови технологии от съвместни предприятия с установени пазарни лидери в западния свят. </w:t>
      </w:r>
    </w:p>
    <w:p>
      <w:pPr>
        <w:pStyle w:val="ManualNumPar1"/>
        <w:rPr>
          <w:noProof/>
        </w:rPr>
      </w:pPr>
      <w:r>
        <w:t>13.</w:t>
      </w:r>
      <w:r>
        <w:tab/>
      </w:r>
      <w:r>
        <w:rPr>
          <w:noProof/>
        </w:rPr>
        <w:t>Понастоящем Китай е световен лидер в производството на търговски превозни средства с дял от 34,1 %. През 2014 г. САЩ остана вторият по големина производител на търговски превозни средства (2,8 милиона единици), с 15 % световен дял. ЕС се нарежда на трето място с почти 2,2 милиона произведени единици и с 12,1 % световен дял. САЩ, ЕС и Китай заедно представляват над 60 % от общото световно производство на търговски превозни средства. През 2014 г. световното производство на търговски превозни средства е останало стабилно (- 1 %) с над 18 милиона регистрирани единици и ръст на пазарите на „тройката“. Производството на търговските превозни средства в ЕС се разрасна благодарение на сектора на леките търговски превозни средства, който със своите 1,8 милиона единици представлява почти 82 % от общия обем на производството на търговски превозни средства. Секторът на тежкотоварните превозни средства в рамките на пазара на търговски превозни средства обаче е отбелязал отрицателна тенденция в сравнение с 2013 г.</w:t>
      </w:r>
      <w:r>
        <w:rPr>
          <w:rStyle w:val="FootnoteReference"/>
          <w:noProof/>
        </w:rPr>
        <w:footnoteReference w:id="6"/>
      </w:r>
    </w:p>
    <w:p>
      <w:pPr>
        <w:pStyle w:val="ManualNumPar1"/>
        <w:rPr>
          <w:noProof/>
        </w:rPr>
      </w:pPr>
      <w:r>
        <w:t>14.</w:t>
      </w:r>
      <w:r>
        <w:tab/>
      </w:r>
      <w:r>
        <w:rPr>
          <w:noProof/>
        </w:rPr>
        <w:t>Сериозна промяна в търговията в ЕС през 2014 г. е била отбелязана със спада в износа на производителите от ЕС, както и с увеличаването на вноса на превозни средства. През 2014 г. износът на ЕС на търговски превозни средства е отбелязал загуби в размер на 3,9 милиарда евро за леките търговски превозни средства (- 12,5 %) и на 6,3 милиарда евро за тежкотоварните превозни средства, градските и междуградските автобуси (- 10 %)</w:t>
      </w:r>
      <w:r>
        <w:rPr>
          <w:rStyle w:val="FootnoteReference"/>
          <w:noProof/>
        </w:rPr>
        <w:footnoteReference w:id="7"/>
      </w:r>
      <w:r>
        <w:rPr>
          <w:noProof/>
        </w:rPr>
        <w:t>. Това е довело до общ спад в износа на ЕС (- 11 %). Общият внос на търговски превозни средства в Европейския съюз се е увеличил (+ 10,7 %)</w:t>
      </w:r>
      <w:r>
        <w:rPr>
          <w:b/>
          <w:noProof/>
          <w:vertAlign w:val="superscript"/>
        </w:rPr>
        <w:t>7</w:t>
      </w:r>
      <w:r>
        <w:rPr>
          <w:noProof/>
        </w:rPr>
        <w:t>. Повече от половината от вноса на ЕС на търговски превозни средства е от Турция (+ 2,4 %), като Китай се нарежда на второ място (+ 2,4 %). Наблюдавано бе значително увеличение на вноса от САЩ (+ 9,3 %) и дори в още по-голяма степен — от Тайланд (+ 51,7 %)</w:t>
      </w:r>
      <w:r>
        <w:rPr>
          <w:noProof/>
          <w:vertAlign w:val="superscript"/>
        </w:rPr>
        <w:t>7</w:t>
      </w:r>
      <w:r>
        <w:rPr>
          <w:noProof/>
        </w:rPr>
        <w:t>. С оглед на тенденцията, очертана от изложените по-горе цифри, търговският баланс на ЕС за търговски превозни средства, макар и положителен, е 25 % по-нисък от предходната година.</w:t>
      </w:r>
    </w:p>
    <w:p>
      <w:pPr>
        <w:pStyle w:val="ManualNumPar1"/>
        <w:rPr>
          <w:noProof/>
        </w:rPr>
      </w:pPr>
      <w:r>
        <w:t>15.</w:t>
      </w:r>
      <w:r>
        <w:tab/>
      </w:r>
      <w:r>
        <w:rPr>
          <w:noProof/>
        </w:rPr>
        <w:t>Редица производители от Азия се превърнаха в основни действащи лица и въпреки че осигуряват основно доставки за вътрешните си пазари, те разработват и технологии, които ще им позволят да се конкурират на световната сцена. За да бъдат в състояние да се конкурират в сектора на тежкотоварните превозни средства, европейските производители ще трябва да подобрят ефикасността на производствените съоръжения в развитите пазари. Стратегията на Volvo</w:t>
      </w:r>
      <w:r>
        <w:rPr>
          <w:rStyle w:val="FootnoteReference"/>
          <w:noProof/>
        </w:rPr>
        <w:footnoteReference w:id="8"/>
      </w:r>
      <w:r>
        <w:rPr>
          <w:noProof/>
        </w:rPr>
        <w:t xml:space="preserve"> има ясна цел да отговори на тези тенденции: Volvo предприе мерки за оптимизиране и намаляване на разходите, като същевременно инвестира изключително активно в Азия, както се вижда от сключеното през 2013 г. споразумение с китайския производител Dongfeng Motor Group Company Limited (DFG), довело до придобиването на 45 % от дъщерното предприятие на DFG, Dongfeng Commercial Vehicles</w:t>
      </w:r>
      <w:r>
        <w:rPr>
          <w:noProof/>
          <w:vertAlign w:val="superscript"/>
        </w:rPr>
        <w:t>8</w:t>
      </w:r>
      <w:r>
        <w:rPr>
          <w:noProof/>
        </w:rPr>
        <w:t>.</w:t>
      </w:r>
    </w:p>
    <w:p>
      <w:pPr>
        <w:pStyle w:val="ManualNumPar1"/>
        <w:rPr>
          <w:noProof/>
        </w:rPr>
      </w:pPr>
      <w:r>
        <w:t>16.</w:t>
      </w:r>
      <w:r>
        <w:tab/>
      </w:r>
      <w:r>
        <w:rPr>
          <w:noProof/>
        </w:rPr>
        <w:t>Както се вижда от представените по-горе най-нови данни, производителите на търговски превозни средства и доставчиците на производителите на оригинално оборудване (ПОО), установени извън ЕС, добиват все по-високотехнологично ниво на развитие и са в състояние на насочат своя износ към европейския пазар.</w:t>
      </w:r>
    </w:p>
    <w:p>
      <w:pPr>
        <w:pStyle w:val="ManualNumPar1"/>
        <w:rPr>
          <w:noProof/>
        </w:rPr>
      </w:pPr>
      <w:r>
        <w:t>17.</w:t>
      </w:r>
      <w:r>
        <w:tab/>
      </w:r>
      <w:r>
        <w:rPr>
          <w:noProof/>
        </w:rPr>
        <w:t>Според консултантското дружество Deloitte</w:t>
      </w:r>
      <w:r>
        <w:rPr>
          <w:rStyle w:val="FootnoteReference"/>
          <w:noProof/>
        </w:rPr>
        <w:footnoteReference w:id="9"/>
      </w:r>
      <w:r>
        <w:rPr>
          <w:noProof/>
        </w:rPr>
        <w:t xml:space="preserve"> нискотарифният сектор на пазара на тежкотоварни превозни средства постепенно увеличава своя капацитет и навлиза на сектора на превозни средства от висок клас, в много случаи чрез съвместни предприятия с производители и/или ключови доставчици на пазари на „тройката“. Необходими са структурни промени, за да се запази рентабилността на европейския пазар на тежкотоварни превозни средства.</w:t>
      </w:r>
    </w:p>
    <w:p>
      <w:pPr>
        <w:pStyle w:val="ManualNumPar1"/>
        <w:rPr>
          <w:noProof/>
        </w:rPr>
      </w:pPr>
      <w:r>
        <w:t>18.</w:t>
      </w:r>
      <w:r>
        <w:tab/>
      </w:r>
      <w:r>
        <w:rPr>
          <w:noProof/>
        </w:rPr>
        <w:t>През изминалите няколко години станахме свидетели на консолидирането на промишлеността и на приспособяването на производствения ѝ капацитет в световен мащаб към намаленото международно търсене. Придобиването на Scania от MAN и Volkswagen Commercial Vehicles е един от последните примери за усилията за създаване на водеща група в сектора на търговските превозни средства. Както посочва IBM Institute for Business Values</w:t>
      </w:r>
      <w:r>
        <w:rPr>
          <w:rStyle w:val="FootnoteReference"/>
          <w:noProof/>
        </w:rPr>
        <w:footnoteReference w:id="10"/>
      </w:r>
      <w:r>
        <w:rPr>
          <w:noProof/>
        </w:rPr>
        <w:t>: „в наши дни структурните промени са неизменна реалност за промишлеността на тежкотоварни превозни средства, изправена пред основни промени в бизнес моделите“.</w:t>
      </w:r>
    </w:p>
    <w:p>
      <w:pPr>
        <w:pStyle w:val="ManualNumPar1"/>
        <w:rPr>
          <w:noProof/>
        </w:rPr>
      </w:pPr>
      <w:r>
        <w:t>19.</w:t>
      </w:r>
      <w:r>
        <w:tab/>
      </w:r>
      <w:r>
        <w:rPr>
          <w:noProof/>
        </w:rPr>
        <w:t>Обект на съществено регламентиране и изложена на силно циклични пазари, промишлеността на тежкотоварни превозни средства срещна трудности да възприеме дълбоките промени и необходимостта от адаптация. Следователно глобализацията е сред основните външни фактори, които оказват отражение върху промишлеността на тежкотоварни превозни средства в наши дни. Според доклада на ACEA</w:t>
      </w:r>
      <w:r>
        <w:rPr>
          <w:noProof/>
          <w:vertAlign w:val="superscript"/>
        </w:rPr>
        <w:t>6</w:t>
      </w:r>
      <w:r>
        <w:rPr>
          <w:noProof/>
        </w:rPr>
        <w:t xml:space="preserve"> през последните десетилетия промишлеността на тежкотоварни превозни средства е придобила още по-глобални измерения, тъй като различни настъпили в нея промени са свързани и повлияни от глобализацията. Тези промени ще подобрят нейната конкурентоспособност, тъй като се очаква ПОО от нововъзникващите пазари да навлязат на западните пазари до 2030 г., което ще доведе до по-голям ценови натиск. Западните ПОО ще компенсират стагнацията на пазарите си чрез задълбочаване на сътрудничеството, което ще доведе до намаляване на инвестиционните разходи, до отбелязване на растеж и до отстраняване на рисковете от появата на нови конкуренти.</w:t>
      </w:r>
    </w:p>
    <w:p>
      <w:pPr>
        <w:pStyle w:val="ManualNumPar1"/>
        <w:rPr>
          <w:noProof/>
        </w:rPr>
      </w:pPr>
      <w:r>
        <w:t>20.</w:t>
      </w:r>
      <w:r>
        <w:tab/>
      </w:r>
      <w:r>
        <w:rPr>
          <w:noProof/>
        </w:rPr>
        <w:t>В доклад на PricewaterhouseCoopers (PwC)</w:t>
      </w:r>
      <w:r>
        <w:rPr>
          <w:rStyle w:val="FootnoteReference"/>
          <w:noProof/>
        </w:rPr>
        <w:footnoteReference w:id="11"/>
      </w:r>
      <w:r>
        <w:rPr>
          <w:noProof/>
        </w:rPr>
        <w:t xml:space="preserve"> се посочва, че разработването на тежкотоварни превозни средства от ниския ценови сегмент ще наложи промяна в експлоатационните модели. Тази промяна може да доведе до изнасяне на производството към разрастващите се нововъзникващи пазари. През последните десетилетия световната конкуренция доведе до все повече случаи на консолидация, сътрудничество или партньорство. Очаква се тази тенденция да продължи, особено между западните ПОО и ПОО на нововъзникващите пазари. По този начин секторът следва сектора на пътническите автомобили, който премина през подобна трансформация в края на 90-те години. Очаква се до 2030 г. производителите на нововъзникващите пазари да навлязат на западните пазари и да причинят още по-голям ценови натиск.</w:t>
      </w:r>
    </w:p>
    <w:p>
      <w:pPr>
        <w:pStyle w:val="ManualNumPar1"/>
        <w:rPr>
          <w:noProof/>
        </w:rPr>
      </w:pPr>
      <w:r>
        <w:t>21.</w:t>
      </w:r>
      <w:r>
        <w:tab/>
      </w:r>
      <w:r>
        <w:rPr>
          <w:noProof/>
        </w:rPr>
        <w:t>През идните години някои основни тенденции ще окажат въздействие върху глобалната конкуренция в рамките на промишлеността на тежкотоварни превозни средства и ще я задълбочат: демографските промени и повишената урбанизация, регулаторните въпроси, като например пътните и други такси, пречките пред търговията, наложени от националното законодателство, изискванията за опазване на околната среда, горивната ефективност, безопасността и сигурността и др. Всички тези елементи ще доведат до повишаване на разходите, предимно за разработка и научноизследователска и развойна дейност, и ще увеличат конкуренцията. Производители от ЕС трябва да се подготвят за тези промени.</w:t>
      </w:r>
    </w:p>
    <w:p>
      <w:pPr>
        <w:pStyle w:val="ManualNumPar1"/>
        <w:rPr>
          <w:noProof/>
        </w:rPr>
      </w:pPr>
      <w:r>
        <w:t>22.</w:t>
      </w:r>
      <w:r>
        <w:tab/>
      </w:r>
      <w:r>
        <w:rPr>
          <w:noProof/>
        </w:rPr>
        <w:t>Глобализацията вече оказва отражение върху моделите на заетост и възнагражденията посредством преместване на части от международните вериги за доставки и производството на производителите от пазарите на „тройката“. Последните проучвания, проведени от KPMG</w:t>
      </w:r>
      <w:r>
        <w:rPr>
          <w:rStyle w:val="FootnoteReference"/>
          <w:noProof/>
        </w:rPr>
        <w:footnoteReference w:id="12"/>
      </w:r>
      <w:r>
        <w:rPr>
          <w:noProof/>
        </w:rPr>
        <w:t>, PWC</w:t>
      </w:r>
      <w:r>
        <w:rPr>
          <w:noProof/>
          <w:vertAlign w:val="superscript"/>
        </w:rPr>
        <w:t>11</w:t>
      </w:r>
      <w:r>
        <w:rPr>
          <w:noProof/>
        </w:rPr>
        <w:t xml:space="preserve"> и Tillväxtverket</w:t>
      </w:r>
      <w:r>
        <w:rPr>
          <w:rStyle w:val="FootnoteReference"/>
          <w:noProof/>
        </w:rPr>
        <w:footnoteReference w:id="13"/>
      </w:r>
      <w:r>
        <w:rPr>
          <w:noProof/>
        </w:rPr>
        <w:t xml:space="preserve">, подчертават, че в условията на глобална конкуренция поддържането на високи производствени разходи вече няма да бъде възможно. </w:t>
      </w:r>
    </w:p>
    <w:p>
      <w:pPr>
        <w:pStyle w:val="ManualNumPar1"/>
        <w:rPr>
          <w:noProof/>
        </w:rPr>
      </w:pPr>
      <w:r>
        <w:t>23.</w:t>
      </w:r>
      <w:r>
        <w:tab/>
      </w:r>
      <w:r>
        <w:rPr>
          <w:noProof/>
        </w:rPr>
        <w:t>Шведските органи твърдят, че отделът на Volvo в Умео  e извършил частично преместване вследствие на нуждата от увеличаване на ефективността и намаляване на разходите с цел справяне със съществуващата и бъдещата глобална конкуренция</w:t>
      </w:r>
      <w:r>
        <w:rPr>
          <w:noProof/>
          <w:vertAlign w:val="superscript"/>
        </w:rPr>
        <w:t>8</w:t>
      </w:r>
      <w:r>
        <w:rPr>
          <w:noProof/>
        </w:rPr>
        <w:t>.</w:t>
      </w:r>
    </w:p>
    <w:p>
      <w:pPr>
        <w:pStyle w:val="ManualNumPar1"/>
        <w:rPr>
          <w:noProof/>
        </w:rPr>
      </w:pPr>
      <w:r>
        <w:t>24.</w:t>
      </w:r>
      <w:r>
        <w:tab/>
      </w:r>
      <w:r>
        <w:rPr>
          <w:noProof/>
        </w:rPr>
        <w:t>Към днешна дата за сектора на производството на автомобили, ремаркета и полуремаркета са подадени 22 заявления за подкрепа от ЕФПГ, включително и настоящото, 12 от които се основават на свързана с търговията глобализация, а 10 — на световната финансова и икономическа криза.</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25.</w:t>
      </w:r>
      <w:r>
        <w:tab/>
      </w:r>
      <w:r>
        <w:rPr>
          <w:noProof/>
        </w:rPr>
        <w:t>Volvo Group е един от водещите производители на тежкотоварни превозни средства, автобуси, строителна техника, корабни и промишлени двигатели в света. Групата също така предоставя цялостни решения за финансиране и експлоатация. Седалището на групата е в Гьотеборг и в нея работят около 100 000 души. Тя разполага с производствени съоръжения в 19 държави и продава своите продукти на повече от 190 пазара.</w:t>
      </w:r>
    </w:p>
    <w:p>
      <w:pPr>
        <w:pStyle w:val="ManualNumPar1"/>
        <w:rPr>
          <w:noProof/>
        </w:rPr>
      </w:pPr>
      <w:r>
        <w:t>26.</w:t>
      </w:r>
      <w:r>
        <w:tab/>
      </w:r>
      <w:r>
        <w:rPr>
          <w:noProof/>
        </w:rPr>
        <w:t>От 1999 г. насам Volvo Car Corporation вече не е част от Volvo Group, но Volvo Group и Volvo Cars още споделят една и съща търговска марка. През 1999 г. бе създадено ново дружество, Volvo Trademark Holding AB, което се занимава със свързаните с търговската марка въпроси на двете дружества. Volvo Cars и Volvo Group остават отделни субекти, но си сътрудничат в областта на научноизследователската и развойна дейност и свързаните с търговската марка инвестиции, като например Volvo Ocean Race.</w:t>
      </w:r>
    </w:p>
    <w:p>
      <w:pPr>
        <w:pStyle w:val="ManualNumPar1"/>
        <w:rPr>
          <w:noProof/>
        </w:rPr>
      </w:pPr>
      <w:r>
        <w:t>27.</w:t>
      </w:r>
      <w:r>
        <w:tab/>
      </w:r>
      <w:r>
        <w:rPr>
          <w:noProof/>
        </w:rPr>
        <w:t>Volvo Group Truck Operations (GTO) отговаря за цялото производство на двигателите и предавателните механизми на групата, както и за цялото производство на тежкотоварните превозни средства на Volvo, Renault, Mack и UD. GTO се занимава и с доставката на резервни части за клиентите на групата, както и с логистиката. През изминалото десетилетие развитието на Volvo Group, ориентирано към придобивания, в това число на Renault Trucks, Mack, UD Trucks и SDLG, осигури на дружеството достъп до нови търговски марки и нови пазари. Придобиването на 45 % от китайското дружество Dongfeng Commercial Vehicles, което приключи през януари 2015 г., представлява един етап от стратегията.</w:t>
      </w:r>
    </w:p>
    <w:p>
      <w:pPr>
        <w:pStyle w:val="ManualNumPar1"/>
        <w:rPr>
          <w:noProof/>
        </w:rPr>
      </w:pPr>
      <w:r>
        <w:t>28.</w:t>
      </w:r>
      <w:r>
        <w:tab/>
      </w:r>
      <w:r>
        <w:rPr>
          <w:noProof/>
        </w:rPr>
        <w:t>Сега GTO трябва да повиши ефективността на производствената верига, което оказва своето отражение върху операциите в завода в Умео. Volvo Group намали своя персонал в световен мащаб с около 10 % — от 110 000 на около 100 000. В Швеция броят на работниците бе намален от 25 000 на 21 000 през последните четири години, в това число тазгодишните съкращения на работни места в завода в Умео.</w:t>
      </w:r>
    </w:p>
    <w:p>
      <w:pPr>
        <w:pStyle w:val="ManualNumPar1"/>
        <w:rPr>
          <w:noProof/>
        </w:rPr>
      </w:pPr>
      <w:r>
        <w:t>29.</w:t>
      </w:r>
      <w:r>
        <w:tab/>
      </w:r>
      <w:r>
        <w:rPr>
          <w:noProof/>
        </w:rPr>
        <w:t>Заводът в Умео е част от GTO, в която работят около 33 000 служители по света. Съкращенията в Умео засегнаха и работници във Volvo Logistics and Parts, които са част от GTO.</w:t>
      </w:r>
    </w:p>
    <w:p>
      <w:pPr>
        <w:pStyle w:val="ManualNumPar1"/>
        <w:rPr>
          <w:noProof/>
        </w:rPr>
      </w:pPr>
      <w:r>
        <w:t>30.</w:t>
      </w:r>
      <w:r>
        <w:tab/>
      </w:r>
      <w:r>
        <w:rPr>
          <w:noProof/>
        </w:rPr>
        <w:t>Заводът в Умео, като част от глобалната индустриална система на Volvo Group, произвежда кабини за тежкотоварни превозни средства с марката Volvo за Европа, някои кабини за отвъдморските монтажни заводи и всички щамповани части за кабини с марката Volvo за други континенти (Бразилия, Азия). Тапицирането на кабините обаче става в завода в Туве, близо до Гьотеборг.</w:t>
      </w:r>
    </w:p>
    <w:p>
      <w:pPr>
        <w:pStyle w:val="ManualNumPar1"/>
        <w:rPr>
          <w:noProof/>
        </w:rPr>
      </w:pPr>
      <w:r>
        <w:t>31.</w:t>
      </w:r>
      <w:r>
        <w:tab/>
      </w:r>
      <w:r>
        <w:rPr>
          <w:noProof/>
        </w:rPr>
        <w:t>Европейската програма за оптимизиране на Volvo Group бе лансирана през 2015 г. В рамките на тази програма департаментът на завода в Умео, специализиран в щамповането, заваряването, боядисването и тапицирането на кабините на тежкотоварните превозни средства, е преместен в завода в Туве, за да бъде в близост до монтажния завод, в който се извършва окончателното сглобяване.</w:t>
      </w:r>
    </w:p>
    <w:p>
      <w:pPr>
        <w:pStyle w:val="ManualNumPar1"/>
        <w:rPr>
          <w:noProof/>
        </w:rPr>
      </w:pPr>
      <w:r>
        <w:t>32.</w:t>
      </w:r>
      <w:r>
        <w:tab/>
      </w:r>
      <w:r>
        <w:rPr>
          <w:noProof/>
        </w:rPr>
        <w:t>Volvo обяви съкращения и в Гьотеборг и в Ескилстюна. Въпреки че по-голямата част от бенефициерите от целевата група обхващат съкращенията в Умео, съкратените работници в Гьотеборг и Ескилстюна също са включени. Програмата за подобряване на ефективността на Volvo засегна и подизпълнители, по-специално в Умео.</w:t>
      </w:r>
    </w:p>
    <w:p>
      <w:pPr>
        <w:pStyle w:val="ManualNumPar1"/>
        <w:rPr>
          <w:noProof/>
        </w:rPr>
      </w:pPr>
      <w:r>
        <w:t>33.</w:t>
      </w:r>
      <w:r>
        <w:tab/>
      </w:r>
      <w:r>
        <w:rPr>
          <w:noProof/>
        </w:rPr>
        <w:t xml:space="preserve">Обсъжданията относно получаването на потенциална подкрепа от страна на ЕФПГ започнаха в Умео през март 2014 г. Към тази дата всеки работник е бил лично информиран за планираните съкращения от отговорния ръководител и от представителя на синдикатите. На първото си заседание, проведено на 18 март 2014 г., заинтересованите страни и социалните партньори в региона бяха единодушни, че съкращенията във Volvo биха оказали значително отрицателно въздействие в региона и биха засегнали и други дружества и че е налице необходимост от предприемане на мерки. </w:t>
      </w:r>
    </w:p>
    <w:p>
      <w:pPr>
        <w:pStyle w:val="ManualNumPar1"/>
        <w:rPr>
          <w:noProof/>
        </w:rPr>
      </w:pPr>
      <w:r>
        <w:t>34.</w:t>
      </w:r>
      <w:r>
        <w:tab/>
      </w:r>
      <w:r>
        <w:rPr>
          <w:noProof/>
        </w:rPr>
        <w:t>Първите уведомления са били дадени в GTO в Гьотеборг на 14 април 2014 г., като повечето работници са получили своите уведомления на 19 май. На 16 юни 2014 г. работниците в Ескилстюна са били уведомени за съкращенията си.</w:t>
      </w:r>
    </w:p>
    <w:p>
      <w:pPr>
        <w:pStyle w:val="ManualHeading3"/>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ManualNumPar1"/>
        <w:rPr>
          <w:noProof/>
        </w:rPr>
      </w:pPr>
      <w:r>
        <w:t>35.</w:t>
      </w:r>
      <w:r>
        <w:tab/>
      </w:r>
      <w:r>
        <w:rPr>
          <w:noProof/>
        </w:rPr>
        <w:t>В началото на 2014 г. населението на област Västerbotten (с областен център Умео) е било около 262 360 души, т.е. около 2,7 % от населението на страната (намаляващ дял). Като цяло пазарите на труда в арктиктическите райони, както тези в други слабонаселени райони, са по-уязвими, тъй като географската изолация и суровият климат правят създаването и поддържането на работни места по-скъпо, отколкото в други региони.</w:t>
      </w:r>
    </w:p>
    <w:p>
      <w:pPr>
        <w:pStyle w:val="ManualNumPar1"/>
        <w:rPr>
          <w:noProof/>
        </w:rPr>
      </w:pPr>
      <w:r>
        <w:t>36.</w:t>
      </w:r>
      <w:r>
        <w:tab/>
      </w:r>
      <w:r>
        <w:rPr>
          <w:noProof/>
        </w:rPr>
        <w:t>В края на ноември 2014 г. общият брой на безработните лица в областта е бил 9400 души (7,2 % от регистрираната работна сила), което е с около 1000 души по-малко в сравнение със същия период през 2013 г. Процентът на безработицата на национално равнище в същото време е възлизал на 7,9 %.</w:t>
      </w:r>
    </w:p>
    <w:p>
      <w:pPr>
        <w:pStyle w:val="ManualNumPar1"/>
        <w:rPr>
          <w:noProof/>
        </w:rPr>
      </w:pPr>
      <w:r>
        <w:t>37.</w:t>
      </w:r>
      <w:r>
        <w:tab/>
      </w:r>
      <w:r>
        <w:rPr>
          <w:noProof/>
        </w:rPr>
        <w:t>В неотдавнашен доклад на област Västerbotten, озаглавен „2025: търсят се 40 000 нови служители във Västerbotten“ се прави преглед на предизвикателствата: намаляване на работната сила в съчетание с ниските нива на инвестиции в МСП. Според доклада всяка година от пазара на труда се оттеглят около 3000 души. Свободните работни места в района са концентрирани в здравния сектор и в области с висококвалифицирана работна ръка. Търсят се инженери, оперативни ръководители, отговорници по организацията и технически специалисти. Търсенето на квалифицирана работна ръка се увеличава и съществува подчертан недостиг в много професионални групи, предимно тези, които се нуждаят от високоспециализирана подготовка и високо ниво на експертни знания.</w:t>
      </w:r>
    </w:p>
    <w:p>
      <w:pPr>
        <w:pStyle w:val="ManualNumPar1"/>
        <w:rPr>
          <w:noProof/>
        </w:rPr>
      </w:pPr>
      <w:r>
        <w:t>38.</w:t>
      </w:r>
      <w:r>
        <w:tab/>
      </w:r>
      <w:r>
        <w:rPr>
          <w:noProof/>
        </w:rPr>
        <w:t>Последиците от загубата на работни места във Volvo ще окажат своето отражение върху сектора и региона. Съкращенията на 647 работници представлява предизвикателство, особено за по-възрастните работници в целевата група. Вероятно е съкратените работници да срещнат трудности при търсенето на работа, тъй като не разполагат с уменията, които се търсят на регионалния пазар на труда. По-голямата част от работниците в целевата група имат само средно образование, докато работните места, които се очаква да бъдат открити, ще бъдат за висококвалифициран персонал и инженери с подходящо висше образование. Поради това в рамките на проекта ще е необходимо тясно сътрудничество с организациите в областта на образованието и заетостта. С негова помощ може да насърчи създаването на нови предприятия и подобряването на уменията и компетенциите на търсещите работа лица, които отговарят на потребностите на бъдещите работодатели. Тъй като площта на региона е много голяма, може да се наложи бенефициерите да пътуват много.</w:t>
      </w:r>
    </w:p>
    <w:p>
      <w:pPr>
        <w:pStyle w:val="Text1"/>
        <w:rPr>
          <w:noProof/>
        </w:rPr>
      </w:pPr>
      <w:r>
        <w:rPr>
          <w:noProof/>
        </w:rPr>
        <w:t>По-малък брой бенефициери от целевата група се намират в Sörmland (Източна Швеция) и Västergötland (Западна Швеция). Пазарът на труда в тези области е по-динамичен в сравнение с този във Västerbotten, но дори и в Гьотеборг може да се наложи търсещите работа лица да получат допълнително образование или да придобият компетенции в други сектори. В случая на Ескилстюна работниците може да се наложи да разширят географския обхват на търсене на работа дори и до Стокхолм.</w:t>
      </w:r>
    </w:p>
    <w:p>
      <w:pPr>
        <w:pStyle w:val="Text1"/>
        <w:rPr>
          <w:noProof/>
        </w:rPr>
      </w:pP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39.</w:t>
      </w:r>
      <w:r>
        <w:tab/>
      </w:r>
      <w:r>
        <w:rPr>
          <w:noProof/>
        </w:rPr>
        <w:t>Прогнозният брой на съкратените работници, които се очаква да вземат участие в мерките, е 500. Разпределението им по пол, гражданство и възрастова група е следното:</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w:t>
            </w:r>
            <w:r>
              <w:rPr>
                <w:noProof/>
              </w:rPr>
              <w:br/>
              <w:t>бенефициери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387</w:t>
            </w:r>
          </w:p>
        </w:tc>
        <w:tc>
          <w:tcPr>
            <w:tcW w:w="1176" w:type="dxa"/>
            <w:tcBorders>
              <w:top w:val="single" w:sz="4" w:space="0" w:color="auto"/>
              <w:left w:val="nil"/>
              <w:right w:val="nil"/>
            </w:tcBorders>
            <w:hideMark/>
          </w:tcPr>
          <w:p>
            <w:pPr>
              <w:spacing w:before="60" w:after="60"/>
              <w:jc w:val="right"/>
              <w:rPr>
                <w:noProof/>
              </w:rPr>
            </w:pPr>
            <w:r>
              <w:rPr>
                <w:noProof/>
              </w:rPr>
              <w:t>(77,4 %)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113</w:t>
            </w:r>
          </w:p>
        </w:tc>
        <w:tc>
          <w:tcPr>
            <w:tcW w:w="1176" w:type="dxa"/>
            <w:tcBorders>
              <w:bottom w:val="single" w:sz="4" w:space="0" w:color="auto"/>
            </w:tcBorders>
            <w:hideMark/>
          </w:tcPr>
          <w:p>
            <w:pPr>
              <w:spacing w:before="60" w:after="60"/>
              <w:jc w:val="right"/>
              <w:rPr>
                <w:noProof/>
              </w:rPr>
            </w:pPr>
            <w:r>
              <w:rPr>
                <w:noProof/>
              </w:rPr>
              <w:t>(22,6 %)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500</w:t>
            </w:r>
          </w:p>
        </w:tc>
        <w:tc>
          <w:tcPr>
            <w:tcW w:w="1176" w:type="dxa"/>
            <w:tcBorders>
              <w:top w:val="single" w:sz="4" w:space="0" w:color="auto"/>
            </w:tcBorders>
            <w:hideMark/>
          </w:tcPr>
          <w:p>
            <w:pPr>
              <w:spacing w:before="60" w:after="60"/>
              <w:jc w:val="right"/>
              <w:rPr>
                <w:noProof/>
              </w:rPr>
            </w:pPr>
            <w:r>
              <w:rPr>
                <w:noProof/>
              </w:rPr>
              <w:t>(100,0 %)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noProof/>
              </w:rPr>
              <w:t>(0,0 %)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 — 24 години:</w:t>
            </w:r>
          </w:p>
        </w:tc>
        <w:tc>
          <w:tcPr>
            <w:tcW w:w="1176" w:type="dxa"/>
            <w:tcBorders>
              <w:top w:val="single" w:sz="4" w:space="0" w:color="auto"/>
            </w:tcBorders>
            <w:hideMark/>
          </w:tcPr>
          <w:p>
            <w:pPr>
              <w:spacing w:before="60" w:after="60"/>
              <w:jc w:val="right"/>
              <w:rPr>
                <w:noProof/>
              </w:rPr>
            </w:pPr>
            <w:r>
              <w:rPr>
                <w:noProof/>
              </w:rPr>
              <w:t>55</w:t>
            </w:r>
          </w:p>
        </w:tc>
        <w:tc>
          <w:tcPr>
            <w:tcW w:w="1176" w:type="dxa"/>
            <w:tcBorders>
              <w:top w:val="single" w:sz="4" w:space="0" w:color="auto"/>
            </w:tcBorders>
            <w:hideMark/>
          </w:tcPr>
          <w:p>
            <w:pPr>
              <w:spacing w:before="60" w:after="60"/>
              <w:jc w:val="right"/>
              <w:rPr>
                <w:noProof/>
              </w:rPr>
            </w:pPr>
            <w:r>
              <w:rPr>
                <w:noProof/>
              </w:rPr>
              <w:t>(11,0 %)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 — 29 години:</w:t>
            </w:r>
          </w:p>
        </w:tc>
        <w:tc>
          <w:tcPr>
            <w:tcW w:w="1176" w:type="dxa"/>
            <w:hideMark/>
          </w:tcPr>
          <w:p>
            <w:pPr>
              <w:spacing w:before="60" w:after="60"/>
              <w:jc w:val="right"/>
              <w:rPr>
                <w:noProof/>
              </w:rPr>
            </w:pPr>
            <w:r>
              <w:rPr>
                <w:noProof/>
              </w:rPr>
              <w:t>75</w:t>
            </w:r>
          </w:p>
        </w:tc>
        <w:tc>
          <w:tcPr>
            <w:tcW w:w="1176" w:type="dxa"/>
            <w:hideMark/>
          </w:tcPr>
          <w:p>
            <w:pPr>
              <w:spacing w:before="60" w:after="60"/>
              <w:jc w:val="right"/>
              <w:rPr>
                <w:noProof/>
              </w:rPr>
            </w:pPr>
            <w:r>
              <w:rPr>
                <w:noProof/>
              </w:rPr>
              <w:t>(15,0 %)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 — 54 години:</w:t>
            </w:r>
          </w:p>
        </w:tc>
        <w:tc>
          <w:tcPr>
            <w:tcW w:w="1176" w:type="dxa"/>
            <w:hideMark/>
          </w:tcPr>
          <w:p>
            <w:pPr>
              <w:spacing w:before="60" w:after="60"/>
              <w:jc w:val="right"/>
              <w:rPr>
                <w:noProof/>
              </w:rPr>
            </w:pPr>
            <w:r>
              <w:rPr>
                <w:noProof/>
              </w:rPr>
              <w:t>300</w:t>
            </w:r>
          </w:p>
        </w:tc>
        <w:tc>
          <w:tcPr>
            <w:tcW w:w="1176" w:type="dxa"/>
            <w:hideMark/>
          </w:tcPr>
          <w:p>
            <w:pPr>
              <w:spacing w:before="60" w:after="60"/>
              <w:jc w:val="right"/>
              <w:rPr>
                <w:noProof/>
              </w:rPr>
            </w:pPr>
            <w:r>
              <w:rPr>
                <w:noProof/>
              </w:rPr>
              <w:t>(60,0 %)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 — 64 години:</w:t>
            </w:r>
          </w:p>
        </w:tc>
        <w:tc>
          <w:tcPr>
            <w:tcW w:w="1176" w:type="dxa"/>
            <w:hideMark/>
          </w:tcPr>
          <w:p>
            <w:pPr>
              <w:spacing w:before="60" w:after="60"/>
              <w:jc w:val="right"/>
              <w:rPr>
                <w:noProof/>
              </w:rPr>
            </w:pPr>
            <w:r>
              <w:rPr>
                <w:noProof/>
              </w:rPr>
              <w:t>61</w:t>
            </w:r>
          </w:p>
        </w:tc>
        <w:tc>
          <w:tcPr>
            <w:tcW w:w="1176" w:type="dxa"/>
            <w:hideMark/>
          </w:tcPr>
          <w:p>
            <w:pPr>
              <w:spacing w:before="60" w:after="60"/>
              <w:jc w:val="right"/>
              <w:rPr>
                <w:noProof/>
              </w:rPr>
            </w:pPr>
            <w:r>
              <w:rPr>
                <w:noProof/>
              </w:rPr>
              <w:t>(12,2 %)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9</w:t>
            </w:r>
          </w:p>
        </w:tc>
        <w:tc>
          <w:tcPr>
            <w:tcW w:w="1176" w:type="dxa"/>
            <w:tcBorders>
              <w:top w:val="nil"/>
              <w:left w:val="nil"/>
              <w:bottom w:val="single" w:sz="4" w:space="0" w:color="auto"/>
              <w:right w:val="nil"/>
            </w:tcBorders>
            <w:hideMark/>
          </w:tcPr>
          <w:p>
            <w:pPr>
              <w:spacing w:before="60" w:after="60"/>
              <w:jc w:val="right"/>
              <w:rPr>
                <w:noProof/>
              </w:rPr>
            </w:pPr>
            <w:r>
              <w:rPr>
                <w:noProof/>
              </w:rPr>
              <w:t>(1,8 %)</w:t>
            </w:r>
          </w:p>
        </w:tc>
      </w:tr>
    </w:tbl>
    <w:p>
      <w:pPr>
        <w:pStyle w:val="ManualHeading3"/>
        <w:rPr>
          <w:noProof/>
          <w:u w:val="single"/>
        </w:rPr>
      </w:pPr>
      <w:r>
        <w:rPr>
          <w:noProof/>
        </w:rPr>
        <w:t>Допустимост на предложените действия</w:t>
      </w:r>
    </w:p>
    <w:p>
      <w:pPr>
        <w:pStyle w:val="ManualNumPar1"/>
        <w:rPr>
          <w:noProof/>
        </w:rPr>
      </w:pPr>
      <w:bookmarkStart w:id="2" w:name="_Ref372214239"/>
      <w:r>
        <w:t>40.</w:t>
      </w:r>
      <w:r>
        <w:tab/>
      </w:r>
      <w:r>
        <w:rPr>
          <w:noProof/>
        </w:rPr>
        <w:t xml:space="preserve">Персонализираните услуги, които трябва да бъдат предоставени на съкратените работници от Arbetsförmedlingen (шведската публична служба по заетостта), се състоят от следните действия, всяко от които надхвърля това, което обикновено би било възможно без подкрепа от страна на ЕФПГ: </w:t>
      </w:r>
      <w:bookmarkEnd w:id="2"/>
    </w:p>
    <w:p>
      <w:pPr>
        <w:pStyle w:val="Tiret1"/>
        <w:rPr>
          <w:noProof/>
        </w:rPr>
      </w:pPr>
      <w:r>
        <w:rPr>
          <w:noProof/>
          <w:u w:val="single"/>
        </w:rPr>
        <w:t>Задълбочена оценка и индивидуално планиране</w:t>
      </w:r>
      <w:r>
        <w:rPr>
          <w:noProof/>
        </w:rPr>
        <w:t>: процедурата по регистрация включва проучване на предишния опит и обучение и е ускорена за бенефициерите по ЕФПГ. Тя може да включва няколко индивидуални и персонализирани срещи, някои от които могат да бъдат с дружества за професионално пренасочване.</w:t>
      </w:r>
    </w:p>
    <w:p>
      <w:pPr>
        <w:pStyle w:val="Tiret1"/>
        <w:rPr>
          <w:noProof/>
        </w:rPr>
      </w:pPr>
      <w:r>
        <w:rPr>
          <w:noProof/>
          <w:u w:val="single"/>
        </w:rPr>
        <w:t>Различни дейности, свързани с търсенето на работа, и индивидуално обучение</w:t>
      </w:r>
      <w:r>
        <w:rPr>
          <w:noProof/>
        </w:rPr>
        <w:t>: стандартните дейности, предлагани от Arbetsförmedlingen, ще бъдат комбинирани с мерки по ЕФПГ като индивидуална подкрепа при пряк контакт с потенциални работодатели, заседания за мотивиране и конференции за представяне на пазара на труда в региона. Това ще бъде особено важно за онези работници от целевата група, които определят образователното си равнище за недостатъчно за свободните работни места в региона. Ще се предлагат както индивидуални, така и групови дейности, някои от които ще бъдат достъпни онлайн.</w:t>
      </w:r>
    </w:p>
    <w:p>
      <w:pPr>
        <w:pStyle w:val="Tiret1"/>
        <w:rPr>
          <w:noProof/>
        </w:rPr>
      </w:pPr>
      <w:r>
        <w:rPr>
          <w:noProof/>
          <w:u w:val="single"/>
        </w:rPr>
        <w:t>Мотивация и мерки, свързани със здравословното състояние</w:t>
      </w:r>
      <w:r>
        <w:rPr>
          <w:noProof/>
        </w:rPr>
        <w:t>: бенефициерите по ЕФПГ ще имат достъп до терапевти, психолози и експерти по когнитивна терапия за повишаване на тяхната мотивация и оказване на помощ на лица, чието здраве е влошено в резултат на съкращение след дълъг период на заетост в рамките на едно и също дружество.</w:t>
      </w:r>
    </w:p>
    <w:p>
      <w:pPr>
        <w:pStyle w:val="Tiret1"/>
        <w:rPr>
          <w:noProof/>
          <w:u w:val="single"/>
        </w:rPr>
      </w:pPr>
      <w:r>
        <w:rPr>
          <w:noProof/>
          <w:u w:val="single"/>
        </w:rPr>
        <w:t>Предприемачество и създаване на предприятия</w:t>
      </w:r>
      <w:r>
        <w:rPr>
          <w:noProof/>
        </w:rPr>
        <w:t>: външни експерти, които предоставят консултации на бъдещи предприемачи, ще организират подготвителни курсове за тези, които възнамеряват да създадат свое предприятие.</w:t>
      </w:r>
    </w:p>
    <w:p>
      <w:pPr>
        <w:pStyle w:val="Tiret1"/>
        <w:rPr>
          <w:noProof/>
        </w:rPr>
      </w:pPr>
      <w:r>
        <w:rPr>
          <w:noProof/>
        </w:rPr>
        <w:t xml:space="preserve">Бенефициерите ще имат достъп до безвъзмездни средства за започване на стопанска дейност след като тяхната предприемаческа идея е била проверена и одобрена от консултанти. Безвъзмездните средства ще бъдат изплащани за период от 6 месеца, като този период може да бъде удължен до 12 месеца по съвет на консултанта. В случай че бенефициерите поемат предприятия, чиито собственици са близо до пенсионна възраст, безвъзмездните средства по ЕФПГ могат да им позволят да управляват предприятието заедно с пенсионерите по време на преходен период. </w:t>
      </w:r>
    </w:p>
    <w:p>
      <w:pPr>
        <w:pStyle w:val="Tiret1"/>
        <w:rPr>
          <w:noProof/>
        </w:rPr>
      </w:pPr>
      <w:r>
        <w:rPr>
          <w:noProof/>
          <w:u w:val="single"/>
        </w:rPr>
        <w:t>Образование и обучение</w:t>
      </w:r>
      <w:r>
        <w:rPr>
          <w:noProof/>
        </w:rPr>
        <w:t>: на бенефициерите по ЕФПГ ще бъде осигурено образование и обучение, което обикновено не би било достъпно за тях. Някои от дейностите по тази програма ще бъдат съобразени с всеки човек индивидуално, в сътрудничество с Университета в Умео, висши учебни заведения и предприятия в региона. Работниците от целевата група ще бъдат насърчавани да приемат работа, без да се влияят от стереотипите от гледна точка на пола, например в сектора на здравеопазването.</w:t>
      </w:r>
    </w:p>
    <w:p>
      <w:pPr>
        <w:pStyle w:val="Tiret1"/>
        <w:rPr>
          <w:noProof/>
        </w:rPr>
      </w:pPr>
      <w:r>
        <w:rPr>
          <w:noProof/>
        </w:rPr>
        <w:t>Обучението може да включва професионален опит и професионална подготовка (за всяка възрастова група), които могат да се предоставят и на онези работници, които се подготвят за създаване или поемане на съществуващо предприятие.</w:t>
      </w:r>
    </w:p>
    <w:p>
      <w:pPr>
        <w:pStyle w:val="Tiret1"/>
        <w:rPr>
          <w:noProof/>
        </w:rPr>
      </w:pPr>
      <w:r>
        <w:rPr>
          <w:noProof/>
          <w:u w:val="single"/>
        </w:rPr>
        <w:t>Удостоверяване на компетенциите</w:t>
      </w:r>
      <w:r>
        <w:rPr>
          <w:noProof/>
        </w:rPr>
        <w:t>:  на участниците ще бъде предложено удостоверяване на компетенциите. Тъй като тези услуги не могат да бъдат предоставяни на местно равнище, бенефициерите ще могат да пътуват до съответните центрове.</w:t>
      </w:r>
    </w:p>
    <w:p>
      <w:pPr>
        <w:pStyle w:val="Tiret1"/>
        <w:rPr>
          <w:noProof/>
        </w:rPr>
      </w:pPr>
      <w:r>
        <w:rPr>
          <w:noProof/>
          <w:u w:val="single"/>
        </w:rPr>
        <w:t>Помощ при търсене на работа, предоставяна от частни доставчици на услуги</w:t>
      </w:r>
      <w:r>
        <w:rPr>
          <w:noProof/>
        </w:rPr>
        <w:t>: частните доставчици на услуги, чието участие е осигурено от Arbetsförmedlingen, могат значително да подпомогнат бенефициерите от целевата група при намирането на работа и удостоверяването на компетенциите.</w:t>
      </w:r>
    </w:p>
    <w:p>
      <w:pPr>
        <w:pStyle w:val="Tiret1"/>
        <w:rPr>
          <w:noProof/>
        </w:rPr>
      </w:pPr>
      <w:r>
        <w:rPr>
          <w:noProof/>
          <w:u w:val="single"/>
        </w:rPr>
        <w:t>Пътни разходи и свързани с тях разходи</w:t>
      </w:r>
      <w:r>
        <w:rPr>
          <w:noProof/>
        </w:rPr>
        <w:t>: площта на региона на Västerbotten е много голяма, поради което достъпът до услуги налага проявяването на мобилност и изисква допълнителни разходи. Разходите по прехвърляне и преместване, свързани със започването на нова работа в друга част на страната могат да бъдат покрити, както и разходите за пътувания на дълги разстояния за явяване на интервюта за работа. Тези разходи ще трябва да бъдат договорени предварително, да бъдат удостоверени с документи и да бъдат проверими.</w:t>
      </w:r>
    </w:p>
    <w:p>
      <w:pPr>
        <w:pStyle w:val="Tiret1"/>
        <w:rPr>
          <w:noProof/>
          <w:u w:val="single"/>
        </w:rPr>
      </w:pPr>
      <w:r>
        <w:rPr>
          <w:noProof/>
          <w:u w:val="single"/>
        </w:rPr>
        <w:t>Помощ при търсене на работа</w:t>
      </w:r>
      <w:r>
        <w:rPr>
          <w:noProof/>
        </w:rPr>
        <w:t>: тази помощ се предоставя на бенефициерите, които участват в някоя от активните мерки, описани по-горе. Размерът на помощта зависи от отделни фактори, като таванът е фиксиран с решение на парламента на 910 SEK (около 97 EUR) на ден и спада след първите 100 дни на 760 SEK (около 81 EUR) на ден. Следователно при посочения по-горе таван вписаната в бюджета средна стойност в размер на 12 000 EUR ще предостави надбавка на всеки работник в продължение на около 128 дни.</w:t>
      </w:r>
    </w:p>
    <w:p>
      <w:pPr>
        <w:pStyle w:val="ManualNumPar1"/>
        <w:rPr>
          <w:noProof/>
        </w:rPr>
      </w:pPr>
      <w:bookmarkStart w:id="3" w:name="_Ref372214242"/>
      <w:r>
        <w:t>41.</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42.</w:t>
      </w:r>
      <w:r>
        <w:tab/>
      </w:r>
      <w:r>
        <w:rPr>
          <w:noProof/>
        </w:rPr>
        <w:t>Швеция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в съответствие с колективни споразумения. Те потвърдиха, че финансовото участие от страна на ЕФПГ няма да замени тези действия.</w:t>
      </w:r>
      <w:bookmarkEnd w:id="3"/>
    </w:p>
    <w:p>
      <w:pPr>
        <w:pStyle w:val="ManualHeading3"/>
        <w:rPr>
          <w:noProof/>
        </w:rPr>
      </w:pPr>
      <w:r>
        <w:rPr>
          <w:noProof/>
        </w:rPr>
        <w:t>Прогнозен бюджет</w:t>
      </w:r>
    </w:p>
    <w:p>
      <w:pPr>
        <w:pStyle w:val="Text1"/>
        <w:rPr>
          <w:noProof/>
        </w:rPr>
      </w:pPr>
      <w:r>
        <w:rPr>
          <w:noProof/>
        </w:rPr>
        <w:t>Общите прогнозни разходи са в размер на 2 989 518 EUR, като в тях се включват разходи за персонализирани услуги на стойност 2 869 938 EUR и разходи за дейности по подготовка, управление, информиране и публичност, контрол и докладване в размер на 119 580 EUR.</w:t>
      </w:r>
    </w:p>
    <w:p>
      <w:pPr>
        <w:pStyle w:val="ManualNumPar1"/>
        <w:rPr>
          <w:noProof/>
        </w:rPr>
      </w:pPr>
      <w:bookmarkStart w:id="4" w:name="_Ref372550770"/>
      <w:r>
        <w:t>43.</w:t>
      </w:r>
      <w:r>
        <w:tab/>
      </w:r>
      <w:r>
        <w:rPr>
          <w:noProof/>
        </w:rPr>
        <w:t>Общият размер на заявеното финансово участие от ЕФПГ възлиза на 1 793 710 EUR (60 % от общия размер на разходите).</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(EUR, закръглено)</w:t>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Задълбочена оценка и индивидуално планиране</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28,51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14 254</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Различни дейности, свързани с търсенето на работа, и индивидуално обучение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644,42 </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161 106</w:t>
            </w:r>
          </w:p>
          <w:p>
            <w:pPr>
              <w:spacing w:before="60" w:after="60"/>
              <w:jc w:val="center"/>
              <w:rPr>
                <w:noProof/>
              </w:rPr>
            </w:pP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при търсене на работа, предоставяна от частни доставчици на услуги</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55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 1109,91 </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61 045 </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 xml:space="preserve">Мотивация и мерки, свързани със здравословното състояние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521,70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5217</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Подготовка за стопанска дейност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573,92 </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14 348 </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предприемачество и създаване на предприятия</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300 000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Образование и обучение</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6869,72 </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1 236 551 </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Удостоверяване на компетенциите</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2921,80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73 045</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rPr>
                <w:rFonts w:eastAsia="Times New Roman"/>
                <w:noProof/>
                <w:sz w:val="22"/>
              </w:rPr>
            </w:pPr>
            <w:r>
              <w:rPr>
                <w:noProof/>
              </w:rPr>
              <w:t xml:space="preserve">1 865 566     </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65,00 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Пътни разходи и свързани с тях разходи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521,76 </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26 088 </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при търсене на работа</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 xml:space="preserve">80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
                <w:noProof/>
              </w:rPr>
            </w:pPr>
            <w:r>
              <w:rPr>
                <w:noProof/>
              </w:rPr>
              <w:t xml:space="preserve">12 228,55 </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978 284 </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 xml:space="preserve">1 004 372      </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35,00 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Подготовка</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 xml:space="preserve">116 971 </w:t>
            </w:r>
          </w:p>
        </w:tc>
      </w:tr>
      <w:tr>
        <w:tc>
          <w:tcPr>
            <w:tcW w:w="4644" w:type="dxa"/>
            <w:shd w:val="clear" w:color="auto" w:fill="auto"/>
          </w:tcPr>
          <w:p>
            <w:pPr>
              <w:spacing w:before="60" w:after="60"/>
              <w:ind w:left="284"/>
              <w:jc w:val="left"/>
              <w:rPr>
                <w:rFonts w:eastAsia="Times New Roman"/>
                <w:noProof/>
                <w:sz w:val="22"/>
              </w:rPr>
            </w:pPr>
            <w:r>
              <w:rPr>
                <w:noProof/>
                <w:sz w:val="22"/>
              </w:rPr>
              <w:t>3. Информиране и публичност</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 xml:space="preserve">2609 </w:t>
            </w:r>
          </w:p>
        </w:tc>
      </w:tr>
      <w:tr>
        <w:tc>
          <w:tcPr>
            <w:tcW w:w="4644"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 xml:space="preserve">119 580     </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4,00  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 xml:space="preserve">2 989 518     </w:t>
            </w:r>
          </w:p>
        </w:tc>
      </w:tr>
      <w:tr>
        <w:tc>
          <w:tcPr>
            <w:tcW w:w="4644"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 xml:space="preserve">1 793 710     </w:t>
            </w:r>
          </w:p>
        </w:tc>
      </w:tr>
    </w:tbl>
    <w:p>
      <w:pPr>
        <w:pStyle w:val="ManualNumPar1"/>
        <w:rPr>
          <w:noProof/>
          <w:szCs w:val="20"/>
        </w:rPr>
      </w:pPr>
      <w:r>
        <w:t>44.</w:t>
      </w:r>
      <w:r>
        <w:tab/>
      </w:r>
      <w:r>
        <w:rPr>
          <w:noProof/>
        </w:rPr>
        <w:t>Разходите за действията, определени в таблицата по-горе като дейности по член 7, параграф 1, буква б) от Регламента за ЕФПГ, не надвишават 35 % от общите разходи за съгласувания пакет от персонализирани услуги. Швеция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NumPar1"/>
        <w:rPr>
          <w:noProof/>
        </w:rPr>
      </w:pPr>
      <w:r>
        <w:t>45.</w:t>
      </w:r>
      <w:r>
        <w:tab/>
      </w:r>
      <w:r>
        <w:rPr>
          <w:noProof/>
        </w:rPr>
        <w:t>Швеция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46.</w:t>
      </w:r>
      <w:r>
        <w:tab/>
      </w:r>
      <w:r>
        <w:rPr>
          <w:noProof/>
        </w:rPr>
        <w:t>Шведските органи са започнали да предоставят персонализирани услуги на бенефициерите от целевата група на 30 януари 2015 г. С оглед на това разходите за тези дейности ще бъдат допустими за предоставяне на финансово участие от ЕФПГ от 30 януари 2015 г. до 16 септември 2017 г., с изключение на разходите за обучение в областта на висшето образование, които ще бъдат допустими за финансово участие до 16 март 2018 г.</w:t>
      </w:r>
    </w:p>
    <w:p>
      <w:pPr>
        <w:pStyle w:val="ManualNumPar1"/>
        <w:rPr>
          <w:noProof/>
        </w:rPr>
      </w:pPr>
      <w:r>
        <w:t>47.</w:t>
      </w:r>
      <w:r>
        <w:tab/>
      </w:r>
      <w:r>
        <w:rPr>
          <w:noProof/>
        </w:rPr>
        <w:t xml:space="preserve">Шведските органи са започнали да извършват административни разходи по прилагането на ЕФПГ на 30 януари 2015 г. С оглед на това разходите за дейностите по подготовка, управление, информиране и публичност, контрол и докладване са допустими за предоставяне на финансово участие от ЕФПГ през периода от 30 януари 2015 г. до 16 март 2018 г. </w:t>
      </w:r>
    </w:p>
    <w:p>
      <w:pPr>
        <w:pStyle w:val="ManualHeading3"/>
        <w:rPr>
          <w:noProof/>
        </w:rPr>
      </w:pPr>
      <w:r>
        <w:rPr>
          <w:noProof/>
        </w:rPr>
        <w:t>Съфинансиране и допълване с действия, финансирани с национални средства или със средства от Съюза</w:t>
      </w:r>
    </w:p>
    <w:p>
      <w:pPr>
        <w:pStyle w:val="ManualNumPar1"/>
        <w:rPr>
          <w:i/>
          <w:noProof/>
        </w:rPr>
      </w:pPr>
      <w:r>
        <w:t>48.</w:t>
      </w:r>
      <w:r>
        <w:tab/>
      </w:r>
      <w:r>
        <w:rPr>
          <w:noProof/>
        </w:rPr>
        <w:t>Шведското правителство съфинансира мерките по ЕФПГ със средства на службата по заетостта (Arbetsförmedlingen) .</w:t>
      </w:r>
    </w:p>
    <w:p>
      <w:pPr>
        <w:pStyle w:val="ManualNumPar1"/>
        <w:rPr>
          <w:noProof/>
        </w:rPr>
      </w:pPr>
      <w:r>
        <w:t>49.</w:t>
      </w:r>
      <w:r>
        <w:tab/>
      </w:r>
      <w:r>
        <w:rPr>
          <w:noProof/>
        </w:rPr>
        <w:t>Шведските органи са потвърдили, че за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50.</w:t>
      </w:r>
      <w:r>
        <w:tab/>
      </w:r>
      <w:r>
        <w:rPr>
          <w:noProof/>
        </w:rPr>
        <w:t xml:space="preserve">Съгласуваният пакет от персонализирани услуги е изготвен след консултации с бенефициерите от целевата група и техните представители, както и с местните публични органи. Заседания на съответните местни органи се провеждат веднъж месечно и съкращенията във Volvo са били обсъдени за пръв път през юли 2014 г. Отдел „Човешки ресурси“ на Volvo оказа съдействие при събирането на данните и планирането на мерките. </w:t>
      </w:r>
    </w:p>
    <w:p>
      <w:pPr>
        <w:pStyle w:val="ManualNumPar1"/>
        <w:rPr>
          <w:noProof/>
        </w:rPr>
      </w:pPr>
      <w:r>
        <w:t>51.</w:t>
      </w:r>
      <w:r>
        <w:tab/>
      </w:r>
      <w:r>
        <w:rPr>
          <w:noProof/>
        </w:rPr>
        <w:t>Заинтересованите страни, участващи в планирането и прилагането, са община Умео, окръжният административен съвет, регион Västerbotten, профсъюзите, бизнес центърът в областта на технологиите, търговската камара, бизнес организацията „Företagarna“, Университета в Умео, Arbetsförmedlingen и Volvo. Взети са различни мерки, за да се гарантира, че целевата група (както и отделът за човешки ресурси и представителите на профсъюзите) са наясно с възможностите, предлагани от ЕФПГ.</w:t>
      </w:r>
    </w:p>
    <w:p>
      <w:pPr>
        <w:pStyle w:val="ManualHeading2"/>
        <w:rPr>
          <w:noProof/>
        </w:rPr>
      </w:pPr>
      <w:r>
        <w:rPr>
          <w:noProof/>
        </w:rPr>
        <w:t>Системи за управление и контрол</w:t>
      </w:r>
    </w:p>
    <w:p>
      <w:pPr>
        <w:pStyle w:val="ManualNumPar1"/>
        <w:rPr>
          <w:noProof/>
        </w:rPr>
      </w:pPr>
      <w:r>
        <w:t>52.</w:t>
      </w:r>
      <w:r>
        <w:tab/>
      </w:r>
      <w:r>
        <w:rPr>
          <w:noProof/>
        </w:rPr>
        <w:t>В заявлението е описана системата за управление и контрол и са посочени отговорностите на съответните органи. Швеция уведоми Комисията, че финансовото участие ще бъде управлявано и контролирано от Arbetsförmedlingen, която е официално определена за управляващ и разплащателен орган. Счетоводните сметки на проекта ще бъдат проверявани от отдела за вътрешен одит, който е отделен орган на подчинение на управителния съвет на Arbetsförmedlingen. Неговата задача е да подложи на проверка процеса по вътрешен контрол и проверка в ПСЗ и да предлага подобрения, както и да предоставя консултации и помощ на ръководството и генералния директор. Проектът ще бъде подлаган на редовен одит.</w:t>
      </w:r>
    </w:p>
    <w:p>
      <w:pPr>
        <w:pStyle w:val="ManualHeading2"/>
        <w:rPr>
          <w:noProof/>
        </w:rPr>
      </w:pPr>
      <w:r>
        <w:rPr>
          <w:noProof/>
        </w:rPr>
        <w:t>Ангажименти, поети от засегнатата държава членка</w:t>
      </w:r>
    </w:p>
    <w:p>
      <w:pPr>
        <w:pStyle w:val="ManualNumPar1"/>
        <w:rPr>
          <w:noProof/>
        </w:rPr>
      </w:pPr>
      <w:r>
        <w:t>53.</w:t>
      </w:r>
      <w:r>
        <w:tab/>
      </w:r>
      <w:r>
        <w:rPr>
          <w:noProof/>
        </w:rPr>
        <w:t xml:space="preserve">Шведските органи са предоставили всички необходими гаранции за това, че: </w:t>
      </w:r>
    </w:p>
    <w:p>
      <w:pPr>
        <w:pStyle w:val="Tiret1"/>
        <w:numPr>
          <w:ilvl w:val="0"/>
          <w:numId w:val="14"/>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4"/>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4"/>
        </w:numPr>
        <w:rPr>
          <w:noProof/>
        </w:rPr>
      </w:pPr>
      <w:r>
        <w:rPr>
          <w:noProof/>
        </w:rPr>
        <w:t>предприятието Volvo Trucks,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4"/>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4"/>
        </w:numPr>
        <w:rPr>
          <w:noProof/>
        </w:rPr>
      </w:pPr>
      <w:r>
        <w:rPr>
          <w:noProof/>
        </w:rPr>
        <w:t>предложените действия ще допълват други действия, финансирани от структурните фондове;</w:t>
      </w:r>
    </w:p>
    <w:p>
      <w:pPr>
        <w:pStyle w:val="Tiret1"/>
        <w:numPr>
          <w:ilvl w:val="0"/>
          <w:numId w:val="14"/>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54.</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 — 2020</w:t>
      </w:r>
      <w:r>
        <w:rPr>
          <w:rStyle w:val="FootnoteReference"/>
          <w:noProof/>
        </w:rPr>
        <w:footnoteReference w:id="14"/>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55.</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1 793 710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56.</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5"/>
      </w:r>
      <w:r>
        <w:rPr>
          <w:noProof/>
        </w:rPr>
        <w:t>.</w:t>
      </w:r>
    </w:p>
    <w:p>
      <w:pPr>
        <w:pStyle w:val="ManualHeading2"/>
        <w:rPr>
          <w:noProof/>
        </w:rPr>
      </w:pPr>
      <w:r>
        <w:rPr>
          <w:noProof/>
        </w:rPr>
        <w:t>Свързани актове</w:t>
      </w:r>
    </w:p>
    <w:p>
      <w:pPr>
        <w:pStyle w:val="ManualNumPar1"/>
        <w:rPr>
          <w:noProof/>
        </w:rPr>
      </w:pPr>
      <w:r>
        <w:t>57.</w:t>
      </w:r>
      <w:r>
        <w:tab/>
      </w:r>
      <w:r>
        <w:rPr>
          <w:noProof/>
        </w:rPr>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1 793 710 EUR към съответния бюджетен ред.</w:t>
      </w:r>
    </w:p>
    <w:p>
      <w:pPr>
        <w:pStyle w:val="ManualNumPar1"/>
        <w:rPr>
          <w:noProof/>
        </w:rPr>
      </w:pPr>
      <w:r>
        <w:t>58.</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 на средства от Европейския фонд за приспособяване към глобализацията </w:t>
      </w:r>
      <w:r>
        <w:rPr>
          <w:noProof/>
        </w:rPr>
        <w:br/>
        <w:t>(заявление от Швеция — EGF/2015/009 SE/Volvo Trucks)</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16"/>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7"/>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18"/>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16 септември 2015 г. Швеция подаде заявление EGF/2015/009 SE/Volvo Trucks за предоставяне на финансово участие от ЕФПГ във връзка с извършени съкращения във Volvo Trucks (Volvo Group Truck Operation EMEA) и четирима доставчици и производители надолу по веригата в Швеция. и предостави допълнителна информация към заявлението, както е предвидено в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Поради това, за да бъде удовлетворено подаденото от Швеция заявление, следва да бъдат мобилизирани средства за предоставяне на финансово участие от ЕФПГ в размер на 1 793 710 EUR.</w:t>
      </w:r>
    </w:p>
    <w:p>
      <w:pPr>
        <w:pStyle w:val="ManualConsidrant"/>
        <w:rPr>
          <w:noProof/>
        </w:rPr>
      </w:pPr>
      <w:r>
        <w:t>(5)</w:t>
      </w:r>
      <w:r>
        <w:tab/>
      </w:r>
      <w:r>
        <w:rPr>
          <w:noProof/>
        </w:rPr>
        <w:t>С цел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2016 година от Европейския фонд за приспособяване към глобализацията се мобилизират средства за предоставяне на сумата от 1 793 710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xml:space="preserve">. То се прилага от </w:t>
      </w:r>
      <w:r>
        <w:rPr>
          <w:noProof/>
          <w:color w:val="FF0000"/>
        </w:rPr>
        <w:t>[</w:t>
      </w:r>
      <w:r>
        <w:rPr>
          <w:i/>
          <w:noProof/>
          <w:color w:val="FF0000"/>
        </w:rPr>
        <w:t>датата на приемането му</w:t>
      </w:r>
      <w:r>
        <w:rPr>
          <w:noProof/>
          <w:color w:val="FF0000"/>
        </w:rPr>
        <w:t>]</w:t>
      </w:r>
      <w:r>
        <w:rPr>
          <w:rStyle w:val="FootnoteReference"/>
        </w:rPr>
        <w:sym w:font="Symbol" w:char="F02A"/>
      </w:r>
      <w:r>
        <w:rPr>
          <w:noProof/>
        </w:rPr>
        <w:t>.</w:t>
      </w:r>
    </w:p>
    <w:p>
      <w:pPr>
        <w:pStyle w:val="Fait"/>
        <w:rPr>
          <w:noProof/>
        </w:rPr>
      </w:pPr>
      <w:r>
        <w:rPr>
          <w:noProof/>
        </w:rPr>
        <w:footnoteReference w:customMarkFollows="1" w:id="19"/>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ОВ L 393, 30.12.2006 г., стр. 1.</w:t>
      </w:r>
    </w:p>
  </w:footnote>
  <w:footnote w:id="5">
    <w:p>
      <w:pPr>
        <w:pStyle w:val="FootnoteText"/>
        <w:rPr>
          <w:lang w:val="ru-RU"/>
        </w:rPr>
      </w:pPr>
      <w:r>
        <w:rPr>
          <w:rStyle w:val="FootnoteReference"/>
        </w:rPr>
        <w:footnoteRef/>
      </w:r>
      <w:r>
        <w:tab/>
        <w:t>В съответствие с член 7, параграф 4 от Регламент (EС) № 1309/2013.</w:t>
      </w:r>
    </w:p>
  </w:footnote>
  <w:footnote w:id="6">
    <w:p>
      <w:pPr>
        <w:pStyle w:val="FootnoteText"/>
        <w:rPr>
          <w:lang w:val="ru-RU"/>
        </w:rPr>
      </w:pPr>
      <w:r>
        <w:rPr>
          <w:rStyle w:val="FootnoteReference"/>
        </w:rPr>
        <w:footnoteRef/>
      </w:r>
      <w:r>
        <w:tab/>
        <w:t>„Economic and Market“, прогнозен доклад на Европейската асоциация на производителите на автомобили (ACEA) (март 2015 г.).</w:t>
      </w:r>
    </w:p>
  </w:footnote>
  <w:footnote w:id="7">
    <w:p>
      <w:pPr>
        <w:pStyle w:val="FootnoteText"/>
        <w:rPr>
          <w:lang w:val="ru-RU"/>
        </w:rPr>
      </w:pPr>
      <w:r>
        <w:rPr>
          <w:rStyle w:val="FootnoteReference"/>
        </w:rPr>
        <w:footnoteRef/>
      </w:r>
      <w:r>
        <w:tab/>
        <w:t>Евростат, последни налични данни в прогнозния доклад на ACEA (март 2015 г.)</w:t>
      </w:r>
    </w:p>
  </w:footnote>
  <w:footnote w:id="8">
    <w:p>
      <w:pPr>
        <w:pStyle w:val="FootnoteText"/>
        <w:rPr>
          <w:lang w:val="ru-RU"/>
        </w:rPr>
      </w:pPr>
      <w:r>
        <w:rPr>
          <w:rStyle w:val="FootnoteReference"/>
        </w:rPr>
        <w:footnoteRef/>
      </w:r>
      <w:r>
        <w:tab/>
        <w:t>Годишен доклад на Volvo, 2014 г., стр. 2: www.volvogroup.com (2014)</w:t>
      </w:r>
    </w:p>
  </w:footnote>
  <w:footnote w:id="9">
    <w:p>
      <w:pPr>
        <w:pStyle w:val="FootnoteText"/>
        <w:rPr>
          <w:lang w:val="ru-RU"/>
        </w:rPr>
      </w:pPr>
      <w:r>
        <w:rPr>
          <w:rStyle w:val="FootnoteReference"/>
        </w:rPr>
        <w:footnoteRef/>
      </w:r>
      <w:r>
        <w:tab/>
        <w:t>„Truck market 2024, Sustainable Growth in Global Market“ („Пазарът на тежкотоварни превозни средства през 2024 г., устойчив растеж на световния пазар“), Deloitte (2014 г.).</w:t>
      </w:r>
    </w:p>
  </w:footnote>
  <w:footnote w:id="10">
    <w:p>
      <w:pPr>
        <w:pStyle w:val="FootnoteText"/>
        <w:rPr>
          <w:lang w:val="ru-RU"/>
        </w:rPr>
      </w:pPr>
      <w:r>
        <w:rPr>
          <w:rStyle w:val="FootnoteReference"/>
        </w:rPr>
        <w:footnoteRef/>
      </w:r>
      <w:r>
        <w:tab/>
        <w:t>„Truck 2020 transcending turbulence“ („Тежкотоварните превозни средства през 2020 г., преодоляване на сътресенията“), IBM Global Business Service (май 2015 г.)</w:t>
      </w:r>
    </w:p>
  </w:footnote>
  <w:footnote w:id="11">
    <w:p>
      <w:pPr>
        <w:pStyle w:val="FootnoteText"/>
        <w:rPr>
          <w:lang w:val="ru-RU"/>
        </w:rPr>
      </w:pPr>
      <w:r>
        <w:rPr>
          <w:rStyle w:val="FootnoteReference"/>
        </w:rPr>
        <w:footnoteRef/>
      </w:r>
      <w:r>
        <w:tab/>
        <w:t>„The truck industry in 2020“ („Промишлеността на тежкотоварни превозни средства през 2020 г.“), PwC (2014 г.).</w:t>
      </w:r>
    </w:p>
  </w:footnote>
  <w:footnote w:id="12">
    <w:p>
      <w:pPr>
        <w:pStyle w:val="FootnoteText"/>
        <w:rPr>
          <w:lang w:val="ru-RU"/>
        </w:rPr>
      </w:pPr>
      <w:r>
        <w:rPr>
          <w:rStyle w:val="FootnoteReference"/>
        </w:rPr>
        <w:footnoteRef/>
      </w:r>
      <w:r>
        <w:tab/>
        <w:t>„Competing in the global truck Industry“ („Конкурентоспособност в глобалната промишленост на тежкотоварни превозни средства“), KPMG (2014 г.).</w:t>
      </w:r>
    </w:p>
  </w:footnote>
  <w:footnote w:id="13">
    <w:p>
      <w:pPr>
        <w:pStyle w:val="FootnoteText"/>
        <w:rPr>
          <w:lang w:val="sv-SE"/>
        </w:rPr>
      </w:pPr>
      <w:r>
        <w:rPr>
          <w:rStyle w:val="FootnoteReference"/>
        </w:rPr>
        <w:footnoteRef/>
      </w:r>
      <w:r>
        <w:rPr>
          <w:lang w:val="sv-SE"/>
        </w:rPr>
        <w:tab/>
      </w:r>
      <w:r>
        <w:t>„</w:t>
      </w:r>
      <w:r>
        <w:rPr>
          <w:lang w:val="sv-SE"/>
        </w:rPr>
        <w:t>Den globala fordonsindustrin 2010 ur ett svenskt perspektiv</w:t>
      </w:r>
      <w:r>
        <w:t>“</w:t>
      </w:r>
      <w:r>
        <w:rPr>
          <w:lang w:val="sv-SE"/>
        </w:rPr>
        <w:t>, Tillväxtverket.</w:t>
      </w:r>
    </w:p>
  </w:footnote>
  <w:footnote w:id="14">
    <w:p>
      <w:pPr>
        <w:pStyle w:val="FootnoteText"/>
        <w:rPr>
          <w:lang w:val="ru-RU"/>
        </w:rPr>
      </w:pPr>
      <w:r>
        <w:rPr>
          <w:rStyle w:val="FootnoteReference"/>
        </w:rPr>
        <w:footnoteRef/>
      </w:r>
      <w:r>
        <w:rPr>
          <w:lang w:val="ru-RU"/>
        </w:rPr>
        <w:tab/>
      </w:r>
      <w:r>
        <w:rPr>
          <w:rStyle w:val="FootnoteReference"/>
        </w:rPr>
        <w:footnoteRef/>
      </w:r>
      <w:r>
        <w:t>ОВ</w:t>
      </w:r>
      <w:r>
        <w:rPr>
          <w:lang w:val="ru-RU"/>
        </w:rPr>
        <w:t xml:space="preserve"> </w:t>
      </w:r>
      <w:r>
        <w:rPr>
          <w:lang w:val="sv-SE"/>
        </w:rPr>
        <w:t>L</w:t>
      </w:r>
      <w:r>
        <w:rPr>
          <w:lang w:val="ru-RU"/>
        </w:rPr>
        <w:t xml:space="preserve"> 347, 20.12.2013 </w:t>
      </w:r>
      <w:r>
        <w:t>г</w:t>
      </w:r>
      <w:r>
        <w:rPr>
          <w:lang w:val="ru-RU"/>
        </w:rPr>
        <w:t xml:space="preserve">., </w:t>
      </w:r>
      <w:r>
        <w:t>стр</w:t>
      </w:r>
      <w:r>
        <w:rPr>
          <w:lang w:val="ru-RU"/>
        </w:rPr>
        <w:t>. 884.</w:t>
      </w:r>
    </w:p>
  </w:footnote>
  <w:footnote w:id="15">
    <w:p>
      <w:pPr>
        <w:pStyle w:val="FootnoteText"/>
        <w:rPr>
          <w:lang w:val="ru-RU"/>
        </w:rPr>
      </w:pPr>
      <w:r>
        <w:rPr>
          <w:rStyle w:val="FootnoteReference"/>
        </w:rPr>
        <w:footnoteRef/>
      </w:r>
      <w:r>
        <w:rPr>
          <w:lang w:val="ru-RU"/>
        </w:rPr>
        <w:tab/>
      </w:r>
      <w:r>
        <w:rPr>
          <w:rStyle w:val="FootnoteReference"/>
        </w:rPr>
        <w:footnoteRef/>
      </w:r>
      <w:r>
        <w:t>ОВ</w:t>
      </w:r>
      <w:r>
        <w:rPr>
          <w:lang w:val="ru-RU"/>
        </w:rPr>
        <w:t xml:space="preserve"> </w:t>
      </w:r>
      <w:r>
        <w:t>С</w:t>
      </w:r>
      <w:r>
        <w:rPr>
          <w:lang w:val="ru-RU"/>
        </w:rPr>
        <w:t xml:space="preserve"> 373, 20.12.2013 </w:t>
      </w:r>
      <w:r>
        <w:t>г</w:t>
      </w:r>
      <w:r>
        <w:rPr>
          <w:lang w:val="ru-RU"/>
        </w:rPr>
        <w:t xml:space="preserve">., </w:t>
      </w:r>
      <w:r>
        <w:t>стр</w:t>
      </w:r>
      <w:r>
        <w:rPr>
          <w:lang w:val="ru-RU"/>
        </w:rPr>
        <w:t>. 1.</w:t>
      </w:r>
    </w:p>
  </w:footnote>
  <w:footnote w:id="16">
    <w:p>
      <w:pPr>
        <w:pStyle w:val="FootnoteText"/>
        <w:rPr>
          <w:lang w:val="ru-RU"/>
        </w:rPr>
      </w:pPr>
      <w:r>
        <w:rPr>
          <w:rStyle w:val="FootnoteReference"/>
        </w:rPr>
        <w:footnoteRef/>
      </w:r>
      <w:r>
        <w:rPr>
          <w:lang w:val="ru-RU"/>
        </w:rPr>
        <w:tab/>
      </w:r>
      <w:r>
        <w:rPr>
          <w:rStyle w:val="FootnoteReference"/>
        </w:rPr>
        <w:footnoteRef/>
      </w:r>
      <w:r>
        <w:t>ОВ</w:t>
      </w:r>
      <w:r>
        <w:rPr>
          <w:lang w:val="ru-RU"/>
        </w:rPr>
        <w:t xml:space="preserve"> </w:t>
      </w:r>
      <w:r>
        <w:rPr>
          <w:lang w:val="sv-SE"/>
        </w:rPr>
        <w:t>L</w:t>
      </w:r>
      <w:r>
        <w:rPr>
          <w:lang w:val="ru-RU"/>
        </w:rPr>
        <w:t xml:space="preserve"> 347, 20.12.2013 </w:t>
      </w:r>
      <w:r>
        <w:t>г</w:t>
      </w:r>
      <w:r>
        <w:rPr>
          <w:lang w:val="ru-RU"/>
        </w:rPr>
        <w:t xml:space="preserve">., </w:t>
      </w:r>
      <w:r>
        <w:t>стр</w:t>
      </w:r>
      <w:r>
        <w:rPr>
          <w:lang w:val="ru-RU"/>
        </w:rPr>
        <w:t>. 855.</w:t>
      </w:r>
    </w:p>
  </w:footnote>
  <w:footnote w:id="17">
    <w:p>
      <w:pPr>
        <w:pStyle w:val="FootnoteText"/>
        <w:rPr>
          <w:lang w:val="ru-RU"/>
        </w:rPr>
      </w:pPr>
      <w:r>
        <w:rPr>
          <w:rStyle w:val="FootnoteReference"/>
        </w:rPr>
        <w:footnoteRef/>
      </w:r>
      <w:r>
        <w:rPr>
          <w:lang w:val="ru-RU"/>
        </w:rPr>
        <w:tab/>
      </w:r>
      <w:r>
        <w:t>ОВ</w:t>
      </w:r>
      <w:r>
        <w:rPr>
          <w:lang w:val="ru-RU"/>
        </w:rPr>
        <w:t xml:space="preserve"> </w:t>
      </w:r>
      <w:r>
        <w:t>С</w:t>
      </w:r>
      <w:r>
        <w:rPr>
          <w:lang w:val="ru-RU"/>
        </w:rPr>
        <w:t xml:space="preserve"> 373, 20.12.2013 </w:t>
      </w:r>
      <w:r>
        <w:t>г</w:t>
      </w:r>
      <w:r>
        <w:rPr>
          <w:lang w:val="ru-RU"/>
        </w:rPr>
        <w:t xml:space="preserve">., </w:t>
      </w:r>
      <w:r>
        <w:t>стр</w:t>
      </w:r>
      <w:r>
        <w:rPr>
          <w:lang w:val="ru-RU"/>
        </w:rPr>
        <w:t>. 1.</w:t>
      </w:r>
    </w:p>
  </w:footnote>
  <w:footnote w:id="18">
    <w:p>
      <w:pPr>
        <w:pStyle w:val="FootnoteText"/>
        <w:rPr>
          <w:lang w:val="ru-RU"/>
        </w:rPr>
      </w:pPr>
      <w:r>
        <w:rPr>
          <w:rStyle w:val="FootnoteReference"/>
        </w:rPr>
        <w:footnoteRef/>
      </w:r>
      <w:r>
        <w:rPr>
          <w:lang w:val="ru-RU"/>
        </w:rPr>
        <w:tab/>
      </w:r>
      <w:r>
        <w:t>Регламент</w:t>
      </w:r>
      <w:r>
        <w:rPr>
          <w:lang w:val="ru-RU"/>
        </w:rPr>
        <w:t xml:space="preserve"> (</w:t>
      </w:r>
      <w:r>
        <w:t>ЕС</w:t>
      </w:r>
      <w:r>
        <w:rPr>
          <w:lang w:val="ru-RU"/>
        </w:rPr>
        <w:t xml:space="preserve">, </w:t>
      </w:r>
      <w:r>
        <w:t>Евратом</w:t>
      </w:r>
      <w:r>
        <w:rPr>
          <w:lang w:val="ru-RU"/>
        </w:rPr>
        <w:t xml:space="preserve">) № 1311/2013 </w:t>
      </w:r>
      <w:r>
        <w:t>на</w:t>
      </w:r>
      <w:r>
        <w:rPr>
          <w:lang w:val="ru-RU"/>
        </w:rPr>
        <w:t xml:space="preserve"> </w:t>
      </w:r>
      <w:r>
        <w:t>Съвета</w:t>
      </w:r>
      <w:r>
        <w:rPr>
          <w:lang w:val="ru-RU"/>
        </w:rPr>
        <w:t xml:space="preserve"> </w:t>
      </w:r>
      <w:r>
        <w:t>за</w:t>
      </w:r>
      <w:r>
        <w:rPr>
          <w:lang w:val="ru-RU"/>
        </w:rPr>
        <w:t xml:space="preserve"> </w:t>
      </w:r>
      <w:r>
        <w:t>определяне</w:t>
      </w:r>
      <w:r>
        <w:rPr>
          <w:lang w:val="ru-RU"/>
        </w:rPr>
        <w:t xml:space="preserve"> </w:t>
      </w:r>
      <w:r>
        <w:t>на</w:t>
      </w:r>
      <w:r>
        <w:rPr>
          <w:lang w:val="ru-RU"/>
        </w:rPr>
        <w:t xml:space="preserve"> </w:t>
      </w:r>
      <w:r>
        <w:t>многогодишната</w:t>
      </w:r>
      <w:r>
        <w:rPr>
          <w:lang w:val="ru-RU"/>
        </w:rPr>
        <w:t xml:space="preserve"> </w:t>
      </w:r>
      <w:r>
        <w:t>финансова</w:t>
      </w:r>
      <w:r>
        <w:rPr>
          <w:lang w:val="ru-RU"/>
        </w:rPr>
        <w:t xml:space="preserve"> </w:t>
      </w:r>
      <w:r>
        <w:t>рамка</w:t>
      </w:r>
      <w:r>
        <w:rPr>
          <w:lang w:val="ru-RU"/>
        </w:rPr>
        <w:t xml:space="preserve"> </w:t>
      </w:r>
      <w:r>
        <w:t>за</w:t>
      </w:r>
      <w:r>
        <w:rPr>
          <w:lang w:val="ru-RU"/>
        </w:rPr>
        <w:t xml:space="preserve"> </w:t>
      </w:r>
      <w:r>
        <w:t>годините</w:t>
      </w:r>
      <w:r>
        <w:rPr>
          <w:lang w:val="ru-RU"/>
        </w:rPr>
        <w:t xml:space="preserve"> 2014 — 2020 (</w:t>
      </w:r>
      <w:r>
        <w:t>ОВ</w:t>
      </w:r>
      <w:r>
        <w:rPr>
          <w:lang w:val="ru-RU"/>
        </w:rPr>
        <w:t xml:space="preserve"> </w:t>
      </w:r>
      <w:r>
        <w:rPr>
          <w:lang w:val="sv-SE"/>
        </w:rPr>
        <w:t>L</w:t>
      </w:r>
      <w:r>
        <w:rPr>
          <w:lang w:val="ru-RU"/>
        </w:rPr>
        <w:t xml:space="preserve"> 347, 20.12.2013 </w:t>
      </w:r>
      <w:r>
        <w:t>г</w:t>
      </w:r>
      <w:r>
        <w:rPr>
          <w:lang w:val="ru-RU"/>
        </w:rPr>
        <w:t xml:space="preserve">., </w:t>
      </w:r>
      <w:r>
        <w:t>стр</w:t>
      </w:r>
      <w:r>
        <w:rPr>
          <w:lang w:val="ru-RU"/>
        </w:rPr>
        <w:t>. 884).</w:t>
      </w:r>
    </w:p>
  </w:footnote>
  <w:footnote w:id="19">
    <w:p>
      <w:pPr>
        <w:pStyle w:val="FootnoteText"/>
        <w:rPr>
          <w:color w:val="FF0000"/>
          <w:lang w:val="ru-RU"/>
        </w:rPr>
      </w:pPr>
      <w:r>
        <w:rPr>
          <w:rStyle w:val="FootnoteReference"/>
        </w:rPr>
        <w:sym w:font="Symbol" w:char="F02A"/>
      </w:r>
      <w:r>
        <w:rPr>
          <w:color w:val="FF0000"/>
          <w:lang w:val="ru-RU"/>
        </w:rPr>
        <w:t xml:space="preserve"> </w:t>
      </w:r>
      <w:r>
        <w:rPr>
          <w:lang w:val="ru-RU"/>
        </w:rPr>
        <w:tab/>
      </w:r>
      <w:r>
        <w:rPr>
          <w:color w:val="FF0000"/>
        </w:rPr>
        <w:t>Да</w:t>
      </w:r>
      <w:r>
        <w:rPr>
          <w:color w:val="FF0000"/>
          <w:lang w:val="ru-RU"/>
        </w:rPr>
        <w:t xml:space="preserve"> </w:t>
      </w:r>
      <w:r>
        <w:rPr>
          <w:color w:val="FF0000"/>
        </w:rPr>
        <w:t>се</w:t>
      </w:r>
      <w:r>
        <w:rPr>
          <w:color w:val="FF0000"/>
          <w:lang w:val="ru-RU"/>
        </w:rPr>
        <w:t xml:space="preserve"> </w:t>
      </w:r>
      <w:r>
        <w:rPr>
          <w:color w:val="FF0000"/>
        </w:rPr>
        <w:t>попълни</w:t>
      </w:r>
      <w:r>
        <w:rPr>
          <w:color w:val="FF0000"/>
          <w:lang w:val="ru-RU"/>
        </w:rPr>
        <w:t xml:space="preserve"> </w:t>
      </w:r>
      <w:r>
        <w:rPr>
          <w:color w:val="FF0000"/>
        </w:rPr>
        <w:t>от</w:t>
      </w:r>
      <w:r>
        <w:rPr>
          <w:color w:val="FF0000"/>
          <w:lang w:val="ru-RU"/>
        </w:rPr>
        <w:t xml:space="preserve"> </w:t>
      </w:r>
      <w:r>
        <w:rPr>
          <w:color w:val="FF0000"/>
        </w:rPr>
        <w:t>Парламента</w:t>
      </w:r>
      <w:r>
        <w:rPr>
          <w:color w:val="FF0000"/>
          <w:lang w:val="ru-RU"/>
        </w:rPr>
        <w:t xml:space="preserve"> </w:t>
      </w:r>
      <w:r>
        <w:rPr>
          <w:color w:val="FF0000"/>
        </w:rPr>
        <w:t>преди</w:t>
      </w:r>
      <w:r>
        <w:rPr>
          <w:color w:val="FF0000"/>
          <w:lang w:val="ru-RU"/>
        </w:rPr>
        <w:t xml:space="preserve"> </w:t>
      </w:r>
      <w:r>
        <w:rPr>
          <w:color w:val="FF0000"/>
        </w:rPr>
        <w:t>публикуването</w:t>
      </w:r>
      <w:r>
        <w:rPr>
          <w:color w:val="FF0000"/>
          <w:lang w:val="ru-RU"/>
        </w:rPr>
        <w:t xml:space="preserve"> </w:t>
      </w:r>
      <w:r>
        <w:rPr>
          <w:color w:val="FF0000"/>
        </w:rPr>
        <w:t>в</w:t>
      </w:r>
      <w:r>
        <w:rPr>
          <w:color w:val="FF0000"/>
          <w:lang w:val="ru-RU"/>
        </w:rPr>
        <w:t xml:space="preserve"> </w:t>
      </w:r>
      <w:r>
        <w:rPr>
          <w:color w:val="FF0000"/>
        </w:rPr>
        <w:t>ОВ</w:t>
      </w:r>
      <w:r>
        <w:rPr>
          <w:color w:val="FF0000"/>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2"/>
    <w:lvlOverride w:ilvl="0">
      <w:startOverride w:val="1"/>
    </w:lvlOverride>
  </w:num>
  <w:num w:numId="14">
    <w:abstractNumId w:val="12"/>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5:53:4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65016123FC94B7CA7102535911825BD"/>
    <w:docVar w:name="LW_CROSSREFERENCE" w:val="&lt;UNUSED&gt;"/>
    <w:docVar w:name="LW_DocType" w:val="COM"/>
    <w:docVar w:name="LW_EMISSION" w:val="16.2.2016"/>
    <w:docVar w:name="LW_EMISSION_ISODATE" w:val="2016-02-16"/>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6) 61"/>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_x000b_(\u1079?\u1072?\u1103?\u1074?\u1083?\u1077?\u1085?\u1080?\u1077? \u1086?\u1090? \u1064?\u1074?\u1077?\u1094?\u1080?\u1103? \u8212? EGF/2015/009 SE/Volvo Trucks)"/>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8426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31CC-F011-4AA8-8128-BCB49861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5666</Words>
  <Characters>32073</Characters>
  <Application>Microsoft Office Word</Application>
  <DocSecurity>0</DocSecurity>
  <Lines>782</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2016-01-22T10:07:00Z</cp:lastPrinted>
  <dcterms:created xsi:type="dcterms:W3CDTF">2016-02-16T11:37:00Z</dcterms:created>
  <dcterms:modified xsi:type="dcterms:W3CDTF">2016-02-16T14:53:00Z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