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992379782564BFEAD9F7B6881E1B40F" style="width:450.45pt;height:448.1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rFonts w:eastAsia="Times New Roman"/>
          <w:noProof/>
          <w:szCs w:val="24"/>
        </w:rPr>
      </w:pPr>
      <w:r>
        <w:rPr>
          <w:noProof/>
        </w:rPr>
        <w:t>В Регионалната конвенция за паневросредиземноморските преференциални правила за произход</w:t>
      </w:r>
      <w:r>
        <w:rPr>
          <w:rStyle w:val="FootnoteReference"/>
          <w:noProof/>
        </w:rPr>
        <w:footnoteReference w:id="1"/>
      </w:r>
      <w:r>
        <w:rPr>
          <w:noProof/>
        </w:rPr>
        <w:t xml:space="preserve"> (наричана по-долу „Конвенцията“) се определят разпоредби относно произхода на стоките, които се търгуват по силата на съответните споразумения, сключени между договарящите страни. ЕС подписа Конвенцията на 15 юни 2011 г. На 17 юли 2013 г. Република Молдова представи молба за присъединяване към Конвенцията и с Решение № 2 от 21 май 2014 г.</w:t>
      </w:r>
      <w:r>
        <w:rPr>
          <w:rStyle w:val="FootnoteReference"/>
          <w:noProof/>
        </w:rPr>
        <w:footnoteReference w:id="2"/>
      </w:r>
      <w:r>
        <w:rPr>
          <w:noProof/>
        </w:rPr>
        <w:t xml:space="preserve"> Съвместният комитет на Конвенцията се произнесе, че Република Молдова следва да бъде поканена да се присъедини към Конвенцията.</w:t>
      </w:r>
    </w:p>
    <w:p>
      <w:pPr>
        <w:rPr>
          <w:rFonts w:eastAsia="Times New Roman"/>
          <w:noProof/>
          <w:szCs w:val="24"/>
        </w:rPr>
      </w:pPr>
      <w:r>
        <w:rPr>
          <w:noProof/>
        </w:rPr>
        <w:t>ЕС и Република Молдова депозираха своите документи за приемане при депозитаря на Конвенцията съответно на 26 март 2012 г. и на 31 юли 2015 г. В резултат на това и съгласно член 10, параграф 3 от Конвенцията тя влезе в сила съответно за ЕС на 1 май 2012 г., а за Република Молдова — на 1 септември 2015 г.</w:t>
      </w:r>
    </w:p>
    <w:p>
      <w:pPr>
        <w:rPr>
          <w:rFonts w:eastAsia="Times New Roman"/>
          <w:noProof/>
          <w:szCs w:val="24"/>
        </w:rPr>
      </w:pPr>
      <w:r>
        <w:rPr>
          <w:noProof/>
        </w:rPr>
        <w:t>В член 6 от Конвенцията се предвижда всяка договаряща страна да вземе подходящи мерки, за да гарантира нейното ефективно прилагане. С оглед на това Митническият подкомитет, създаден по силата на Споразумението за асоцииране между Европейския съюз и Европейската общност за атомна енергия и техните държави членки, от една страна, и Република Молдова, от друга страна</w:t>
      </w:r>
      <w:r>
        <w:rPr>
          <w:rStyle w:val="FootnoteReference"/>
          <w:noProof/>
        </w:rPr>
        <w:footnoteReference w:id="3"/>
      </w:r>
      <w:r>
        <w:rPr>
          <w:noProof/>
        </w:rPr>
        <w:t>, следва да приеме решение за замяна на Протокол II относно определението на понятието „продукти с произход“ и методите на административно сътрудничество с нов протокол, в който по отношение на правилата за произход се прави препратка към Конвенцията. Съветът следва да определи позицията, която да заеме ЕС в рамките на Митническия подкомитет.</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rPr>
          <w:rFonts w:eastAsia="Times New Roman"/>
          <w:b/>
          <w:noProof/>
          <w:szCs w:val="24"/>
        </w:rPr>
      </w:pPr>
      <w:r>
        <w:rPr>
          <w:noProof/>
        </w:rPr>
        <w:t>Правното основание за решението на Съвета е член 207, параграф 4, първата алинея, във връзка с член 218, параграф 9 от Договора за функционирането на Европейския съюз.</w:t>
      </w:r>
    </w:p>
    <w:p>
      <w:pPr>
        <w:pStyle w:val="ManualHeading2"/>
        <w:rPr>
          <w:rFonts w:eastAsia="Arial Unicode MS"/>
          <w:noProof/>
          <w:u w:color="000000"/>
          <w:bdr w:val="nil"/>
        </w:rPr>
      </w:pPr>
      <w:r>
        <w:rPr>
          <w:noProof/>
        </w:rPr>
        <w:t>•</w:t>
      </w:r>
      <w:r>
        <w:rPr>
          <w:noProof/>
        </w:rPr>
        <w:tab/>
        <w:t>Субсидиарност (при неизключителна компетентност)</w:t>
      </w:r>
    </w:p>
    <w:p>
      <w:pPr>
        <w:rPr>
          <w:rFonts w:eastAsia="Times New Roman"/>
          <w:noProof/>
          <w:szCs w:val="24"/>
        </w:rPr>
      </w:pPr>
      <w:r>
        <w:rPr>
          <w:noProof/>
        </w:rPr>
        <w:t>Предложението е от изключителната компетентност на Съюза.</w:t>
      </w:r>
    </w:p>
    <w:p>
      <w:pPr>
        <w:pStyle w:val="ManualHeading2"/>
        <w:rPr>
          <w:rFonts w:eastAsia="Arial Unicode MS"/>
          <w:noProof/>
          <w:u w:color="000000"/>
          <w:bdr w:val="nil"/>
        </w:rPr>
      </w:pPr>
      <w:r>
        <w:rPr>
          <w:noProof/>
        </w:rPr>
        <w:t>•</w:t>
      </w:r>
      <w:r>
        <w:rPr>
          <w:noProof/>
        </w:rPr>
        <w:tab/>
        <w:t>Избор на инструмент</w:t>
      </w:r>
    </w:p>
    <w:p>
      <w:pPr>
        <w:rPr>
          <w:rFonts w:eastAsia="Times New Roman"/>
          <w:noProof/>
          <w:szCs w:val="24"/>
        </w:rPr>
      </w:pPr>
      <w:r>
        <w:rPr>
          <w:noProof/>
        </w:rPr>
        <w:t>Предлаган инструмент: решение на Съвета.</w:t>
      </w:r>
    </w:p>
    <w:p>
      <w:pPr>
        <w:pStyle w:val="ManualHeading1"/>
        <w:rPr>
          <w:noProof/>
        </w:rPr>
      </w:pPr>
      <w:r>
        <w:rPr>
          <w:noProof/>
        </w:rPr>
        <w:t>3.</w:t>
      </w:r>
      <w:r>
        <w:rPr>
          <w:noProof/>
        </w:rPr>
        <w:tab/>
        <w:t>РЕЗУЛТАТИ ОТ ПОСЛЕДВАЩИ ОЦЕНКИ, КОНСУЛТАЦИИ СЪС ЗАИНТЕРЕСОВАНИТЕ СТРАНИ И ОЦЕНКИ НА ВЪЗДЕЙСТВИЕТО</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rPr>
          <w:rFonts w:eastAsia="Times New Roman"/>
          <w:noProof/>
          <w:szCs w:val="24"/>
        </w:rPr>
      </w:pPr>
      <w:r>
        <w:rPr>
          <w:noProof/>
        </w:rPr>
        <w:t>Държавите — членки на ЕС, бяха информирани за проекта на решение на Съвета в рамките на секция „Произход“ на Комитета по Митническия кодекс на 30 септември 2015 г.</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Използването на външни експертни становища не бе необходимо.</w:t>
      </w:r>
    </w:p>
    <w:p>
      <w:pPr>
        <w:pStyle w:val="ManualHeading2"/>
        <w:rPr>
          <w:rFonts w:eastAsia="Arial Unicode MS"/>
          <w:noProof/>
          <w:u w:color="000000"/>
          <w:bdr w:val="nil"/>
        </w:rPr>
      </w:pPr>
      <w:r>
        <w:rPr>
          <w:noProof/>
        </w:rPr>
        <w:t>•</w:t>
      </w:r>
      <w:r>
        <w:rPr>
          <w:noProof/>
        </w:rPr>
        <w:tab/>
        <w:t>Оценка на въздействието</w:t>
      </w:r>
    </w:p>
    <w:p>
      <w:pPr>
        <w:rPr>
          <w:rFonts w:eastAsia="Times New Roman"/>
          <w:noProof/>
          <w:szCs w:val="24"/>
        </w:rPr>
      </w:pPr>
      <w:r>
        <w:rPr>
          <w:noProof/>
        </w:rPr>
        <w:t>Не бе необходимо да се извършва и оценка на въздействието, тъй като предложените изменения са от техническо естество и не засягат същността на действащия понастоящем протокол относно правилата за произход.</w:t>
      </w:r>
    </w:p>
    <w:p>
      <w:pPr>
        <w:pBdr>
          <w:top w:val="nil"/>
          <w:left w:val="nil"/>
          <w:bottom w:val="nil"/>
          <w:right w:val="nil"/>
          <w:between w:val="nil"/>
          <w:bar w:val="nil"/>
        </w:pBdr>
        <w:spacing w:before="0" w:after="240"/>
        <w:rPr>
          <w:rFonts w:eastAsia="Arial Unicode MS"/>
          <w:noProof/>
        </w:rPr>
      </w:pPr>
    </w:p>
    <w:p>
      <w:pPr>
        <w:rPr>
          <w:noProof/>
        </w:rPr>
        <w:sectPr>
          <w:footerReference w:type="default" r:id="rId11"/>
          <w:footerReference w:type="first" r:id="rId12"/>
          <w:pgSz w:w="11907" w:h="16839"/>
          <w:pgMar w:top="1134" w:right="1417" w:bottom="1134" w:left="1417" w:header="709" w:footer="709" w:gutter="0"/>
          <w:pgNumType w:start="2"/>
          <w:cols w:space="708"/>
          <w:docGrid w:linePitch="360"/>
        </w:sectPr>
      </w:pPr>
    </w:p>
    <w:p>
      <w:pPr>
        <w:pStyle w:val="Rfrenceinterinstitutionnelle"/>
        <w:rPr>
          <w:noProof/>
        </w:rPr>
      </w:pPr>
      <w:r>
        <w:rPr>
          <w:noProof/>
        </w:rPr>
        <w:t>2016/0040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да бъде заета от името на Европейския съюз в рамките на Митническия подкомитет, създаден по силата на Споразумението за асоцииране между Европейския съюз и Европейската общност за атомна енергия и техните държави членки, от една страна, и Република Молдова, от друга страна, във връзка със замяната на Протокол II относно определението на понятието „продукти с произход“ и методите на административно сътрудничество към посоченото споразумение с нов протокол, в който по отношение на правилата за произход се прави препратка към Регионалната конвенция за паневросредиземноморските преференциални правила за произход</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207, параграф 4, първата алинея,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Протокол II към Споразумението за асоцииране между Европейския съюз и Европейската общност за атомна енергия и техните държави членки, от една страна, и Република Молдова, от друга страна</w:t>
      </w:r>
      <w:r>
        <w:rPr>
          <w:rStyle w:val="FootnoteReference"/>
          <w:noProof/>
        </w:rPr>
        <w:footnoteReference w:id="4"/>
      </w:r>
      <w:r>
        <w:rPr>
          <w:noProof/>
        </w:rPr>
        <w:t xml:space="preserve"> (наричано по-долу „Споразумението“) се отнася до определението на понятието „продукти с произход“ и до методите на административно сътрудничество (наричан по-долу „Протокол II“).</w:t>
      </w:r>
    </w:p>
    <w:p>
      <w:pPr>
        <w:pStyle w:val="ManualConsidrant"/>
        <w:rPr>
          <w:noProof/>
        </w:rPr>
      </w:pPr>
      <w:r>
        <w:t>(2)</w:t>
      </w:r>
      <w:r>
        <w:tab/>
      </w:r>
      <w:r>
        <w:rPr>
          <w:noProof/>
        </w:rPr>
        <w:t>Голяма част от съдържащите се в Споразумението за асоцииране разпоредби относно търговията и свързаните с търговията въпроси се прилагат временно от 1 септември 2014 г.</w:t>
      </w:r>
    </w:p>
    <w:p>
      <w:pPr>
        <w:pStyle w:val="ManualConsidrant"/>
        <w:rPr>
          <w:noProof/>
        </w:rPr>
      </w:pPr>
      <w:r>
        <w:t>(3)</w:t>
      </w:r>
      <w:r>
        <w:tab/>
      </w:r>
      <w:r>
        <w:rPr>
          <w:noProof/>
        </w:rPr>
        <w:t>В Регионалната конвенция за паневросредиземноморските преференциални правила за произход</w:t>
      </w:r>
      <w:r>
        <w:rPr>
          <w:rStyle w:val="FootnoteReference"/>
          <w:noProof/>
        </w:rPr>
        <w:footnoteReference w:id="5"/>
      </w:r>
      <w:r>
        <w:rPr>
          <w:noProof/>
        </w:rPr>
        <w:t xml:space="preserve"> (наричана по-долу „Конвенцията“) се определят разпоредби относно произхода на стоките, които се търгуват по силата на съответните споразумения, сключени между договарящите страни.</w:t>
      </w:r>
    </w:p>
    <w:p>
      <w:pPr>
        <w:pStyle w:val="ManualConsidrant"/>
        <w:rPr>
          <w:noProof/>
        </w:rPr>
      </w:pPr>
      <w:r>
        <w:t>(4)</w:t>
      </w:r>
      <w:r>
        <w:tab/>
      </w:r>
      <w:r>
        <w:rPr>
          <w:noProof/>
        </w:rPr>
        <w:t>Съюзът подписа Конвенцията на 15 юни 2011 г. С Решение № 2 от 21 май 2014 г.</w:t>
      </w:r>
      <w:r>
        <w:rPr>
          <w:rStyle w:val="FootnoteReference"/>
          <w:noProof/>
        </w:rPr>
        <w:footnoteReference w:id="6"/>
      </w:r>
      <w:r>
        <w:rPr>
          <w:noProof/>
        </w:rPr>
        <w:t xml:space="preserve"> Съвместният комитет на Конвенцията се произнесе, че Република Молдова следва да бъде поканена да се присъедини към Конвенцията.</w:t>
      </w:r>
    </w:p>
    <w:p>
      <w:pPr>
        <w:pStyle w:val="ManualConsidrant"/>
        <w:rPr>
          <w:noProof/>
        </w:rPr>
      </w:pPr>
      <w:r>
        <w:t>(5)</w:t>
      </w:r>
      <w:r>
        <w:tab/>
      </w:r>
      <w:r>
        <w:rPr>
          <w:noProof/>
        </w:rPr>
        <w:t>Съюзът и Република Молдова депозираха своите документи за приемане при депозитаря на Конвенцията съответно на 26 март 2012 г. и на 31 юли 2015 г. В резултат на това и съгласно член 10, параграф 3 от Конвенцията тя влезе в сила съответно за Съюза на 1 май 2012 г., а за Република Молдова — на 1 септември 2015 г.</w:t>
      </w:r>
    </w:p>
    <w:p>
      <w:pPr>
        <w:pStyle w:val="ManualConsidrant"/>
        <w:rPr>
          <w:noProof/>
        </w:rPr>
      </w:pPr>
      <w:r>
        <w:t>(6)</w:t>
      </w:r>
      <w:r>
        <w:tab/>
      </w:r>
      <w:r>
        <w:rPr>
          <w:noProof/>
        </w:rPr>
        <w:t>В член 6 от Конвенцията се предвижда всяка договаряща страна да вземе подходящи мерки, за да гарантира нейното ефективно прилагане. С оглед на това Митническият подкомитет, създаден по силата на Споразумението, следва да приеме решение за замяна на Протокол II с нов протокол, в който по отношение на правилата за произход се прави препратка към Конвенцията.</w:t>
      </w:r>
    </w:p>
    <w:p>
      <w:pPr>
        <w:pStyle w:val="ManualConsidrant"/>
        <w:rPr>
          <w:noProof/>
        </w:rPr>
      </w:pPr>
      <w:r>
        <w:t>(7)</w:t>
      </w:r>
      <w:r>
        <w:tab/>
      </w:r>
      <w:r>
        <w:rPr>
          <w:noProof/>
        </w:rPr>
        <w:t>Поради това позицията на Съюза в рамките на Митническия подкомитет следва да се основава на приложения проект на решение,</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Позицията, която да бъде заета от името на Европейския съюз в рамките на Митническия подкомитет, създаден по силата на Споразумението за асоцииране между Европейския съюз и Европейската общност за атомна енергия и техните държави членки, от една страна, и Република Молдова, от друга страна, във връзка със замяната на Протокол II относно определението на понятието „продукти с произход“ и методите на административно сътрудничество към посоченото споразумение с нов протокол, в който по отношение на правилата за произход се прави препратка към Регионалната конвенция за паневросредиземноморските преференциални правила за произход, се основава на проекта на решение на Митническия подкомитет, приложен към настоящото решение.</w:t>
      </w:r>
    </w:p>
    <w:p>
      <w:pPr>
        <w:rPr>
          <w:noProof/>
        </w:rPr>
      </w:pPr>
      <w:r>
        <w:rPr>
          <w:noProof/>
        </w:rPr>
        <w:t>Представителите на Съюза в Митническия подкомитет може да одобряват внасянето на незначителни промени в проекта на решение на Митническия подкомитет, без да е необходимо допълнително решение на Съвета.</w:t>
      </w:r>
    </w:p>
    <w:p>
      <w:pPr>
        <w:pStyle w:val="Titrearticle"/>
        <w:keepNext w:val="0"/>
        <w:rPr>
          <w:noProof/>
        </w:rPr>
      </w:pPr>
      <w:r>
        <w:rPr>
          <w:noProof/>
        </w:rPr>
        <w:t>Член 2</w:t>
      </w:r>
    </w:p>
    <w:p>
      <w:pPr>
        <w:keepLines/>
        <w:rPr>
          <w:noProof/>
        </w:rPr>
      </w:pPr>
      <w:r>
        <w:rPr>
          <w:noProof/>
        </w:rPr>
        <w:t xml:space="preserve">Решението на Митническия подкомитет се публикува в </w:t>
      </w:r>
      <w:r>
        <w:rPr>
          <w:i/>
          <w:noProof/>
        </w:rPr>
        <w:t>Официален вестник на Европейския съюз</w:t>
      </w:r>
      <w:r>
        <w:rPr>
          <w:noProof/>
        </w:rPr>
        <w:t>.</w:t>
      </w:r>
    </w:p>
    <w:p>
      <w:pPr>
        <w:pStyle w:val="Titrearticle"/>
        <w:rPr>
          <w:noProof/>
        </w:rPr>
      </w:pPr>
      <w:r>
        <w:rPr>
          <w:noProof/>
        </w:rPr>
        <w:t>Член 3</w:t>
      </w:r>
    </w:p>
    <w:p>
      <w:pPr>
        <w:keepLines/>
        <w:rPr>
          <w:noProof/>
        </w:rPr>
      </w:pPr>
      <w:r>
        <w:rPr>
          <w:noProof/>
        </w:rPr>
        <w:t>Настоящото решение влиза в сила в деня на приемането му.</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tab/>
        <w:t>ОВ L 54, 26.2.2013 г., стр. 4.</w:t>
      </w:r>
    </w:p>
  </w:footnote>
  <w:footnote w:id="2">
    <w:p>
      <w:pPr>
        <w:pStyle w:val="FootnoteText"/>
        <w:rPr>
          <w:lang w:val="nl-BE"/>
        </w:rPr>
      </w:pPr>
      <w:r>
        <w:rPr>
          <w:rStyle w:val="FootnoteReference"/>
        </w:rPr>
        <w:footnoteRef/>
      </w:r>
      <w:r>
        <w:tab/>
        <w:t>ОВ L 217, 23.7.2014 г., стр. 88.</w:t>
      </w:r>
    </w:p>
  </w:footnote>
  <w:footnote w:id="3">
    <w:p>
      <w:pPr>
        <w:pStyle w:val="FootnoteText"/>
        <w:rPr>
          <w:lang w:val="nl-BE"/>
        </w:rPr>
      </w:pPr>
      <w:r>
        <w:rPr>
          <w:rStyle w:val="FootnoteReference"/>
        </w:rPr>
        <w:footnoteRef/>
      </w:r>
      <w:r>
        <w:tab/>
        <w:t>ОВ L 260, 30.8.2014 г., стр. 4.</w:t>
      </w:r>
    </w:p>
  </w:footnote>
  <w:footnote w:id="4">
    <w:p>
      <w:pPr>
        <w:pStyle w:val="FootnoteText"/>
        <w:rPr>
          <w:lang w:val="nl-BE"/>
        </w:rPr>
      </w:pPr>
      <w:r>
        <w:rPr>
          <w:rStyle w:val="FootnoteReference"/>
        </w:rPr>
        <w:footnoteRef/>
      </w:r>
      <w:r>
        <w:tab/>
      </w:r>
      <w:r>
        <w:rPr>
          <w:rStyle w:val="FootnoteReference"/>
        </w:rPr>
        <w:footnoteRef/>
      </w:r>
      <w:r>
        <w:t>ОВ L 260, 30.8.2014 г., стр. 4.</w:t>
      </w:r>
    </w:p>
  </w:footnote>
  <w:footnote w:id="5">
    <w:p>
      <w:pPr>
        <w:pStyle w:val="FootnoteText"/>
        <w:rPr>
          <w:lang w:val="nl-BE"/>
        </w:rPr>
      </w:pPr>
      <w:r>
        <w:rPr>
          <w:rStyle w:val="FootnoteReference"/>
        </w:rPr>
        <w:footnoteRef/>
      </w:r>
      <w:r>
        <w:tab/>
      </w:r>
      <w:r>
        <w:rPr>
          <w:rStyle w:val="FootnoteReference"/>
        </w:rPr>
        <w:footnoteRef/>
      </w:r>
      <w:r>
        <w:t>ОВ L 54, 26.2.2013 г., стр. 4.</w:t>
      </w:r>
    </w:p>
  </w:footnote>
  <w:footnote w:id="6">
    <w:p>
      <w:pPr>
        <w:pStyle w:val="FootnoteText"/>
        <w:rPr>
          <w:lang w:val="nl-BE"/>
        </w:rPr>
      </w:pPr>
      <w:r>
        <w:rPr>
          <w:rStyle w:val="FootnoteReference"/>
        </w:rPr>
        <w:footnoteRef/>
      </w:r>
      <w:r>
        <w:tab/>
        <w:t>ОВ L 217, 23.7.2014 г., стр. 88.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7DEBC4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964F84E"/>
    <w:lvl w:ilvl="0">
      <w:start w:val="1"/>
      <w:numFmt w:val="decimal"/>
      <w:pStyle w:val="ListNumber3"/>
      <w:lvlText w:val="%1."/>
      <w:lvlJc w:val="left"/>
      <w:pPr>
        <w:tabs>
          <w:tab w:val="num" w:pos="926"/>
        </w:tabs>
        <w:ind w:left="926" w:hanging="360"/>
      </w:pPr>
    </w:lvl>
  </w:abstractNum>
  <w:abstractNum w:abstractNumId="2">
    <w:nsid w:val="FFFFFF7F"/>
    <w:multiLevelType w:val="singleLevel"/>
    <w:tmpl w:val="528E6FD8"/>
    <w:lvl w:ilvl="0">
      <w:start w:val="1"/>
      <w:numFmt w:val="decimal"/>
      <w:pStyle w:val="ListNumber2"/>
      <w:lvlText w:val="%1."/>
      <w:lvlJc w:val="left"/>
      <w:pPr>
        <w:tabs>
          <w:tab w:val="num" w:pos="643"/>
        </w:tabs>
        <w:ind w:left="643" w:hanging="360"/>
      </w:pPr>
    </w:lvl>
  </w:abstractNum>
  <w:abstractNum w:abstractNumId="3">
    <w:nsid w:val="FFFFFF81"/>
    <w:multiLevelType w:val="singleLevel"/>
    <w:tmpl w:val="F554554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A04DFE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692B8D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3509B6A"/>
    <w:lvl w:ilvl="0">
      <w:start w:val="1"/>
      <w:numFmt w:val="decimal"/>
      <w:pStyle w:val="ListNumber"/>
      <w:lvlText w:val="%1."/>
      <w:lvlJc w:val="left"/>
      <w:pPr>
        <w:tabs>
          <w:tab w:val="num" w:pos="360"/>
        </w:tabs>
        <w:ind w:left="360" w:hanging="360"/>
      </w:pPr>
    </w:lvl>
  </w:abstractNum>
  <w:abstractNum w:abstractNumId="7">
    <w:nsid w:val="FFFFFF89"/>
    <w:multiLevelType w:val="singleLevel"/>
    <w:tmpl w:val="D734902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2-16 08:24:5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F992379782564BFEAD9F7B6881E1B40F"/>
    <w:docVar w:name="LW_CROSSREFERENCE" w:val="&lt;UNUSED&gt;"/>
    <w:docVar w:name="LW_DocType" w:val="COM"/>
    <w:docVar w:name="LW_EMISSION" w:val="16.2.2016"/>
    <w:docVar w:name="LW_EMISSION_ISODATE" w:val="2016-02-16"/>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40"/>
    <w:docVar w:name="LW_REF.II.NEW.CP_YEAR" w:val="2016"/>
    <w:docVar w:name="LW_REF.INST.NEW" w:val="COM"/>
    <w:docVar w:name="LW_REF.INST.NEW_ADOPTED" w:val="final"/>
    <w:docVar w:name="LW_REF.INST.NEW_TEXT" w:val="(2016) 68"/>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76?\u1072? \u1073?\u1098?\u1076?\u1077? \u1079?\u1072?\u1077?\u1090?\u1072? \u1086?\u1090? \u1080?\u1084?\u1077?\u1090?\u1086? \u1085?\u1072? \u1045?\u1074?\u1088?\u1086?\u1087?\u1077?\u1081?\u1089?\u1082?\u1080?\u1103? \u1089?\u1098?\u1102?\u1079? \u1074? \u1088?\u1072?\u1084?\u1082?\u1080?\u1090?\u1077? \u1085?\u1072? \u1052?\u1080?\u1090?\u1085?\u1080?\u1095?\u1077?\u1089?\u1082?\u1080?\u1103? \u1087?\u1086?\u1076?\u1082?\u1086?\u1084?\u1080?\u1090?\u1077?\u1090?, \u1089?\u1098?\u1079?\u1076?\u1072?\u1076?\u1077?\u1085? \u1087?\u1086? \u1089?\u1080?\u1083?\u1072?\u1090?\u1072? \u1085?\u1072? \u1057?\u1087?\u1086?\u1088?\u1072?\u1079?\u1091?\u1084?\u1077?\u1085?\u1080?\u1077?\u1090?\u1086? \u1079?\u1072? \u1072?\u1089?\u1086?\u1094?\u1080?\u1080?\u1088?\u1072?\u1085?\u1077? \u1084?\u1077?\u1078?\u1076?\u1091? \u1045?\u1074?\u1088?\u1086?\u1087?\u1077?\u1081?\u1089?\u1082?\u1080?\u1103? \u1089?\u1098?\u1102?\u1079? \u1080? \u1045?\u1074?\u1088?\u1086?\u1087?\u1077?\u1081?\u1089?\u1082?\u1072?\u1090?\u1072? \u1086?\u1073?\u1097?\u1085?\u1086?\u1089?\u1090? \u1079?\u1072? \u1072?\u1090?\u1086?\u1084?\u1085?\u1072? \u1077?\u1085?\u1077?\u1088?\u1075?\u1080?\u1103? \u1080? \u1090?\u1077?\u1093?\u1085?\u1080?\u1090?\u1077? \u1076?\u1098?\u1088?\u1078?\u1072?\u1074?\u1080? \u1095?\u1083?\u1077?\u1085?\u1082?\u1080?, \u1086?\u1090? \u1077?\u1076?\u1085?\u1072? \u1089?\u1090?\u1088?\u1072?\u1085?\u1072?, \u1080? \u1056?\u1077?\u1087?\u1091?\u1073?\u1083?\u1080?\u1082?\u1072? \u1052?\u1086?\u1083?\u1076?\u1086?\u1074?\u1072?, \u1086?\u1090? \u1076?\u1088?\u1091?\u1075?\u1072? \u1089?\u1090?\u1088?\u1072?\u1085?\u1072?, \u1074?\u1098?\u1074? \u1074?\u1088?\u1098?\u1079?\u1082?\u1072? \u1089?\u1098?\u1089? \u1079?\u1072?\u1084?\u1103?\u1085?\u1072?\u1090?\u1072? \u1085?\u1072? \u1055?\u1088?\u1086?\u1090?\u1086?\u1082?\u1086?\u1083? II \u1086?\u1090?\u1085?\u1086?\u1089?\u1085?\u1086? \u1086?\u1087?\u1088?\u1077?\u1076?\u1077?\u1083?\u1077?\u1085?\u1080?\u1077?\u1090?\u1086? \u1085?\u1072? \u1087?\u1086?\u1085?\u1103?\u1090?\u1080?\u1077?\u1090?\u1086? \u8222?\u1087?\u1088?\u1086?\u1076?\u1091?\u1082?\u1090?\u1080? \u1089? \u1087?\u1088?\u1086?\u1080?\u1079?\u1093?\u1086?\u1076?\u8220? \u1080? \u1084?\u1077?\u1090?\u1086?\u1076?\u1080?\u1090?\u1077? \u1085?\u1072? \u1072?\u1076?\u1084?\u1080?\u1085?\u1080?\u1089?\u1090?\u1088?\u1072?\u1090?\u1080?\u1074?\u1085?\u1086? \u1089?\u1098?\u1090?\u1088?\u1091?\u1076?\u1085?\u1080?\u1095?\u1077?\u1089?\u1090?\u1074?\u1086? \u1082?\u1098?\u1084? \u1087?\u1086?\u1089?\u1086?\u1095?\u1077?\u1085?\u1086?\u1090?\u1086? \u1089?\u1087?\u1086?\u1088?\u1072?\u1079?\u1091?\u1084?\u1077?\u1085?\u1080?\u1077? \u1089? \u1085?\u1086?\u1074? \u1087?\u1088?\u1086?\u1090?\u1086?\u1082?\u1086?\u1083?, \u1074? \u1082?\u1086?\u1081?\u1090?\u1086? \u1087?\u1086? \u1086?\u1090?\u1085?\u1086?\u1096?\u1077?\u1085?\u1080?\u1077? \u1085?\u1072? \u1087?\u1088?\u1072?\u1074?\u1080?\u1083?\u1072?\u1090?\u1072? \u1079?\u1072? \u1087?\u1088?\u1086?\u1080?\u1079?\u1093?\u1086?\u1076? \u1089?\u1077? \u1087?\u1088?\u1072?\u1074?\u1080? \u1087?\u1088?\u1077?\u1087?\u1088?\u1072?\u1090?\u1082?\u1072? \u1082?\u1098?\u1084? \u1056?\u1077?\u1075?\u1080?\u1086?\u1085?\u1072?\u1083?\u1085?\u1072?\u1090?\u1072? \u1082?\u1086?\u1085?\u1074?\u1077?\u1085?\u1094?\u1080?\u1103? \u1079?\u1072? \u1087?\u1072?\u1085?\u1077?\u1074?\u1088?\u1086?\u1089?\u1088?\u1077?\u1076?\u1080?\u1079?\u1077?\u1084?\u1085?\u1086?\u1084?\u1086?\u1088?\u1089?\u1082?\u1080?\u1090?\u1077? \u1087?\u1088?\u1077?\u1092?\u1077?\u1088?\u1077?\u1085?\u1094?\u1080?\u1072?\u1083?\u1085?\u1080? \u1087?\u1088?\u1072?\u1074?\u1080?\u1083?\u1072? \u1079?\u1072? \u1087?\u1088?\u1086?\u1080?\u1079?\u1093?\u1086?\u1076?"/>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214DA-B570-4E87-BE5C-D176E7A65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5</Pages>
  <Words>992</Words>
  <Characters>5710</Characters>
  <Application>Microsoft Office Word</Application>
  <DocSecurity>0</DocSecurity>
  <Lines>118</Lines>
  <Paragraphs>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2016-02-04T12:48:00Z</dcterms:created>
  <dcterms:modified xsi:type="dcterms:W3CDTF">2016-02-16T07:24:00Z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