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8B64A0CD6F484DB5F9EDB89E2E2BBE" style="width:450.7pt;height:434.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Regional Convention on pan-Euro-Mediterranean preferential rules of origin</w:t>
      </w:r>
      <w:r>
        <w:rPr>
          <w:rStyle w:val="FootnoteReference"/>
          <w:noProof/>
        </w:rPr>
        <w:footnoteReference w:id="1"/>
      </w:r>
      <w:r>
        <w:rPr>
          <w:rFonts w:eastAsia="Times New Roman"/>
          <w:noProof/>
          <w:szCs w:val="24"/>
        </w:rPr>
        <w:t xml:space="preserve"> ('the Convention') lays down provisions on the origin of goods traded under relevant Agreements concluded between the Contracting Parties. The EU signed the Convention on 15 June 2011. </w:t>
      </w:r>
      <w:r>
        <w:rPr>
          <w:noProof/>
        </w:rPr>
        <w:t>The Republic of Moldova requested to accede to the Convention on 17 July 2013 and with its Decision No 2 of 21 May 2014</w:t>
      </w:r>
      <w:r>
        <w:rPr>
          <w:rStyle w:val="FootnoteReference"/>
          <w:noProof/>
        </w:rPr>
        <w:footnoteReference w:id="2"/>
      </w:r>
      <w:r>
        <w:rPr>
          <w:noProof/>
        </w:rPr>
        <w:t>, the Joint Committee of the Convention decided that the Republic of Moldova should be invited to accede to the Convention.</w:t>
      </w:r>
    </w:p>
    <w:p>
      <w:pPr>
        <w:rPr>
          <w:rFonts w:eastAsia="Times New Roman"/>
          <w:noProof/>
          <w:szCs w:val="24"/>
        </w:rPr>
      </w:pPr>
      <w:r>
        <w:rPr>
          <w:rFonts w:eastAsia="Times New Roman"/>
          <w:noProof/>
          <w:szCs w:val="24"/>
        </w:rPr>
        <w:t>The EU and the Republic of Moldova deposited their instrument of acceptance with the depositary of the Convention on 26 March 2012 and 31 July 2015 respectively. As a consequence, in application of its Article 10(3), the Convention entered into force in relation to the EU and the Republic of Moldova on 1 May 2012 and on 1 September 2015 respectively.</w:t>
      </w:r>
    </w:p>
    <w:p>
      <w:pPr>
        <w:rPr>
          <w:rFonts w:eastAsia="Times New Roman"/>
          <w:noProof/>
          <w:szCs w:val="24"/>
        </w:rPr>
      </w:pPr>
      <w:r>
        <w:rPr>
          <w:rFonts w:eastAsia="Times New Roman"/>
          <w:noProof/>
          <w:szCs w:val="24"/>
        </w:rPr>
        <w:t xml:space="preserve">Article 6 of the Convention provides that each Contracting Party shall take appropriate measures to ensure that the Convention is effectively applied. To that effect, the Customs Sub-Committee established by the </w:t>
      </w:r>
      <w:r>
        <w:rPr>
          <w:noProof/>
        </w:rPr>
        <w:t>Association</w:t>
      </w:r>
      <w:r>
        <w:rPr>
          <w:rFonts w:eastAsia="Times New Roman"/>
          <w:noProof/>
          <w:szCs w:val="24"/>
        </w:rPr>
        <w:t xml:space="preserve"> Agreement between </w:t>
      </w:r>
      <w:r>
        <w:rPr>
          <w:noProof/>
        </w:rPr>
        <w:t>the European Union and the European Atomic Energy Community and their Member States, of the one part, and the Republic of Moldova, of the other part</w:t>
      </w:r>
      <w:r>
        <w:rPr>
          <w:rStyle w:val="FootnoteReference"/>
          <w:noProof/>
        </w:rPr>
        <w:footnoteReference w:id="3"/>
      </w:r>
      <w:r>
        <w:rPr>
          <w:rFonts w:eastAsia="Times New Roman"/>
          <w:noProof/>
          <w:szCs w:val="24"/>
        </w:rPr>
        <w:t>, should adopt a Decision replacing Protocol II concerning the definition of the concept of 'originating products' and methods of administrative cooperation by a new Protocol which, with regard to the rules of origin, refers to the Convention. The position to be taken by the EU within the Customs Sub-Committee should be established by the Council.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b/>
          <w:noProof/>
          <w:szCs w:val="24"/>
        </w:rPr>
      </w:pPr>
      <w:r>
        <w:rPr>
          <w:rFonts w:eastAsia="Times New Roman"/>
          <w:noProof/>
          <w:szCs w:val="24"/>
        </w:rPr>
        <w:t>The legal basis for the Council Decision is the first subparagraph of Article 207(4)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 xml:space="preserve">The proposal falls under the exclusive competence of the </w:t>
      </w:r>
      <w:smartTag w:uri="urn:schemas-microsoft-com:office:smarttags" w:element="place">
        <w:r>
          <w:rPr>
            <w:rFonts w:eastAsia="Times New Roman"/>
            <w:noProof/>
            <w:szCs w:val="24"/>
          </w:rPr>
          <w:t>Union</w:t>
        </w:r>
      </w:smartTag>
      <w:r>
        <w:rPr>
          <w:rFonts w:eastAsia="Times New Roman"/>
          <w:noProof/>
          <w:szCs w:val="24"/>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Proposed instrument: Council Decision.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noProof/>
          <w:szCs w:val="24"/>
        </w:rPr>
      </w:pPr>
      <w:r>
        <w:rPr>
          <w:rFonts w:eastAsia="Times New Roman"/>
          <w:noProof/>
          <w:szCs w:val="24"/>
        </w:rPr>
        <w:t xml:space="preserve">The EU Member States were informed on the draft Council Decision in the Customs Code Committee's Origin Section of 30 September 2015.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Times New Roman"/>
          <w:noProof/>
          <w:szCs w:val="24"/>
        </w:rPr>
        <w:t xml:space="preserve">No recourse to external expertise has been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Times New Roman"/>
          <w:noProof/>
          <w:szCs w:val="24"/>
        </w:rPr>
      </w:pPr>
      <w:r>
        <w:rPr>
          <w:rFonts w:eastAsia="Times New Roman"/>
          <w:noProof/>
          <w:szCs w:val="24"/>
        </w:rPr>
        <w:t>Furthermore, it has not been necessary to conduct an impact assessment, since the proposed amendments are technical in nature and do not affect the substance of the protocol on rules of origin currently in effect.</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2016/0040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Customs Sub-Committee established by the Association Agreement between the European Union and the European Atomic Energy Community and their Member States, of the one part, and the Republic of Moldova, of the other part, as regards the replacement of Protocol II to that Agreement, concerning the definition of the concept of 'originating products' and methods of administrative cooperation, by a new protocol which, as regards the rules of origin, refers to the Regional Convention on pan-Euro-Mediterranean preferential rules of origin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Protocol II to the Association Agreement between the European Union and the European Atomic Energy Community and their Member States, of the one part, and the Republic of Moldova, of the other part</w:t>
      </w:r>
      <w:r>
        <w:rPr>
          <w:rStyle w:val="FootnoteReference"/>
          <w:noProof/>
        </w:rPr>
        <w:footnoteReference w:id="4"/>
      </w:r>
      <w:r>
        <w:rPr>
          <w:noProof/>
        </w:rPr>
        <w:t xml:space="preserve"> (‘the Agreement’), concerns the definition of the concept of ‘originating products’ and methods of administrative cooperation (‘Protocol II’).</w:t>
      </w:r>
    </w:p>
    <w:p>
      <w:pPr>
        <w:pStyle w:val="ManualConsidrant"/>
        <w:rPr>
          <w:noProof/>
        </w:rPr>
      </w:pPr>
      <w:r>
        <w:t>(2)</w:t>
      </w:r>
      <w:r>
        <w:tab/>
      </w:r>
      <w:r>
        <w:rPr>
          <w:noProof/>
        </w:rPr>
        <w:t>Most of the Trade and Trade-related matters of the Association Agreement, including Protocol II, are applied provisionally since 1 September 2014.</w:t>
      </w:r>
    </w:p>
    <w:p>
      <w:pPr>
        <w:pStyle w:val="ManualConsidrant"/>
        <w:rPr>
          <w:noProof/>
        </w:rPr>
      </w:pPr>
      <w:r>
        <w:t>(3)</w:t>
      </w:r>
      <w:r>
        <w:tab/>
      </w:r>
      <w:r>
        <w:rPr>
          <w:noProof/>
        </w:rPr>
        <w:t>The Regional Convention on pan-Euro-Mediterranean preferential rules of origin</w:t>
      </w:r>
      <w:r>
        <w:rPr>
          <w:rStyle w:val="FootnoteReference"/>
          <w:noProof/>
        </w:rPr>
        <w:footnoteReference w:id="5"/>
      </w:r>
      <w:r>
        <w:rPr>
          <w:noProof/>
        </w:rPr>
        <w:t xml:space="preserve"> (‘the Convention’) lays down provisions on the origin of goods traded under relevant agreements concluded between the Contracting Parties.</w:t>
      </w:r>
    </w:p>
    <w:p>
      <w:pPr>
        <w:pStyle w:val="ManualConsidrant"/>
        <w:rPr>
          <w:noProof/>
        </w:rPr>
      </w:pPr>
      <w:r>
        <w:t>(4)</w:t>
      </w:r>
      <w:r>
        <w:tab/>
      </w:r>
      <w:r>
        <w:rPr>
          <w:noProof/>
        </w:rPr>
        <w:t>The Union signed the Convention on 15 June 2011. With its Decision No 2 of 21 May 2014</w:t>
      </w:r>
      <w:r>
        <w:rPr>
          <w:rStyle w:val="FootnoteReference"/>
          <w:noProof/>
        </w:rPr>
        <w:footnoteReference w:id="6"/>
      </w:r>
      <w:r>
        <w:rPr>
          <w:noProof/>
        </w:rPr>
        <w:t>, the Joint Committee of the Convention decided that the Republic of Moldova should be invited to accede to the Convention.</w:t>
      </w:r>
    </w:p>
    <w:p>
      <w:pPr>
        <w:pStyle w:val="ManualConsidrant"/>
        <w:rPr>
          <w:noProof/>
        </w:rPr>
      </w:pPr>
      <w:r>
        <w:t>(5)</w:t>
      </w:r>
      <w:r>
        <w:tab/>
      </w:r>
      <w:r>
        <w:rPr>
          <w:noProof/>
        </w:rPr>
        <w:t xml:space="preserve">The Union and the Republic of Moldova deposited their instruments of acceptance with the depositary of the Convention on 26 March 2012 and </w:t>
      </w:r>
      <w:r>
        <w:rPr>
          <w:rFonts w:eastAsia="Times New Roman"/>
          <w:noProof/>
          <w:szCs w:val="24"/>
        </w:rPr>
        <w:t xml:space="preserve">31 July 2015 </w:t>
      </w:r>
      <w:r>
        <w:rPr>
          <w:noProof/>
        </w:rPr>
        <w:t>respectively. Consequently, in application of Article 10(3) of the Convention, the Convention entered into force in relation to the Union and the Republic of Moldova</w:t>
      </w:r>
      <w:r>
        <w:rPr>
          <w:rFonts w:eastAsia="Times New Roman"/>
          <w:noProof/>
          <w:szCs w:val="24"/>
        </w:rPr>
        <w:t xml:space="preserve"> </w:t>
      </w:r>
      <w:r>
        <w:rPr>
          <w:noProof/>
        </w:rPr>
        <w:t xml:space="preserve">on 1 May 2012 and on </w:t>
      </w:r>
      <w:r>
        <w:rPr>
          <w:rFonts w:eastAsia="Times New Roman"/>
          <w:noProof/>
          <w:szCs w:val="24"/>
        </w:rPr>
        <w:t>1 September 2015 respectively.</w:t>
      </w:r>
    </w:p>
    <w:p>
      <w:pPr>
        <w:pStyle w:val="ManualConsidrant"/>
        <w:rPr>
          <w:noProof/>
        </w:rPr>
      </w:pPr>
      <w:r>
        <w:lastRenderedPageBreak/>
        <w:t>(6)</w:t>
      </w:r>
      <w:r>
        <w:tab/>
      </w:r>
      <w:r>
        <w:rPr>
          <w:noProof/>
        </w:rPr>
        <w:t>Article 6 of the Convention provides that each Contracting Party is to take appropriate measures to ensure that the Convention is effectively applied. To that effect, the Customs Sub-Committee established by the Agreement should adopt a decision replacing Protocol II by a new protocol which, with regard to the rules of origin, refers to the Convention.</w:t>
      </w:r>
    </w:p>
    <w:p>
      <w:pPr>
        <w:pStyle w:val="ManualConsidrant"/>
        <w:rPr>
          <w:noProof/>
        </w:rPr>
      </w:pPr>
      <w:r>
        <w:t>(7)</w:t>
      </w:r>
      <w:r>
        <w:tab/>
      </w:r>
      <w:r>
        <w:rPr>
          <w:noProof/>
        </w:rPr>
        <w:t>The position of the Union within the Customs Sub-Committee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European Union within the Customs Sub-Committee established by the Association</w:t>
      </w:r>
      <w:r>
        <w:rPr>
          <w:rFonts w:eastAsia="Times New Roman"/>
          <w:noProof/>
          <w:szCs w:val="24"/>
        </w:rPr>
        <w:t xml:space="preserve"> Agreement between </w:t>
      </w:r>
      <w:r>
        <w:rPr>
          <w:noProof/>
        </w:rPr>
        <w:t>the European Union and the European Atomic Energy Community and their Member States, of the one part, and the Republic of Moldova, of the other part, as regards the replacement of Protocol II to that Agreement, concerning the definition of the concept of ‘originating products’ and methods of administrative cooperation, by a new protocol which, as regards the rules of origin, refers to the Regional Convention on pan-Euro-Mediterranean preferential rules of origin, shall be based on the draft decision of the Customs Sub-Committee attached to this Decision.</w:t>
      </w:r>
    </w:p>
    <w:p>
      <w:pPr>
        <w:rPr>
          <w:noProof/>
        </w:rPr>
      </w:pPr>
      <w:r>
        <w:rPr>
          <w:noProof/>
        </w:rPr>
        <w:t>Minor changes to the draft decision of the Customs Sub-Committee may be agreed to by the representatives of the Union in the Customs Sub-Committee without further decision of the Council.</w:t>
      </w:r>
    </w:p>
    <w:p>
      <w:pPr>
        <w:pStyle w:val="Titrearticle"/>
        <w:keepNext w:val="0"/>
        <w:rPr>
          <w:noProof/>
        </w:rPr>
      </w:pPr>
      <w:r>
        <w:rPr>
          <w:noProof/>
        </w:rPr>
        <w:t>Article 2</w:t>
      </w:r>
    </w:p>
    <w:p>
      <w:pPr>
        <w:keepLines/>
        <w:rPr>
          <w:noProof/>
        </w:rPr>
      </w:pPr>
      <w:r>
        <w:rPr>
          <w:noProof/>
        </w:rPr>
        <w:t xml:space="preserve">The decision of the Customs Sub-Committee shall be published in the </w:t>
      </w:r>
      <w:r>
        <w:rPr>
          <w:i/>
          <w:iCs/>
          <w:noProof/>
        </w:rPr>
        <w:t>Official Journal of the European Union</w:t>
      </w:r>
      <w:r>
        <w:rPr>
          <w:noProof/>
        </w:rPr>
        <w: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54, 26.2.2013, p. 4.</w:t>
      </w:r>
    </w:p>
  </w:footnote>
  <w:footnote w:id="2">
    <w:p>
      <w:pPr>
        <w:pStyle w:val="FootnoteText"/>
        <w:rPr>
          <w:lang w:val="nl-BE"/>
        </w:rPr>
      </w:pPr>
      <w:r>
        <w:rPr>
          <w:rStyle w:val="FootnoteReference"/>
        </w:rPr>
        <w:footnoteRef/>
      </w:r>
      <w:r>
        <w:tab/>
        <w:t>OJ L 217, 23.7.2014, p. 88.</w:t>
      </w:r>
    </w:p>
  </w:footnote>
  <w:footnote w:id="3">
    <w:p>
      <w:pPr>
        <w:pStyle w:val="FootnoteText"/>
        <w:rPr>
          <w:lang w:val="pl-PL"/>
        </w:rPr>
      </w:pPr>
      <w:r>
        <w:rPr>
          <w:rStyle w:val="FootnoteReference"/>
        </w:rPr>
        <w:footnoteRef/>
      </w:r>
      <w:r>
        <w:rPr>
          <w:lang w:val="pl-PL"/>
        </w:rPr>
        <w:tab/>
        <w:t>OJ L 260, 30.8.2014, p. 4.</w:t>
      </w:r>
    </w:p>
  </w:footnote>
  <w:footnote w:id="4">
    <w:p>
      <w:pPr>
        <w:pStyle w:val="FootnoteText"/>
        <w:rPr>
          <w:lang w:val="pl-PL"/>
        </w:rPr>
      </w:pPr>
      <w:r>
        <w:rPr>
          <w:rStyle w:val="FootnoteReference"/>
        </w:rPr>
        <w:footnoteRef/>
      </w:r>
      <w:r>
        <w:rPr>
          <w:lang w:val="pl-PL"/>
        </w:rPr>
        <w:tab/>
        <w:t>OJ L 260, 30.8.2014, p. 4.</w:t>
      </w:r>
    </w:p>
  </w:footnote>
  <w:footnote w:id="5">
    <w:p>
      <w:pPr>
        <w:pStyle w:val="FootnoteText"/>
        <w:rPr>
          <w:lang w:val="pl-PL"/>
        </w:rPr>
      </w:pPr>
      <w:r>
        <w:rPr>
          <w:rStyle w:val="FootnoteReference"/>
          <w:lang w:val="en-US"/>
        </w:rPr>
        <w:footnoteRef/>
      </w:r>
      <w:r>
        <w:rPr>
          <w:lang w:val="pl-PL"/>
        </w:rPr>
        <w:tab/>
        <w:t>OJ L 54, 26.2.2013, p. 4.</w:t>
      </w:r>
    </w:p>
  </w:footnote>
  <w:footnote w:id="6">
    <w:p>
      <w:pPr>
        <w:pStyle w:val="FootnoteText"/>
        <w:rPr>
          <w:lang w:val="nl-BE"/>
        </w:rPr>
      </w:pPr>
      <w:r>
        <w:rPr>
          <w:rStyle w:val="FootnoteReference"/>
        </w:rPr>
        <w:footnoteRef/>
      </w:r>
      <w:r>
        <w:tab/>
        <w:t>OJ L 217, 23.7.2014, p.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EB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64F8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8E6F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5455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04D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2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509B6A"/>
    <w:lvl w:ilvl="0">
      <w:start w:val="1"/>
      <w:numFmt w:val="decimal"/>
      <w:pStyle w:val="ListNumber"/>
      <w:lvlText w:val="%1."/>
      <w:lvlJc w:val="left"/>
      <w:pPr>
        <w:tabs>
          <w:tab w:val="num" w:pos="360"/>
        </w:tabs>
        <w:ind w:left="360" w:hanging="360"/>
      </w:pPr>
    </w:lvl>
  </w:abstractNum>
  <w:abstractNum w:abstractNumId="7">
    <w:nsid w:val="FFFFFF89"/>
    <w:multiLevelType w:val="singleLevel"/>
    <w:tmpl w:val="D7349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8"/>
  </w:num>
  <w:num w:numId="7">
    <w:abstractNumId w:val="12"/>
  </w:num>
  <w:num w:numId="8">
    <w:abstractNumId w:val="20"/>
  </w:num>
  <w:num w:numId="9">
    <w:abstractNumId w:val="11"/>
  </w:num>
  <w:num w:numId="10">
    <w:abstractNumId w:val="13"/>
  </w:num>
  <w:num w:numId="11">
    <w:abstractNumId w:val="9"/>
  </w:num>
  <w:num w:numId="12">
    <w:abstractNumId w:val="19"/>
  </w:num>
  <w:num w:numId="13">
    <w:abstractNumId w:val="8"/>
  </w:num>
  <w:num w:numId="14">
    <w:abstractNumId w:val="14"/>
  </w:num>
  <w:num w:numId="15">
    <w:abstractNumId w:val="16"/>
  </w:num>
  <w:num w:numId="16">
    <w:abstractNumId w:val="17"/>
  </w:num>
  <w:num w:numId="17">
    <w:abstractNumId w:val="10"/>
  </w:num>
  <w:num w:numId="18">
    <w:abstractNumId w:val="15"/>
  </w:num>
  <w:num w:numId="19">
    <w:abstractNumId w:val="21"/>
  </w:num>
  <w:num w:numId="20">
    <w:abstractNumId w:val="6"/>
  </w:num>
  <w:num w:numId="21">
    <w:abstractNumId w:val="2"/>
  </w:num>
  <w:num w:numId="22">
    <w:abstractNumId w:val="1"/>
  </w:num>
  <w:num w:numId="23">
    <w:abstractNumId w:val="0"/>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8:22: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D8B64A0CD6F484DB5F9EDB89E2E2BBE"/>
    <w:docVar w:name="LW_CROSSREFERENCE" w:val="&lt;UNUSED&gt;"/>
    <w:docVar w:name="LW_DocType" w:val="COM"/>
    <w:docVar w:name="LW_EMISSION" w:val="16.2.2016"/>
    <w:docVar w:name="LW_EMISSION_ISODATE" w:val="2016-02-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40"/>
    <w:docVar w:name="LW_REF.II.NEW.CP_YEAR" w:val="2016"/>
    <w:docVar w:name="LW_REF.INST.NEW" w:val="COM"/>
    <w:docVar w:name="LW_REF.INST.NEW_ADOPTED" w:val="final"/>
    <w:docVar w:name="LW_REF.INST.NEW_TEXT" w:val="(2016) 68"/>
    <w:docVar w:name="LW_REF.INTERNE" w:val="&lt;UNUSED&gt;"/>
    <w:docVar w:name="LW_SOUS.TITRE.OBJ.CP" w:val="&lt;UNUSED&gt;"/>
    <w:docVar w:name="LW_STATUT.CP" w:val="Proposal for a"/>
    <w:docVar w:name="LW_SUPERTITRE" w:val="&lt;UNUSED&gt;"/>
    <w:docVar w:name="LW_TITRE.OBJ.CP" w:val="on the position to be adopted on behalf of the European Union within the Customs Sub-Committee established by the Association Agreement between the European Union and the European Atomic Energy Community and their Member States, of the one part, and the Republic of Moldova, of the other part, as regards the replacement of Protocol II to that Agreement, concerning the definition of the concept of 'originating products' and methods of administrative cooperation, by a new protocol which, as regards the rules of origin, refers to the Regional Convention on pan-Euro-Mediterranean preferential rules of origi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D513-2C57-4C78-A8D2-3B0289D6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1029</Words>
  <Characters>5557</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2016-01-14T10:11:00Z</dcterms:created>
  <dcterms:modified xsi:type="dcterms:W3CDTF">2016-02-16T07:22:00Z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