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4C42F0221DE481AABCA0354BFEDFD4A" style="width:450.45pt;height:510.9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360" w:after="0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Проект на</w:t>
      </w:r>
      <w:r>
        <w:rPr>
          <w:b/>
          <w:noProof/>
        </w:rPr>
        <w:br/>
      </w:r>
      <w:r>
        <w:rPr>
          <w:b/>
          <w:noProof/>
        </w:rPr>
        <w:br/>
      </w:r>
      <w:r>
        <w:rPr>
          <w:b/>
          <w:caps/>
          <w:noProof/>
        </w:rPr>
        <w:t>РЕШЕНИЕ</w:t>
      </w:r>
      <w:r>
        <w:rPr>
          <w:b/>
          <w:noProof/>
        </w:rPr>
        <w:t xml:space="preserve"> № ... НА МИТНИЧЕСКИЯ ПОДКОМИТЕТ ЕС — РЕПУБЛИКА МОЛДОВА</w:t>
      </w:r>
    </w:p>
    <w:p>
      <w:pPr>
        <w:spacing w:before="360" w:after="0"/>
        <w:jc w:val="center"/>
        <w:rPr>
          <w:b/>
          <w:noProof/>
        </w:rPr>
      </w:pPr>
      <w:r>
        <w:rPr>
          <w:b/>
          <w:noProof/>
        </w:rPr>
        <w:t>от [...] година</w:t>
      </w:r>
    </w:p>
    <w:p>
      <w:pPr>
        <w:spacing w:before="360" w:after="0"/>
        <w:jc w:val="center"/>
        <w:rPr>
          <w:b/>
          <w:noProof/>
        </w:rPr>
      </w:pPr>
      <w:r>
        <w:rPr>
          <w:b/>
          <w:noProof/>
        </w:rPr>
        <w:t>за замяна на Протокол II относно определението на понятието „продукти с произход“ и методите на административно сътрудничество към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</w:t>
      </w:r>
    </w:p>
    <w:p>
      <w:pPr>
        <w:keepNext/>
        <w:spacing w:before="600"/>
        <w:rPr>
          <w:caps/>
          <w:noProof/>
        </w:rPr>
      </w:pPr>
      <w:r>
        <w:rPr>
          <w:caps/>
          <w:noProof/>
        </w:rPr>
        <w:t>Митническият подкомитет ЕС — Република Молдова,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член 144, параграф 2 от него,</w:t>
      </w:r>
    </w:p>
    <w:p>
      <w:pPr>
        <w:rPr>
          <w:noProof/>
        </w:rPr>
      </w:pPr>
      <w:r>
        <w:rPr>
          <w:noProof/>
        </w:rPr>
        <w:t>като взе предвид Протокол II относно определението на понятието „продукти с произход“ и методите на административно сътрудничество към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Point0number"/>
        <w:numPr>
          <w:ilvl w:val="0"/>
          <w:numId w:val="1"/>
        </w:numPr>
        <w:ind w:left="851" w:hanging="851"/>
        <w:rPr>
          <w:noProof/>
        </w:rPr>
      </w:pPr>
      <w:r>
        <w:rPr>
          <w:noProof/>
        </w:rPr>
        <w:t>В член 144, параграф 2 от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(наричано по-долу „Споразумението“), се прави позоваване на Протокол II към Споразумението (наричан по-долу „Протокол II“), в който се определят правилата за произход и се предвижда кумулация на произход между Европейския съюз и Република Молдова.</w:t>
      </w:r>
    </w:p>
    <w:p>
      <w:pPr>
        <w:pStyle w:val="Point0number"/>
        <w:numPr>
          <w:ilvl w:val="0"/>
          <w:numId w:val="1"/>
        </w:numPr>
        <w:ind w:left="851" w:hanging="851"/>
        <w:rPr>
          <w:noProof/>
        </w:rPr>
      </w:pPr>
      <w:r>
        <w:rPr>
          <w:noProof/>
        </w:rPr>
        <w:t>Голяма част от съдържащите се в Споразумението за асоцииране разпоредби относно търговията и свързаните с търговията въпроси се прилагат временно от 1 септември 2014 г.</w:t>
      </w:r>
    </w:p>
    <w:p>
      <w:pPr>
        <w:pStyle w:val="Point0number"/>
        <w:ind w:left="851" w:hanging="851"/>
        <w:rPr>
          <w:noProof/>
        </w:rPr>
      </w:pPr>
      <w:r>
        <w:rPr>
          <w:noProof/>
        </w:rPr>
        <w:t>В член 38 от Протокол II се посочва, че предвиденият в член 200 от Споразумението Митнически подкомитет може да вземе решение за изменение на разпоредбите на същия протокол.</w:t>
      </w:r>
    </w:p>
    <w:p>
      <w:pPr>
        <w:pStyle w:val="Point0number"/>
        <w:rPr>
          <w:noProof/>
        </w:rPr>
      </w:pPr>
      <w:r>
        <w:rPr>
          <w:noProof/>
        </w:rPr>
        <w:t>Целта на Регионалната конвенция за паневросредиземноморските преференциални правила за произход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(наричана по-долу „Конвенцията“) е да замени протоколите относно правилата за произход, които са в сила между държавите от паневросредиземноморския регион, с единен правен акт.</w:t>
      </w:r>
    </w:p>
    <w:p>
      <w:pPr>
        <w:pStyle w:val="Point0number"/>
        <w:rPr>
          <w:noProof/>
        </w:rPr>
      </w:pPr>
      <w:r>
        <w:rPr>
          <w:noProof/>
        </w:rPr>
        <w:t>Съюзът подписа Конвенцията на 15 юни 2011 г. С Решение № 2 от 21 май 2014 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Съвместният комитет на Конвенцията се произнесе, че Република Молдова следва да бъде поканена да се присъедини към Конвенцията.</w:t>
      </w:r>
    </w:p>
    <w:p>
      <w:pPr>
        <w:pStyle w:val="Point0number"/>
        <w:rPr>
          <w:noProof/>
        </w:rPr>
      </w:pPr>
      <w:r>
        <w:rPr>
          <w:noProof/>
        </w:rPr>
        <w:t>Съюзът и Република Молдова депозираха своите документи за приемане при депозитаря на Конвенцията съответно на 26 март 2012 г. и на 31 юли 2015 г. В резултат на това и съгласно член 10, параграф 3 от Конвенцията тя влезе в сила съответно за Съюза на 1 май 2012 г., а за Република Молдова — на 1 септември 2015 г.</w:t>
      </w:r>
    </w:p>
    <w:p>
      <w:pPr>
        <w:pStyle w:val="Point0number"/>
        <w:rPr>
          <w:noProof/>
        </w:rPr>
      </w:pPr>
      <w:r>
        <w:rPr>
          <w:noProof/>
        </w:rPr>
        <w:t>Поради това Протокол II следва да бъде заменен с нов протокол, който съдържа препратка към Конвенцията,</w:t>
      </w:r>
    </w:p>
    <w:p>
      <w:pPr>
        <w:keepNext/>
        <w:rPr>
          <w:noProof/>
        </w:rPr>
      </w:pPr>
      <w:r>
        <w:rPr>
          <w:caps/>
          <w:noProof/>
        </w:rPr>
        <w:t>ПРИЕ НАСТОЯЩОТО РЕШЕНИЕ</w:t>
      </w:r>
      <w:r>
        <w:rPr>
          <w:noProof/>
        </w:rPr>
        <w:t>: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rPr>
          <w:noProof/>
        </w:rPr>
      </w:pPr>
      <w:r>
        <w:rPr>
          <w:noProof/>
        </w:rPr>
        <w:t>Протокол II относно определението на понятието „продукти с произход“ и методите на административно сътрудничество към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се заменя с текста, поместен в приложението към настоящото решение.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То се прилага от …</w:t>
      </w:r>
    </w:p>
    <w:p>
      <w:pPr>
        <w:keepNext/>
        <w:spacing w:after="0"/>
        <w:rPr>
          <w:noProof/>
        </w:rPr>
      </w:pPr>
      <w:r>
        <w:rPr>
          <w:noProof/>
        </w:rPr>
        <w:t>Съставено в […] на […] година.</w:t>
      </w:r>
    </w:p>
    <w:p>
      <w:pPr>
        <w:keepNext/>
        <w:tabs>
          <w:tab w:val="left" w:pos="4252"/>
        </w:tabs>
        <w:spacing w:before="720" w:after="0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За Митническия подкомитет</w:t>
      </w:r>
    </w:p>
    <w:p>
      <w:pPr>
        <w:tabs>
          <w:tab w:val="left" w:pos="4252"/>
        </w:tabs>
        <w:spacing w:before="0" w:after="0"/>
        <w:jc w:val="left"/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pStyle w:val="Point0number"/>
        <w:rPr>
          <w:noProof/>
        </w:rPr>
        <w:sectPr>
          <w:footerReference w:type="default" r:id="rId16"/>
          <w:footerReference w:type="first" r:id="rId17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bookmarkStart w:id="1" w:name="DQCNUMB_1"/>
      <w:bookmarkEnd w:id="1"/>
    </w:p>
    <w:p>
      <w:pPr>
        <w:spacing w:before="0" w:after="240"/>
        <w:jc w:val="center"/>
        <w:rPr>
          <w:i/>
          <w:smallCaps/>
          <w:noProof/>
          <w:szCs w:val="20"/>
        </w:rPr>
      </w:pPr>
      <w:r>
        <w:rPr>
          <w:i/>
          <w:smallCaps/>
          <w:noProof/>
        </w:rPr>
        <w:t>Приложение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Протокол II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относно определението на понятието „продукти с произход“ и методите на административно сътрудничество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Приложими правила за произход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За целите на изпълнението на настоящото споразумение се прилагат допълнение I и съответните разпоредби от допълнение II към Регионалната конвенция за паневросредиземноморските преференциални правила за произход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(наричана по-долу „Конвенцията“).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Всички препратки към „съответното споразумение“ в допълнение I и в съответните разпоредби от допълнение II към Конвенцията се тълкуват като препратки към настоящото споразумение.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Уреждане на спорове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При възникване на спорове във връзка с процедурите за проверка по член 32 от допълнение I към Конвенцията, които не могат да бъдат уредени между митническите органи, поискали проверката, и митническите органи, отговорни за извършването на тази проверка, тези спорове се отнасят до Митническия подкомитет. Разпоредбите относно механизма за уреждане на спорове, които се съдържат в глава 14 („Уреждане на спорове“) от дял V („Търговия и свързани с търговията въпроси“) от настоящото споразумение, не се прилагат.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Във всички случаи уреждането на спорове между вносителя и митническите органи на държавата на вноса се извършва съгласно законодателството на посочената държава.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Изменения на Протокола</w:t>
      </w:r>
    </w:p>
    <w:p>
      <w:pPr>
        <w:rPr>
          <w:noProof/>
        </w:rPr>
      </w:pPr>
      <w:r>
        <w:rPr>
          <w:noProof/>
        </w:rPr>
        <w:t>Митническият подкомитет може да вземе решение за изменение на разпоредбите на настоящия протокол.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4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Оттегляне от Конвенцията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Ако Европейският съюз или Република Молдова изпрати писмено предизвестие до депозитаря на Конвенцията относно намерението си да се оттегли от Конвенцията съгласно член 9 от нея, Европейският съюз и Република Молдова започват незабавно преговори по правилата за произход за целите на изпълнението на настоящото споразумение.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До влизането в сила на такива нови договорени правила за произход, към настоящото споразумение продължават да се прилагат правилата за произход, съдържащи се в допълнение I и, когато е целесъобразно, в съответните разпоредби от допълнение II към Конвенцията, които се прилагат към момента на оттеглянето. От момента на оттеглянето обаче правилата за произход, съдържащи се в допълнение I и, когато е целесъобразно, в съответните разпоредби от допълнение II към Конвенцията, се тълкуват така, че да позволяват двустранна кумулация само между Европейския съюз и Република Молдова.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5</w:t>
      </w:r>
    </w:p>
    <w:p>
      <w:pPr>
        <w:spacing w:before="0" w:after="240"/>
        <w:jc w:val="center"/>
        <w:rPr>
          <w:b/>
          <w:noProof/>
        </w:rPr>
      </w:pPr>
      <w:r>
        <w:rPr>
          <w:b/>
          <w:noProof/>
        </w:rPr>
        <w:t>Преходни разпоредби — кумулация</w:t>
      </w:r>
    </w:p>
    <w:p>
      <w:pPr>
        <w:rPr>
          <w:caps/>
          <w:noProof/>
        </w:rPr>
      </w:pPr>
      <w:r>
        <w:rPr>
          <w:noProof/>
        </w:rPr>
        <w:t>Независимо от член 16, параграф 5 и член 21, параграф 3 от допълнение I към Конвенцията, когато кумулацията обхваща само държавите от ЕАСТ, Фарьорските острови, Европейския съюз, Турция, участниците в процеса на стабилизиране и асоцииране и Република Молдова, произходът може да бъде доказан чрез сертификат за движение EUR.1 или декларация за произход.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 L 260, 30.8.2014 г., стр. 4.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 L 54, 26.2.2013 г., стр. 4.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rPr>
          <w:rStyle w:val="FootnoteReference"/>
        </w:rPr>
        <w:footnoteRef/>
      </w:r>
      <w:r>
        <w:t>ОВ</w:t>
      </w:r>
      <w:r>
        <w:rPr>
          <w:lang w:val="pl-PL"/>
        </w:rPr>
        <w:t> L 217, 23.7.2014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88.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> L 54, 26.2.2013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95C54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1A463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582EA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969D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0900D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247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4C6A4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3CA6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6 08:24:39"/>
    <w:docVar w:name="DQCNUMB_1" w:val="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4C42F0221DE481AABCA0354BFEDFD4A"/>
    <w:docVar w:name="LW_CROSSREFERENCE" w:val="&lt;UNUSED&gt;"/>
    <w:docVar w:name="LW_DocType" w:val="ANNEX"/>
    <w:docVar w:name="LW_EMISSION" w:val="16.2.2016"/>
    <w:docVar w:name="LW_EMISSION_ISODATE" w:val="2016-02-1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2?\u1080?\u1090?\u1085?\u1080?\u1095?\u1077?\u1089?\u1082?\u1080?\u1103? \u1087?\u1086?\u1076?\u1082?\u1086?\u1084?\u1080?\u1090?\u1077?\u1090?, \u1089?\u1098?\u1079?\u1076?\u1072?\u1076?\u1077?\u1085? \u1087?\u1086? \u1089?\u1080?\u1083?\u1072?\u1090?\u1072? \u1085?\u1072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\u1072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, \u1074?\u1098?\u1074? \u1074?\u1088?\u1098?\u1079?\u1082?\u1072? \u1089?\u1098?\u1089? \u1079?\u1072?\u1084?\u1103?\u1085?\u1072?\u1090?\u1072? \u1085?\u1072? \u1055?\u1088?\u1086?\u1090?\u1086?\u1082?\u1086?\u1083? II \u1086?\u1090?\u1085?\u1086?\u1089?\u1085?\u1086? \u1086?\u1087?\u1088?\u1077?\u1076?\u1077?\u1083?\u1077?\u1085?\u1080?\u1077?\u1090?\u1086? \u1085?\u1072? \u1087?\u1086?\u1085?\u1103?\u1090?\u1080?\u1077?\u1090?\u1086? \u8222?\u1087?\u1088?\u1086?\u1076?\u1091?\u1082?\u1090?\u1080? \u1089? \u1087?\u1088?\u1086?\u1080?\u1079?\u1093?\u1086?\u1076?\u8220? \u1080? \u1084?\u1077?\u1090?\u1086?\u1076?\u1080?\u1090?\u1077? \u1085?\u1072? \u1072?\u1076?\u1084?\u1080?\u1085?\u1080?\u1089?\u1090?\u1088?\u1072?\u1090?\u1080?\u1074?\u1085?\u1086? \u1089?\u1098?\u1090?\u1088?\u1091?\u1076?\u1085?\u1080?\u1095?\u1077?\u1089?\u1090?\u1074?\u1086? \u1082?\u1098?\u1084? \u1087?\u1086?\u1089?\u1086?\u1095?\u1077?\u1085?\u1086?\u1090?\u1086? \u1089?\u1087?\u1086?\u1088?\u1072?\u1079?\u1091?\u1084?\u1077?\u1085?\u1080?\u1077? \u1089? \u1085?\u1086?\u1074? \u1087?\u1088?\u1086?\u1090?\u1086?\u1082?\u1086?\u1083?, \u1074? \u1082?\u1086?\u1081?\u1090?\u1086? \u1087?\u1086? \u1086?\u1090?\u1085?\u1086?\u1096?\u1077?\u1085?\u1080?\u1077? \u1085?\u1072? \u1087?\u1088?\u1072?\u1074?\u1080?\u1083?\u1072?\u1090?\u1072? \u1079?\u1072? \u1087?\u1088?\u1086?\u1080?\u1079?\u1093?\u1086?\u1076? \u1089?\u1077? \u1087?\u1088?\u1072?\u1074?\u1080? \u1087?\u1088?\u1077?\u1087?\u1088?\u1072?\u1090?\u1082?\u1072? \u1082?\u1098?\u1084? \u1056?\u1077?\u1075?\u1080?\u1086?\u1085?\u1072?\u1083?\u1085?\u1072?\u1090?\u1072? \u1082?\u1086?\u1085?\u1074?\u1077?\u1085?\u1094?\u1080?\u1103? \u1079?\u1072? \u1087?\u1072?\u1085?\u1077?\u1074?\u1088?\u1086?\u1089?\u1088?\u1077?\u1076?\u1080?\u1079?\u1077?\u1084?\u1085?\u1086?\u1084?\u1086?\u1088?\u1089?\u1082?\u1080?\u1090?\u1077? \u1087?\u1088?\u1077?\u1092?\u1077?\u1088?\u1077?\u1085?\u1094?\u1080?\u1072?\u1083?\u1085?\u1080? \u1087?\u1088?\u1072?\u1074?\u1080?\u1083?\u1072? \u1079?\u1072? \u1087?\u1088?\u1086?\u1080?\u1079?\u1093?\u1086?\u107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8"/>
    <w:docVar w:name="LW_REF.INTERNE" w:val="&lt;UNUSED&gt;"/>
    <w:docVar w:name="LW_SUPERTITRE" w:val="&lt;UNUSED&gt;"/>
    <w:docVar w:name="LW_TITRE.OBJ.CP" w:val="\u1055?\u1088?\u1080?\u1083?\u1086?\u1078?\u1077?\u1085?\u1080?\u1077?"/>
    <w:docVar w:name="LW_TYPE.DOC.CP" w:val="\u1055?\u1056?\u1048?\u1051?\u1054?\u1046?\u1045?\u1053?\u1048?\u1071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15A5-8DEC-452E-889C-5B050FD4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886</Words>
  <Characters>5116</Characters>
  <Application>Microsoft Office Word</Application>
  <DocSecurity>0</DocSecurity>
  <Lines>113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VANGHELUWE Jan (TAXUD)</dc:creator>
  <cp:lastModifiedBy>DIGIT/A3</cp:lastModifiedBy>
  <cp:revision>7</cp:revision>
  <cp:lastPrinted>2015-08-27T14:20:00Z</cp:lastPrinted>
  <dcterms:created xsi:type="dcterms:W3CDTF">2016-02-04T12:52:00Z</dcterms:created>
  <dcterms:modified xsi:type="dcterms:W3CDTF">2016-02-16T07:24:00Z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