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95790AAF54254CC9AC1187C50C341A83" style="width:450.5pt;height:338.5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rPr>
          <w:noProof/>
        </w:rPr>
      </w:pPr>
      <w:r>
        <w:rPr>
          <w:noProof/>
        </w:rPr>
        <w:t xml:space="preserve">В договора за функционирането на ЕС се предвижда, че държавите членки трябва да разглеждат своите икономически политики и насърчаването на заетостта като въпроси от общо значение и да ги координират в рамките на Съвета. В два отделни члена на Договора се постановява, че Съветът трябва да приеме общи насоки за икономическата политика (член 121) и насоки за заетостта (член 148), като се посочва, че насоките за заетостта трябва да са съвместими с общите икономически насоки. Въз основа на това правно основание насоките за заетостта и за икономическите политики са представени като два отделни, но неразривно свързани правни инструмента: </w:t>
      </w:r>
    </w:p>
    <w:p>
      <w:pPr>
        <w:pStyle w:val="ListDash"/>
        <w:rPr>
          <w:noProof/>
        </w:rPr>
      </w:pPr>
      <w:r>
        <w:rPr>
          <w:noProof/>
        </w:rPr>
        <w:t>Препоръка на Съвета относно общите насоки за икономическите политики на държавите членки и на Съюза — част I от интегрираните насоки „Европа 2020“;</w:t>
      </w:r>
    </w:p>
    <w:p>
      <w:pPr>
        <w:pStyle w:val="ListDash"/>
        <w:rPr>
          <w:noProof/>
        </w:rPr>
      </w:pPr>
      <w:r>
        <w:rPr>
          <w:noProof/>
        </w:rPr>
        <w:t xml:space="preserve">Решение на Съвета относно насоки за политиките за заетостта на държавите членки — част II от интегрираните насоки „Европа 2020“. </w:t>
      </w:r>
    </w:p>
    <w:p>
      <w:pPr>
        <w:rPr>
          <w:noProof/>
        </w:rPr>
      </w:pPr>
      <w:r>
        <w:rPr>
          <w:noProof/>
        </w:rPr>
        <w:t>Тези насоки, прилагани посредством посочените по-горе законодателни инструменти, представляват интегрираните насоки за изпълнение на стратегията „Европа 2020“. Насоките за заетостта бяха приети на 5 октомври 2010 г. и съгласно предвиденото в решението за приемането им те следва да осигурят съсредоточаване на усилията върху прилагането на политиката.</w:t>
      </w:r>
    </w:p>
    <w:p>
      <w:pPr>
        <w:rPr>
          <w:b/>
          <w:smallCaps/>
          <w:noProof/>
        </w:rPr>
      </w:pPr>
      <w:r>
        <w:rPr>
          <w:noProof/>
        </w:rPr>
        <w:t>Общите цели и приоритети, изразени в насоките за политиките за заетостта, се запазват. По силата на член 148, параграф 2 тяхната актуалност за 2016 г. трябва да бъде потвърдена с решение на Съвета след провеждането на консултации с Европейския парламент, Европейския икономически и социален комитет, Комитета на регионите и Комитета по заетостта.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РЕЗУЛТАТИ ОТ КОНСУЛТАЦИИТЕ СЪС ЗАИНТЕРЕСОВАНИТЕ СТРАНИ И ОЦЕНКИТЕ НА ВЪЗДЕЙСТВИЕТО</w:t>
      </w:r>
    </w:p>
    <w:p>
      <w:pPr>
        <w:rPr>
          <w:noProof/>
        </w:rPr>
      </w:pPr>
      <w:r>
        <w:rPr>
          <w:noProof/>
        </w:rPr>
        <w:t>Не се прилага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ПРАВНИ ЕЛЕМЕНТИ НА ПРЕДЛОЖЕНИЕТО</w:t>
      </w:r>
    </w:p>
    <w:p>
      <w:pPr>
        <w:pStyle w:val="Text1"/>
        <w:rPr>
          <w:noProof/>
        </w:rPr>
      </w:pPr>
      <w:r>
        <w:rPr>
          <w:noProof/>
        </w:rPr>
        <w:t>ОВ L 268, 15.10.2015 г., стр. 28.</w:t>
      </w:r>
    </w:p>
    <w:p>
      <w:pPr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2016/0043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насоки за политиките за заетост на държавите членки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148, параграф 2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взе предвид становището на Европейския парламент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, </w:t>
      </w:r>
    </w:p>
    <w:p>
      <w:pPr>
        <w:rPr>
          <w:noProof/>
        </w:rPr>
      </w:pPr>
      <w:r>
        <w:rPr>
          <w:noProof/>
        </w:rPr>
        <w:t>като взе предвид становището на Комитета по заетостта,</w:t>
      </w:r>
    </w:p>
    <w:p>
      <w:pPr>
        <w:rPr>
          <w:noProof/>
        </w:rPr>
      </w:pPr>
      <w:r>
        <w:rPr>
          <w:noProof/>
        </w:rPr>
        <w:t>като взе предвид становището на Европейския икономически и социален комитет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, </w:t>
      </w:r>
    </w:p>
    <w:p>
      <w:pPr>
        <w:rPr>
          <w:noProof/>
        </w:rPr>
      </w:pPr>
      <w:r>
        <w:rPr>
          <w:noProof/>
        </w:rPr>
        <w:t>като взе предвид становището на Комитета на регионите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, 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В член 145 от Договора за функционирането на Европейския съюз (ДФЕС) се предвижда, че държавите членки и Съюзът работят за изработването на координирана стратегия за заетостта, и по-специално за развитието на квалифицирана, обучена и адаптивна работна сила, както и на пазари на труда, които да могат да реагират бързо на икономическите промени, с оглед постигането на целите, изброени в член 3 от Договора за Европейския съюз (ДЕС).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 xml:space="preserve">Предложената от Комисията стратегия „Европа 2020“ предоставя на Съюза възможността да ориентира икономиката си в посока на интелигентен, устойчив и приобщаващ растеж, съпътстван от висока степен на заетост, производителност и социално сближаване. В съответните насоки са определени пет водещи цели — общите цели, от които държавите членки се ръководят в своите действия и които са съобразени с техните различни изходни позиции и различните обстоятелства на национално равнище, както и с позициите на Съюза и условията в него. Европейската стратегия по заетостта играе водеща роля за изпълнението на целите на новата стратегия в областта на заетостта и пазара на труда. 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Интегрираните насоки са в съответствие със заключенията на Европейския съвет. В тях се отправят точни указания към държавите членки във връзка с разработването на националните програми за реформи и изпълнението на реформите, обръща се внимание на взаимозависимостта между държавите членки и е осигурено съответствие с Пакта за стабилност и растеж. Насоките за заетостта следва да бъдат основа за всички специфични за отделните държави препоръки, които Съветът евентуално би отправил към държавите членки съгласно член 148, параграф 4 от ДФЕС, успоредно със специфичните за отделните държави препоръки, отправени към тях съгласно член 121, параграф 2 от посочения договор. Въз основа на насоките за заетостта следва да се изготвя и съвместният доклад за заетостта, който Съветът и Европейската Комисия ежегодно изпращат до Европейския съвет.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Прегледът на националните програми за реформи, включени в съвместния доклад за заетостта, показва, че държавите членки следва да продължат да полагат максимални усилия в следните приоритетни области: увеличаване на участието на пазара на труда и намаляване на структурната безработица, развиване на квалифицирана работна сила в съответствие с нуждите на пазара на труда и насърчаване на качеството на работните места и ученето през целия живот, подобряване на резултатите на системите за образование и обучение на всички равнища и увеличаване на участието във висшето образование, насърчаване на социалното приобщаване и борба с бедността.</w:t>
      </w:r>
    </w:p>
    <w:p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>Държавите членки следва да проучат възможността да използват Европейския социален фонд при изпълнението на насоките за заетостта,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Насоките относно политиките за заетост на държавите членки, определени в приложението към решението на Съвета от 5 октомври 2015 г. относно насоките за политиките за заетост на държавите членки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, </w:t>
      </w:r>
      <w:r>
        <w:rPr>
          <w:i/>
          <w:noProof/>
        </w:rPr>
        <w:t>се запазват и през 2016 г., а държавите членки се съобразяват с тях по отношение на своите политики за заетост</w:t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keepNext/>
        <w:keepLines/>
        <w:rPr>
          <w:noProof/>
        </w:rPr>
      </w:pPr>
      <w:r>
        <w:rPr>
          <w:noProof/>
        </w:rPr>
        <w:t>Адресати на настоящото решение са държавите членки.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footnoteRef/>
      </w:r>
      <w:r>
        <w:t>OВ C […], […] г., стр. […].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footnoteRef/>
      </w:r>
      <w:r>
        <w:t>OВ C […], […] г., стр. […].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footnoteRef/>
      </w:r>
      <w:r>
        <w:t>OВ C […], […] г., стр. […].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Решение (ЕС) 2015/1848 на Съвета от 5 октомври 2015 г. относно насоки за политиките по заетостта на държавите членки за 2015 г. (</w:t>
      </w:r>
      <w:r>
        <w:rPr>
          <w:rStyle w:val="Emphasis"/>
          <w:i w:val="0"/>
        </w:rPr>
        <w:t>ОВ L</w:t>
      </w:r>
      <w:r>
        <w:t> 268, 15.10.2015 г., стр. 28).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F1E38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31C94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8628E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B34A6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7A02D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446A6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42E47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>
    <w:nsid w:val="40315490"/>
    <w:multiLevelType w:val="singleLevel"/>
    <w:tmpl w:val="1F86C700"/>
    <w:name w:val="List Dash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6D2B5511"/>
    <w:multiLevelType w:val="singleLevel"/>
    <w:tmpl w:val="74A09970"/>
    <w:name w:val="List Bullet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18"/>
  </w:num>
  <w:num w:numId="11">
    <w:abstractNumId w:val="12"/>
  </w:num>
  <w:num w:numId="12">
    <w:abstractNumId w:val="20"/>
  </w:num>
  <w:num w:numId="13">
    <w:abstractNumId w:val="10"/>
  </w:num>
  <w:num w:numId="14">
    <w:abstractNumId w:val="13"/>
  </w:num>
  <w:num w:numId="15">
    <w:abstractNumId w:val="8"/>
  </w:num>
  <w:num w:numId="16">
    <w:abstractNumId w:val="19"/>
  </w:num>
  <w:num w:numId="17">
    <w:abstractNumId w:val="7"/>
  </w:num>
  <w:num w:numId="18">
    <w:abstractNumId w:val="14"/>
  </w:num>
  <w:num w:numId="19">
    <w:abstractNumId w:val="16"/>
  </w:num>
  <w:num w:numId="20">
    <w:abstractNumId w:val="17"/>
  </w:num>
  <w:num w:numId="21">
    <w:abstractNumId w:val="9"/>
  </w:num>
  <w:num w:numId="22">
    <w:abstractNumId w:val="15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2-09 14:44:0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95790AAF54254CC9AC1187C50C341A83"/>
    <w:docVar w:name="LW_CROSSREFERENCE" w:val="&lt;UNUSED&gt;"/>
    <w:docVar w:name="LW_DocType" w:val="COM"/>
    <w:docVar w:name="LW_EMISSION" w:val="15.2.2016"/>
    <w:docVar w:name="LW_EMISSION_ISODATE" w:val="2016-02-15"/>
    <w:docVar w:name="LW_EMISSION_LOCATION" w:val="BRX"/>
    <w:docVar w:name="LW_EMISSION_PREFIX" w:val="Брюксел, "/>
    <w:docVar w:name="LW_EMISSION_SUFFIX" w:val=" \u1075?."/>
    <w:docVar w:name="LW_ID_DOCMODEL" w:val="b03"/>
    <w:docVar w:name="LW_ID_DOCSIGNATURE" w:val="SJ-019"/>
    <w:docVar w:name="LW_ID_DOCSTRUCTURE" w:val="COM/PL/ORG"/>
    <w:docVar w:name="LW_ID_DOCTYPE" w:val="SJ-019"/>
    <w:docVar w:name="LW_ID_STATUT" w:val="PROPOSAL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43"/>
    <w:docVar w:name="LW_REF.II.NEW.CP_YEAR" w:val="2016"/>
    <w:docVar w:name="LW_REF.INST.NEW" w:val="COM"/>
    <w:docVar w:name="LW_REF.INST.NEW_ADOPTED" w:val="final"/>
    <w:docVar w:name="LW_REF.INST.NEW_TEXT" w:val="(2016) 71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5?\u1072?\u1089?\u1086?\u1082?\u1080? \u1079?\u1072? \u1087?\u1086?\u1083?\u1080?\u1090?\u1080?\u1082?\u1080?\u1090?\u1077? \u1079?\u1072? \u1079?\u1072?\u1077?\u1090?\u1086?\u1089?\u1090? \u1085?\u1072? \u1076?\u1098?\u1088?\u1078?\u1072?\u1074?\u1080?\u1090?\u1077? \u1095?\u1083?\u1077?\u1085?\u1082?\u1080?"/>
    <w:docVar w:name="LW_TITRE.OBJ.CP_PREVIOUS" w:val="&lt;UNUSED&gt;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Dash">
    <w:name w:val="List Dash"/>
    <w:basedOn w:val="Normal"/>
    <w:pPr>
      <w:numPr>
        <w:numId w:val="2"/>
      </w:numPr>
    </w:pPr>
  </w:style>
  <w:style w:type="paragraph" w:styleId="ListBullet">
    <w:name w:val="List Bullet"/>
    <w:basedOn w:val="Normal"/>
    <w:pPr>
      <w:numPr>
        <w:numId w:val="3"/>
      </w:numPr>
    </w:pPr>
  </w:style>
  <w:style w:type="character" w:styleId="Emphasis">
    <w:name w:val="Emphasis"/>
    <w:qFormat/>
    <w:rPr>
      <w:i/>
      <w:iCs/>
      <w:shd w:val="clear" w:color="auto" w:fil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pPr>
      <w:numPr>
        <w:numId w:val="4"/>
      </w:numPr>
    </w:pPr>
  </w:style>
  <w:style w:type="paragraph" w:styleId="ListBullet3">
    <w:name w:val="List Bullet 3"/>
    <w:basedOn w:val="Normal"/>
    <w:pPr>
      <w:numPr>
        <w:numId w:val="5"/>
      </w:numPr>
    </w:pPr>
  </w:style>
  <w:style w:type="paragraph" w:styleId="ListBullet4">
    <w:name w:val="List Bullet 4"/>
    <w:basedOn w:val="Normal"/>
    <w:pPr>
      <w:numPr>
        <w:numId w:val="6"/>
      </w:numPr>
    </w:p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</w:style>
  <w:style w:type="paragraph" w:styleId="ListNumber">
    <w:name w:val="List Number"/>
    <w:basedOn w:val="Normal"/>
    <w:pPr>
      <w:numPr>
        <w:numId w:val="7"/>
      </w:numPr>
      <w:contextualSpacing/>
    </w:pPr>
  </w:style>
  <w:style w:type="paragraph" w:styleId="ListNumber2">
    <w:name w:val="List Number 2"/>
    <w:basedOn w:val="Normal"/>
    <w:pPr>
      <w:numPr>
        <w:numId w:val="8"/>
      </w:numPr>
      <w:contextualSpacing/>
    </w:pPr>
  </w:style>
  <w:style w:type="paragraph" w:styleId="ListNumber3">
    <w:name w:val="List Number 3"/>
    <w:basedOn w:val="Normal"/>
    <w:pPr>
      <w:numPr>
        <w:numId w:val="9"/>
      </w:numPr>
      <w:contextualSpacing/>
    </w:pPr>
  </w:style>
  <w:style w:type="paragraph" w:styleId="ListNumber4">
    <w:name w:val="List Number 4"/>
    <w:basedOn w:val="Normal"/>
    <w:pPr>
      <w:numPr>
        <w:numId w:val="1"/>
      </w:numPr>
      <w:contextualSpacing/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Dash">
    <w:name w:val="List Dash"/>
    <w:basedOn w:val="Normal"/>
    <w:pPr>
      <w:numPr>
        <w:numId w:val="2"/>
      </w:numPr>
    </w:pPr>
  </w:style>
  <w:style w:type="paragraph" w:styleId="ListBullet">
    <w:name w:val="List Bullet"/>
    <w:basedOn w:val="Normal"/>
    <w:pPr>
      <w:numPr>
        <w:numId w:val="3"/>
      </w:numPr>
    </w:pPr>
  </w:style>
  <w:style w:type="character" w:styleId="Emphasis">
    <w:name w:val="Emphasis"/>
    <w:qFormat/>
    <w:rPr>
      <w:i/>
      <w:iCs/>
      <w:shd w:val="clear" w:color="auto" w:fil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pPr>
      <w:numPr>
        <w:numId w:val="4"/>
      </w:numPr>
    </w:pPr>
  </w:style>
  <w:style w:type="paragraph" w:styleId="ListBullet3">
    <w:name w:val="List Bullet 3"/>
    <w:basedOn w:val="Normal"/>
    <w:pPr>
      <w:numPr>
        <w:numId w:val="5"/>
      </w:numPr>
    </w:pPr>
  </w:style>
  <w:style w:type="paragraph" w:styleId="ListBullet4">
    <w:name w:val="List Bullet 4"/>
    <w:basedOn w:val="Normal"/>
    <w:pPr>
      <w:numPr>
        <w:numId w:val="6"/>
      </w:numPr>
    </w:p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</w:style>
  <w:style w:type="paragraph" w:styleId="ListNumber">
    <w:name w:val="List Number"/>
    <w:basedOn w:val="Normal"/>
    <w:pPr>
      <w:numPr>
        <w:numId w:val="7"/>
      </w:numPr>
      <w:contextualSpacing/>
    </w:pPr>
  </w:style>
  <w:style w:type="paragraph" w:styleId="ListNumber2">
    <w:name w:val="List Number 2"/>
    <w:basedOn w:val="Normal"/>
    <w:pPr>
      <w:numPr>
        <w:numId w:val="8"/>
      </w:numPr>
      <w:contextualSpacing/>
    </w:pPr>
  </w:style>
  <w:style w:type="paragraph" w:styleId="ListNumber3">
    <w:name w:val="List Number 3"/>
    <w:basedOn w:val="Normal"/>
    <w:pPr>
      <w:numPr>
        <w:numId w:val="9"/>
      </w:numPr>
      <w:contextualSpacing/>
    </w:pPr>
  </w:style>
  <w:style w:type="paragraph" w:styleId="ListNumber4">
    <w:name w:val="List Number 4"/>
    <w:basedOn w:val="Normal"/>
    <w:pPr>
      <w:numPr>
        <w:numId w:val="1"/>
      </w:numPr>
      <w:contextualSpacing/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827</Words>
  <Characters>4782</Characters>
  <Application>Microsoft Office Word</Application>
  <DocSecurity>0</DocSecurity>
  <Lines>97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2016-01-18T15:26:00Z</cp:lastPrinted>
  <dcterms:created xsi:type="dcterms:W3CDTF">2016-02-08T11:15:00Z</dcterms:created>
  <dcterms:modified xsi:type="dcterms:W3CDTF">2016-02-09T13:44:00Z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5.8.22.0</vt:lpwstr>
  </property>
  <property fmtid="{D5CDD505-2E9C-101B-9397-08002B2CF9AE}" pid="5" name="Created using">
    <vt:lpwstr>LW 5.8, Build 20110311</vt:lpwstr>
  </property>
  <property fmtid="{D5CDD505-2E9C-101B-9397-08002B2CF9AE}" pid="6" name="Last edited using">
    <vt:lpwstr>LW 5.8.4, Build 20150407</vt:lpwstr>
  </property>
  <property fmtid="{D5CDD505-2E9C-101B-9397-08002B2CF9AE}" pid="7" name="LWTemplateID">
    <vt:lpwstr>SJ-019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DQCStatus">
    <vt:lpwstr>Green (DQC version 03)</vt:lpwstr>
  </property>
</Properties>
</file>