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00850DC2B54A5AA52092016D27CCEC" style="width:450.7pt;height:33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РЕШЕНИЕ НА КОМИСИЯТА</w:t>
      </w:r>
    </w:p>
    <w:p>
      <w:pPr>
        <w:pStyle w:val="Datedadoption"/>
        <w:rPr>
          <w:noProof/>
        </w:rPr>
      </w:pPr>
      <w:r>
        <w:t>от 12.2.2016 година</w:t>
      </w:r>
    </w:p>
    <w:p>
      <w:pPr>
        <w:pStyle w:val="Titreobjet"/>
        <w:rPr>
          <w:noProof/>
        </w:rPr>
      </w:pPr>
      <w:r>
        <w:rPr>
          <w:noProof/>
        </w:rPr>
        <w:t>за изменение на Решение (ЕС) 2015/1937 на Комисията за създаване на независим консултативен Европейски фискален съвет</w:t>
      </w:r>
    </w:p>
    <w:p>
      <w:pPr>
        <w:pStyle w:val="Institutionquiagit"/>
        <w:rPr>
          <w:noProof/>
        </w:rPr>
      </w:pPr>
      <w:r>
        <w:rPr>
          <w:noProof/>
        </w:rPr>
        <w:t>ЕВРОПЕЙСКАТА КОМИСИЯ,</w:t>
      </w:r>
    </w:p>
    <w:p>
      <w:pPr>
        <w:spacing w:before="0" w:after="200" w:line="276" w:lineRule="auto"/>
        <w:jc w:val="left"/>
        <w:rPr>
          <w:noProof/>
          <w:sz w:val="22"/>
        </w:rPr>
      </w:pPr>
      <w:r>
        <w:rPr>
          <w:noProof/>
          <w:sz w:val="22"/>
        </w:rPr>
        <w:t>като взе предвид Договора за Европейския съюз и Договора за функционирането на Европейския съюз,</w:t>
      </w:r>
    </w:p>
    <w:p>
      <w:pPr>
        <w:spacing w:before="0" w:after="200" w:line="276" w:lineRule="auto"/>
        <w:jc w:val="left"/>
        <w:rPr>
          <w:noProof/>
          <w:sz w:val="22"/>
        </w:rPr>
      </w:pPr>
      <w:r>
        <w:rPr>
          <w:noProof/>
          <w:sz w:val="22"/>
        </w:rPr>
        <w:t>като има предвид, че:</w:t>
      </w:r>
    </w:p>
    <w:p>
      <w:pPr>
        <w:pStyle w:val="ManualConsidrant"/>
        <w:rPr>
          <w:rStyle w:val="Corpsdutexte"/>
          <w:noProof/>
          <w:sz w:val="24"/>
          <w:szCs w:val="22"/>
          <w:shd w:val="clear" w:color="auto" w:fill="auto"/>
        </w:rPr>
      </w:pPr>
      <w:r>
        <w:rPr>
          <w:rStyle w:val="Corpsdutexte"/>
        </w:rPr>
        <w:t>(1)</w:t>
      </w:r>
      <w:r>
        <w:rPr>
          <w:rStyle w:val="Corpsdutexte"/>
        </w:rPr>
        <w:tab/>
      </w:r>
      <w:r>
        <w:rPr>
          <w:rStyle w:val="Corpsdutexte"/>
          <w:noProof/>
          <w:sz w:val="24"/>
          <w:shd w:val="clear" w:color="auto" w:fill="auto"/>
        </w:rPr>
        <w:t>На 21 октомври 2015 г. Комисията прие Решение за създаване на независим консултативен Европейски фискален съвет</w:t>
      </w:r>
      <w:r>
        <w:rPr>
          <w:rStyle w:val="FootnoteReference"/>
          <w:noProof/>
        </w:rPr>
        <w:footnoteReference w:id="1"/>
      </w:r>
      <w:r>
        <w:rPr>
          <w:rStyle w:val="Corpsdutexte"/>
          <w:noProof/>
          <w:sz w:val="24"/>
          <w:shd w:val="clear" w:color="auto" w:fill="auto"/>
        </w:rPr>
        <w:t>. Това решение съдържа редица разпоредби относно мисията и задачите, състава, независимостта и функционирането на Фискалния съвет и неговия секретариат и пояснява, че секретариатът следва да е административно прикрепен към Генералния секретариат на Комисията. Съгласно това решение главният икономически анализатор, определен с Решение C(2015) 2665 от 17 април 2015 г., изпълнява функцията на ръководител на секретариата.</w:t>
      </w:r>
    </w:p>
    <w:p>
      <w:pPr>
        <w:pStyle w:val="ManualConsidrant"/>
        <w:rPr>
          <w:rStyle w:val="Corpsdutexte"/>
          <w:noProof/>
          <w:sz w:val="24"/>
          <w:szCs w:val="22"/>
          <w:shd w:val="clear" w:color="auto" w:fill="auto"/>
        </w:rPr>
      </w:pPr>
      <w:r>
        <w:rPr>
          <w:rStyle w:val="Corpsdutexte"/>
        </w:rPr>
        <w:t>(2)</w:t>
      </w:r>
      <w:r>
        <w:rPr>
          <w:rStyle w:val="Corpsdutexte"/>
        </w:rPr>
        <w:tab/>
      </w:r>
      <w:r>
        <w:rPr>
          <w:rStyle w:val="Corpsdutexte"/>
          <w:noProof/>
          <w:sz w:val="24"/>
          <w:shd w:val="clear" w:color="auto" w:fill="auto"/>
        </w:rPr>
        <w:t>В Решението относно главния икономически анализатор на Комисията от 17 април 2015 г. се предвижда, че главният икономически анализатор проверява, в областта на координацията и надзора на икономическите и бюджетните политики на държавите членки, предстоящите решения на Комисията. Съгласно това решение главният икономически анализатор е прикрепен към заместник-председателя на Комисията, отговарящ за еврото и социалния диалог, който може също да поиска становища от главния икономически анализатор</w:t>
      </w:r>
      <w:r>
        <w:rPr>
          <w:rStyle w:val="FootnoteReference"/>
          <w:noProof/>
        </w:rPr>
        <w:footnoteReference w:id="2"/>
      </w:r>
      <w:r>
        <w:rPr>
          <w:rStyle w:val="Corpsdutexte"/>
          <w:noProof/>
          <w:sz w:val="24"/>
          <w:shd w:val="clear" w:color="auto" w:fill="auto"/>
        </w:rPr>
        <w:t xml:space="preserve">. </w:t>
      </w:r>
    </w:p>
    <w:p>
      <w:pPr>
        <w:pStyle w:val="ManualConsidrant"/>
        <w:rPr>
          <w:noProof/>
        </w:rPr>
      </w:pPr>
      <w:r>
        <w:t>(3)</w:t>
      </w:r>
      <w:r>
        <w:tab/>
      </w:r>
      <w:r>
        <w:rPr>
          <w:noProof/>
        </w:rPr>
        <w:t>От съображения за съгласуваност и ефективност е целесъобразно да се разделят задачите на главния икономически анализатор и на ръководителя на секретариата на Европейския фискален съвет.</w:t>
      </w:r>
    </w:p>
    <w:p>
      <w:pPr>
        <w:pStyle w:val="ManualConsidrant"/>
        <w:rPr>
          <w:noProof/>
        </w:rPr>
      </w:pPr>
      <w:r>
        <w:t>(4)</w:t>
      </w:r>
      <w:r>
        <w:tab/>
      </w:r>
      <w:r>
        <w:rPr>
          <w:noProof/>
        </w:rPr>
        <w:t>Решението за създаване на независим консултативен Европейски фискален съвет следва да бъде съответно изменено,</w:t>
      </w:r>
    </w:p>
    <w:p>
      <w:pPr>
        <w:rPr>
          <w:noProof/>
        </w:rPr>
      </w:pPr>
    </w:p>
    <w:p>
      <w:pPr>
        <w:pStyle w:val="Formuledadoption"/>
        <w:rPr>
          <w:noProof/>
        </w:rPr>
      </w:pPr>
      <w:r>
        <w:rPr>
          <w:noProof/>
        </w:rPr>
        <w:t xml:space="preserve">РЕШИ: </w:t>
      </w:r>
    </w:p>
    <w:p>
      <w:pPr>
        <w:pStyle w:val="Titrearticle"/>
        <w:rPr>
          <w:noProof/>
        </w:rPr>
      </w:pPr>
      <w:r>
        <w:rPr>
          <w:noProof/>
        </w:rPr>
        <w:t>Член единствен</w:t>
      </w:r>
    </w:p>
    <w:p>
      <w:pPr>
        <w:spacing w:before="0" w:after="200" w:line="276" w:lineRule="auto"/>
        <w:rPr>
          <w:noProof/>
          <w:szCs w:val="24"/>
        </w:rPr>
      </w:pPr>
      <w:r>
        <w:rPr>
          <w:noProof/>
        </w:rPr>
        <w:t>Член 3, параграф 8 от Решение (ЕС) 2015/1937 на Комисията се заменя със следното:</w:t>
      </w:r>
    </w:p>
    <w:p>
      <w:pPr>
        <w:pStyle w:val="ManualNumPar1"/>
        <w:rPr>
          <w:noProof/>
        </w:rPr>
      </w:pPr>
      <w:r>
        <w:t>1.</w:t>
      </w:r>
      <w:r>
        <w:tab/>
      </w:r>
      <w:r>
        <w:rPr>
          <w:noProof/>
        </w:rPr>
        <w:t>„8. Комисията назначава ръководител на секретариата, след като се консултира с председателя на Европейския фискален съвет. Ръководителят на секретариата се назначават за срок от три години, който може да бъде подновен веднъж. Неговите задачи включват подготовката на сформирането на Фискалния съвет. Останалите членове на секретариата са длъжностни лица, срочно наети лица, договорно наети лица и командировани национални експерти, подбрани от ръководителя на секретариата със съгласието на председателя. Всички членове на секретариата се подбират въз основа на високо равнище на квалификация и опит в области, които имат отношение към дейността на Фискалния съвет, и се назначават или прикрепят (mis à disposition).</w:t>
      </w:r>
    </w:p>
    <w:p>
      <w:pPr>
        <w:pStyle w:val="ManualNumPar1"/>
        <w:rPr>
          <w:rFonts w:asciiTheme="minorHAnsi" w:hAnsiTheme="minorHAnsi" w:cstheme="minorBidi"/>
          <w:noProof/>
        </w:rPr>
      </w:pPr>
      <w:r>
        <w:t>2.</w:t>
      </w:r>
      <w:r>
        <w:tab/>
      </w:r>
      <w:r>
        <w:rPr>
          <w:noProof/>
        </w:rPr>
        <w:t xml:space="preserve">9. Чрез дерогация от параграф 8, ако председателят на Европейския фискален съвет все още не е назначен, Комисията назначава пряко ръководителя на секретариата“. </w:t>
      </w:r>
    </w:p>
    <w:p>
      <w:pPr>
        <w:pStyle w:val="Fait"/>
        <w:rPr>
          <w:noProof/>
        </w:rPr>
      </w:pPr>
      <w:r>
        <w:rPr>
          <w:noProof/>
        </w:rPr>
        <w:t>Съставено в Брюксел на 12.2.2016 година.</w:t>
      </w:r>
    </w:p>
    <w:p>
      <w:pPr>
        <w:pStyle w:val="Institutionquisigne"/>
        <w:rPr>
          <w:noProof/>
        </w:rPr>
      </w:pPr>
      <w:r>
        <w:rPr>
          <w:noProof/>
        </w:rPr>
        <w:tab/>
        <w:t>За Комисията</w:t>
      </w:r>
      <w:r>
        <w:rPr>
          <w:noProof/>
        </w:rPr>
        <w:tab/>
      </w:r>
    </w:p>
    <w:p>
      <w:pPr>
        <w:pStyle w:val="Personnequisigne"/>
        <w:ind w:left="4252"/>
        <w:rPr>
          <w:noProof/>
        </w:rPr>
      </w:pPr>
      <w:r>
        <w:rPr>
          <w:noProof/>
        </w:rPr>
        <w:t>Председател</w:t>
      </w:r>
      <w:r>
        <w:rPr>
          <w:noProof/>
        </w:rPr>
        <w:br/>
        <w:t>Jean-Claude Juncker</w:t>
      </w: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C(2015)8000.</w:t>
      </w:r>
    </w:p>
  </w:footnote>
  <w:footnote w:id="2">
    <w:p>
      <w:pPr>
        <w:pStyle w:val="FootnoteText"/>
        <w:rPr>
          <w:lang w:val="fr-BE"/>
        </w:rPr>
      </w:pPr>
      <w:r>
        <w:rPr>
          <w:rStyle w:val="FootnoteReference"/>
        </w:rPr>
        <w:footnoteRef/>
      </w:r>
      <w:r>
        <w:tab/>
        <w:t>C(2015)2665.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4E41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22E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7C9C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D477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D011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E033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81634EC"/>
    <w:lvl w:ilvl="0">
      <w:start w:val="1"/>
      <w:numFmt w:val="decimal"/>
      <w:pStyle w:val="ListNumber"/>
      <w:lvlText w:val="%1."/>
      <w:lvlJc w:val="left"/>
      <w:pPr>
        <w:tabs>
          <w:tab w:val="num" w:pos="360"/>
        </w:tabs>
        <w:ind w:left="360" w:hanging="360"/>
      </w:pPr>
    </w:lvl>
  </w:abstractNum>
  <w:abstractNum w:abstractNumId="7">
    <w:nsid w:val="FFFFFF89"/>
    <w:multiLevelType w:val="singleLevel"/>
    <w:tmpl w:val="EB70B3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2 12:48: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2E00850DC2B54A5AA52092016D27CCEC"/>
    <w:docVar w:name="LW_CROSSREFERENCE" w:val="&lt;UNUSED&gt;"/>
    <w:docVar w:name="LW_DATE.ADOPT.CP" w:val="\u1086?\u1090? 12.2.2016 \u1075?\u1086?\u1076?\u1080?\u1085?\u1072?"/>
    <w:docVar w:name="LW_DATE.ADOPT.CP_DATEFORMAT" w:val="\u1086?\u1090? %DATE% \u1075?\u1086?\u1076?\u1080?\u1085?\u1072?"/>
    <w:docVar w:name="LW_DATE.ADOPT.CP_ISODATE" w:val="2016-02-12"/>
    <w:docVar w:name="LW_DocType" w:val="COM"/>
    <w:docVar w:name="LW_EMISSION" w:val="12.2.2016"/>
    <w:docVar w:name="LW_EMISSION_ISODATE" w:val="2016-02-12"/>
    <w:docVar w:name="LW_EMISSION_LOCATION" w:val="BRX"/>
    <w:docVar w:name="LW_EMISSION_PREFIX" w:val="Брюксел, "/>
    <w:docVar w:name="LW_EMISSION_SUFFIX" w:val=" \u1075?."/>
    <w:docVar w:name="LW_ID_DOCMODEL" w:val="SJ-030"/>
    <w:docVar w:name="LW_ID_DOCSIGNATURE" w:val="SJ-030"/>
    <w:docVar w:name="LW_ID_DOCSTRUCTURE" w:val="COM/AA"/>
    <w:docVar w:name="LW_ID_DOCTYPE" w:val="SJ-030"/>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6) 888"/>
    <w:docVar w:name="LW_REF.INTERNE" w:val="&lt;UNUSED&gt;"/>
    <w:docVar w:name="LW_SOUS.TITRE.OBJ.CP" w:val="&lt;UNUSED&gt;"/>
    <w:docVar w:name="LW_SUPERTITRE" w:val="&lt;UNUSED&gt;"/>
    <w:docVar w:name="LW_TITRE.OBJ.CP" w:val="\u1079?\u1072? \u1080?\u1079?\u1084?\u1077?\u1085?\u1077?\u1085?\u1080?\u1077? \u1085?\u1072? \u1056?\u1077?\u1096?\u1077?\u1085?\u1080?\u1077? (\u1045?\u1057?) 2015/1937 \u1085?\u1072? \u1050?\u1086?\u1084?\u1080?\u1089?\u1080?\u1103?\u1090?\u1072? \u1079?\u1072? \u1089?\u1098?\u1079?\u1076?\u1072?\u1074?\u1072?\u1085?\u1077? \u1085?\u1072? \u1085?\u1077?\u1079?\u1072?\u1074?\u1080?\u1089?\u1080?\u1084? \u1082?\u1086?\u1085?\u1089?\u1091?\u1083?\u1090?\u1072?\u1090?\u1080?\u1074?\u1077?\u1085? \u1045?\u1074?\u1088?\u1086?\u1087?\u1077?\u1081?\u1089?\u1082?\u1080? \u1092?\u1080?\u1089?\u1082?\u1072?\u1083?\u1077?\u1085? \u1089?\u1098?\u1074?\u1077?\u1090?"/>
    <w:docVar w:name="LW_TYPE.DOC.CP" w:val="\u1056?\u1045?\u1064?\u1045?\u1053?\u1048?\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0" w:after="840" w:line="0" w:lineRule="atLeast"/>
      <w:ind w:hanging="720"/>
    </w:pPr>
    <w:rPr>
      <w:rFonts w:asciiTheme="minorHAnsi" w:hAnsiTheme="minorHAnsi" w:cstheme="minorBidi"/>
      <w:sz w:val="21"/>
      <w:szCs w:val="21"/>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Corpsdutexte">
    <w:name w:val="Corps du texte_"/>
    <w:basedOn w:val="DefaultParagraphFont"/>
    <w:link w:val="Corpsdutexte0"/>
    <w:rPr>
      <w:sz w:val="21"/>
      <w:szCs w:val="21"/>
      <w:shd w:val="clear" w:color="auto" w:fill="FFFFFF"/>
    </w:rPr>
  </w:style>
  <w:style w:type="paragraph" w:customStyle="1" w:styleId="Corpsdutexte0">
    <w:name w:val="Corps du texte"/>
    <w:basedOn w:val="Normal"/>
    <w:link w:val="Corpsdutexte"/>
    <w:pPr>
      <w:widowControl w:val="0"/>
      <w:shd w:val="clear" w:color="auto" w:fill="FFFFFF"/>
      <w:spacing w:before="0" w:after="840" w:line="0" w:lineRule="atLeast"/>
      <w:ind w:hanging="720"/>
    </w:pPr>
    <w:rPr>
      <w:rFonts w:asciiTheme="minorHAnsi" w:hAnsiTheme="minorHAnsi" w:cstheme="minorBidi"/>
      <w:sz w:val="21"/>
      <w:szCs w:val="21"/>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0809-DEDF-4F0F-AEA6-59E96928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378</Words>
  <Characters>2352</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2015-10-16T18:57:00Z</cp:lastPrinted>
  <dcterms:created xsi:type="dcterms:W3CDTF">2016-02-12T09:01:00Z</dcterms:created>
  <dcterms:modified xsi:type="dcterms:W3CDTF">2016-02-12T11:48:00Z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Green (DQC version 03)</vt:lpwstr>
  </property>
</Properties>
</file>